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lan-next-steps"/>
    <w:p>
      <w:pPr>
        <w:pStyle w:val="Heading1"/>
      </w:pPr>
      <w:r>
        <w:t xml:space="preserve">Plan: next steps</w:t>
      </w:r>
    </w:p>
    <w:p>
      <w:pPr>
        <w:pStyle w:val="FirstParagraph"/>
      </w:pPr>
      <w:r>
        <w:t xml:space="preserve">Work top to bottom. Record each result in</w:t>
      </w:r>
      <w:r>
        <w:t xml:space="preserve"> </w:t>
      </w:r>
      <w:r>
        <w:rPr>
          <w:rStyle w:val="VerbatimChar"/>
        </w:rPr>
        <w:t xml:space="preserve">HANDOFF.md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Pre-register pass/fail rules (commit them) before any run.</w:t>
      </w:r>
    </w:p>
    <w:bookmarkStart w:id="20" w:name="now-updated-21-oct-2026"/>
    <w:p>
      <w:pPr>
        <w:pStyle w:val="Heading2"/>
      </w:pPr>
      <w:r>
        <w:t xml:space="preserve">0. Now (updated 21 Oct 2026)</w:t>
      </w:r>
    </w:p>
    <w:p>
      <w:pPr>
        <w:pStyle w:val="FirstParagraph"/>
      </w:pPr>
      <w:r>
        <w:t xml:space="preserve">The owner’s last instruction: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Stop everything except API</w:t>
      </w:r>
      <w:r>
        <w:rPr>
          <w:bCs/>
          <w:b/>
        </w:rPr>
        <w:t xml:space="preserve">”</w:t>
      </w:r>
      <w:r>
        <w:t xml:space="preserve"> </w:t>
      </w:r>
      <w:r>
        <w:t xml:space="preserve">(21 Oct, 21:50 UTC). Work in this order, and start nothing else unless the owner asks.</w:t>
      </w:r>
      <w:r>
        <w:t xml:space="preserve"> </w:t>
      </w:r>
      <w:r>
        <w:t xml:space="preserve">- [ ]</w:t>
      </w:r>
      <w:r>
        <w:t xml:space="preserve"> </w:t>
      </w:r>
      <w:r>
        <w:rPr>
          <w:bCs/>
          <w:b/>
        </w:rPr>
        <w:t xml:space="preserve">0a. API key.</w:t>
      </w:r>
      <w:r>
        <w:t xml:space="preserve"> </w:t>
      </w:r>
      <w:r>
        <w:t xml:space="preserve">Check whether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set in the environment. Never print it or ask for it in chat. If it’s missing, tell the owner in one line where to add it (environment menu → Edit → Network secrets, or an environment variable) and wait.</w:t>
      </w:r>
      <w:r>
        <w:t xml:space="preserve"> </w:t>
      </w:r>
      <w:r>
        <w:t xml:space="preserve">- [ ]</w:t>
      </w:r>
      <w:r>
        <w:t xml:space="preserve"> </w:t>
      </w:r>
      <w:r>
        <w:rPr>
          <w:bCs/>
          <w:b/>
        </w:rPr>
        <w:t xml:space="preserve">0b. Conversation test: draft the pass/fail rules for the owner’s approval</w:t>
      </w:r>
      <w:r>
        <w:t xml:space="preserve"> </w:t>
      </w:r>
      <w:r>
        <w:t xml:space="preserve">(the communication version of experiment 11; see 1b below). A large AI reads long conversations where the person states an intent or fact early, then many ordinary turns follow.</w:t>
      </w:r>
      <w:r>
        <w:t xml:space="preserve"> </w:t>
      </w:r>
      <w:r>
        <w:t xml:space="preserve">- Conditions: plain reading; reading with a running note kept by the owner’s carry rule (</w:t>
      </w:r>
      <w:r>
        <w:t xml:space="preserve">“</w:t>
      </w:r>
      <w:r>
        <w:t xml:space="preserve">what matters, and what remains</w:t>
      </w:r>
      <w:r>
        <w:t xml:space="preserve">”</w:t>
      </w:r>
      <w:r>
        <w:t xml:space="preserve">); a control note of the same length with no meaning.</w:t>
      </w:r>
      <w:r>
        <w:t xml:space="preserve"> </w:t>
      </w:r>
      <w:r>
        <w:t xml:space="preserve">- Score whether later answers stay true to the early intent. Use blind, fixed scoring rules, a chance level, and plain-number sizes.</w:t>
      </w:r>
      <w:r>
        <w:t xml:space="preserve"> </w:t>
      </w:r>
      <w:r>
        <w:t xml:space="preserve">- Commit the rules and get the owner’s yes before running. Say the cost first (a few dollars).</w:t>
      </w:r>
      <w:r>
        <w:t xml:space="preserve"> </w:t>
      </w:r>
      <w:r>
        <w:t xml:space="preserve">- [ ]</w:t>
      </w:r>
      <w:r>
        <w:t xml:space="preserve"> </w:t>
      </w:r>
      <w:r>
        <w:rPr>
          <w:bCs/>
          <w:b/>
        </w:rPr>
        <w:t xml:space="preserve">0c. Numbers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NUMBERS_TEST_2026-10-21/</w:t>
      </w:r>
      <w:r>
        <w:t xml:space="preserve">):</w:t>
      </w:r>
      <w:r>
        <w:t xml:space="preserve"> </w:t>
      </w:r>
      <w:r>
        <w:rPr>
          <w:bCs/>
          <w:b/>
        </w:rPr>
        <w:t xml:space="preserve">paused by the owner</w:t>
      </w:r>
      <w:r>
        <w:t xml:space="preserve"> </w:t>
      </w:r>
      <w:r>
        <w:t xml:space="preserve">at 3 of 18 models. Resume only when the owner says (</w:t>
      </w:r>
      <w:r>
        <w:rPr>
          <w:rStyle w:val="VerbatimChar"/>
        </w:rPr>
        <w:t xml:space="preserve">bash NUMBERS_TEST_2026-10-21/code/run_full.sh</w:t>
      </w:r>
      <w:r>
        <w:t xml:space="preserve">, about 4 hours). The 3 finished models are saved (</w:t>
      </w:r>
      <w:r>
        <w:rPr>
          <w:rStyle w:val="VerbatimChar"/>
        </w:rPr>
        <w:t xml:space="preserve">experiments/models/num_*_seed0</w:t>
      </w:r>
      <w:r>
        <w:t xml:space="preserve">), so it resumes from model 4.</w:t>
      </w:r>
      <w:r>
        <w:t xml:space="preserve"> </w:t>
      </w:r>
      <w:r>
        <w:t xml:space="preserve">- [ ]</w:t>
      </w:r>
      <w:r>
        <w:t xml:space="preserve"> </w:t>
      </w:r>
      <w:r>
        <w:rPr>
          <w:bCs/>
          <w:b/>
        </w:rPr>
        <w:t xml:space="preserve">0d. Queued and approved by the owner (20 Oct), after the numbers test:</w:t>
      </w:r>
      <w:r>
        <w:t xml:space="preserve"> </w:t>
      </w:r>
      <w:r>
        <w:t xml:space="preserve">1. the</w:t>
      </w:r>
      <w:r>
        <w:t xml:space="preserve"> </w:t>
      </w:r>
      <w:r>
        <w:t xml:space="preserve">“</w:t>
      </w:r>
      <w:r>
        <w:t xml:space="preserve">2</w:t>
      </w:r>
      <w:r>
        <w:t xml:space="preserve">”</w:t>
      </w:r>
      <w:r>
        <w:t xml:space="preserve"> </w:t>
      </w:r>
      <w:r>
        <w:t xml:space="preserve">test: write the remaining value into the text as a readable number (the tokenizer drops digits today);</w:t>
      </w:r>
      <w:r>
        <w:t xml:space="preserve"> </w:t>
      </w:r>
      <w:r>
        <w:t xml:space="preserve">2. the +/- agent, with the owner’s scoring rule (see HANDOFF): many small negatives, fewer larger positives, balanced over ordinary text.</w:t>
      </w:r>
      <w:r>
        <w:t xml:space="preserve"> </w:t>
      </w:r>
      <w:r>
        <w:t xml:space="preserve">- [x] Experiment 9 (Aesop): done, not confirmed. Experiment 12 (compression): done. Seed test: done. Start-marker run: done.</w:t>
      </w:r>
    </w:p>
    <w:bookmarkEnd w:id="20"/>
    <w:bookmarkStart w:id="21" w:name="Xc692f0885047c2666e6bc9dbacde397d0b72e81"/>
    <w:p>
      <w:pPr>
        <w:pStyle w:val="Heading2"/>
      </w:pPr>
      <w:r>
        <w:t xml:space="preserve">1. Confirm the owner’s carry idea properly (experiment 11 supported it once, in a re-run after fixes)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 fresh long-story set, pre-registered</w:t>
      </w:r>
      <w:r>
        <w:t xml:space="preserve">, with the shifting word vs the plain label as the main test.</w:t>
      </w:r>
    </w:p>
    <w:p>
      <w:pPr>
        <w:numPr>
          <w:ilvl w:val="1"/>
          <w:numId w:val="1002"/>
        </w:numPr>
        <w:pStyle w:val="Compact"/>
      </w:pPr>
      <w:r>
        <w:t xml:space="preserve">New everyday acts, so not the stories_v2 acts.</w:t>
      </w:r>
    </w:p>
    <w:p>
      <w:pPr>
        <w:numPr>
          <w:ilvl w:val="1"/>
          <w:numId w:val="1002"/>
        </w:numPr>
        <w:pStyle w:val="Compact"/>
      </w:pPr>
      <w:r>
        <w:t xml:space="preserve">3–5 seeds.</w:t>
      </w:r>
    </w:p>
    <w:p>
      <w:pPr>
        <w:numPr>
          <w:ilvl w:val="1"/>
          <w:numId w:val="1002"/>
        </w:numPr>
        <w:pStyle w:val="Compact"/>
      </w:pPr>
      <w:r>
        <w:t xml:space="preserve">Distances of 1, 3, 5 and 8 neutral sentences.</w:t>
      </w:r>
    </w:p>
    <w:p>
      <w:pPr>
        <w:numPr>
          <w:ilvl w:val="1"/>
          <w:numId w:val="1002"/>
        </w:numPr>
        <w:pStyle w:val="Compact"/>
      </w:pPr>
      <w:r>
        <w:t xml:space="preserve">Expected if the idea holds: the gap grows with distance.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Balance carry vs update.</w:t>
      </w:r>
    </w:p>
    <w:p>
      <w:pPr>
        <w:numPr>
          <w:ilvl w:val="1"/>
          <w:numId w:val="1003"/>
        </w:numPr>
        <w:pStyle w:val="Compact"/>
      </w:pPr>
      <w:r>
        <w:t xml:space="preserve">First check whether greedy marker choice (argmax in</w:t>
      </w:r>
      <w:r>
        <w:t xml:space="preserve"> </w:t>
      </w:r>
      <w:r>
        <w:rPr>
          <w:rStyle w:val="VerbatimChar"/>
        </w:rPr>
        <w:t xml:space="preserve">long_story_test.judge_marked</w:t>
      </w:r>
      <w:r>
        <w:t xml:space="preserve">) is hiding updates. Re-score the existing models with the full spelling distribution carried forward, or with sampled markers. That’s exploratory and needs no training.</w:t>
      </w:r>
    </w:p>
    <w:p>
      <w:pPr>
        <w:numPr>
          <w:ilvl w:val="1"/>
          <w:numId w:val="1003"/>
        </w:numPr>
        <w:pStyle w:val="Compact"/>
      </w:pPr>
      <w:r>
        <w:t xml:space="preserve">Then retrain the shifting word so markers respond more to new sentences (stronger reset or faster</w:t>
      </w:r>
      <w:r>
        <w:t xml:space="preserve"> </w:t>
      </w:r>
      <w:r>
        <w:rPr>
          <w:rStyle w:val="VerbatimChar"/>
        </w:rPr>
        <w:t xml:space="preserve">SPEND</w:t>
      </w:r>
      <w:r>
        <w:t xml:space="preserve">),</w:t>
      </w:r>
      <w:r>
        <w:t xml:space="preserve"> </w:t>
      </w:r>
      <w:r>
        <w:rPr>
          <w:bCs/>
          <w:b/>
        </w:rPr>
        <w:t xml:space="preserve">under new model file names</w:t>
      </w:r>
      <w:r>
        <w:t xml:space="preserve">, and rerun the long-story test.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Try the owner’s original rule</w:t>
      </w:r>
      <w:r>
        <w:t xml:space="preserve"> </w:t>
      </w:r>
      <w:r>
        <w:t xml:space="preserve">(</w:t>
      </w:r>
      <w:r>
        <w:t xml:space="preserve">“</w:t>
      </w:r>
      <w:r>
        <w:t xml:space="preserve">W1 = 17 + 4</w:t>
      </w:r>
      <w:r>
        <w:t xml:space="preserve">”</w:t>
      </w:r>
      <w:r>
        <w:t xml:space="preserve">). Needs new code: train a separate model with RECHARGE on, under its own file name, without editing the shared settings in</w:t>
      </w:r>
      <w:r>
        <w:t xml:space="preserve"> </w:t>
      </w:r>
      <w:r>
        <w:rPr>
          <w:rStyle w:val="VerbatimChar"/>
        </w:rPr>
        <w:t xml:space="preserve">shifting_word.py</w:t>
      </w:r>
      <w:r>
        <w:t xml:space="preserve">. Cached keys and model names don’t record it, so flipping the setting would silently reuse or overwrite old models. With it on, the balance pins at ±51, so also try a smaller cap.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Try the owner’s numbers</w:t>
      </w:r>
      <w:r>
        <w:t xml:space="preserve"> </w:t>
      </w:r>
      <w:r>
        <w:t xml:space="preserve">(32, 16, 34, 47) as RESET sizes with SPEND and word values fixed, or as ratios (e.g. SPEND = 17/34 or 16/32 per word). A raw SPEND of 16–47 per word would erase the balance immediately. Use new model names, in the long-story setting. Report effect sizes even if small: the owner considers any improvement notable.</w:t>
      </w:r>
    </w:p>
    <w:bookmarkEnd w:id="21"/>
    <w:bookmarkStart w:id="22" w:name="X0594e4f12bba4d4bf9d7722d4a76848884342da"/>
    <w:p>
      <w:pPr>
        <w:pStyle w:val="Heading2"/>
      </w:pPr>
      <w:r>
        <w:t xml:space="preserve">1b. Bring it back to communication (closest to the objective)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Conversation-carry test:</w:t>
      </w:r>
      <w:r>
        <w:t xml:space="preserve"> </w:t>
      </w:r>
      <w:r>
        <w:t xml:space="preserve">the communication version of experiment 11. In a long dialogue, the owner states an intent or a key fact early, followed by enough ordinary turns that it scrolls out of view. Does a carried marker help the model answer later turns consistently with that early intent? Shifting word vs plain label vs no marker, pre-registered. This tests whether carried state improves</w:t>
      </w:r>
      <w:r>
        <w:t xml:space="preserve"> </w:t>
      </w:r>
      <w:r>
        <w:rPr>
          <w:iCs/>
          <w:i/>
        </w:rPr>
        <w:t xml:space="preserve">understanding a person over a conversation</w:t>
      </w:r>
      <w:r>
        <w:t xml:space="preserve">, which is the owner’s actual goal.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Owner-explanation test:</w:t>
      </w:r>
      <w:r>
        <w:t xml:space="preserve"> </w:t>
      </w:r>
      <w:r>
        <w:t xml:space="preserve">take the owner’s real metaphor-and-math explanations (for example</w:t>
      </w:r>
      <w:r>
        <w:t xml:space="preserve"> </w:t>
      </w:r>
      <w:r>
        <w:rPr>
          <w:rStyle w:val="VerbatimChar"/>
        </w:rPr>
        <w:t xml:space="preserve">[w1=17 −&lt;next word (−13)&gt; = +4 Remaining]</w:t>
      </w:r>
      <w:r>
        <w:t xml:space="preserve">) and check whether a reader maps them to the right mechanism. Turn</w:t>
      </w:r>
      <w:r>
        <w:t xml:space="preserve"> </w:t>
      </w:r>
      <w:r>
        <w:rPr>
          <w:rStyle w:val="VerbatimChar"/>
        </w:rPr>
        <w:t xml:space="preserve">COMMUNICATION_GUIDE.md</w:t>
      </w:r>
      <w:r>
        <w:t xml:space="preserve"> </w:t>
      </w:r>
      <w:r>
        <w:t xml:space="preserve">into checkable examples.</w:t>
      </w:r>
    </w:p>
    <w:bookmarkEnd w:id="22"/>
    <w:bookmarkStart w:id="23" w:name="Xc88b3d2b00fbbf5eb6473a24fe3cbe83816d033"/>
    <w:p>
      <w:pPr>
        <w:pStyle w:val="Heading2"/>
      </w:pPr>
      <w:r>
        <w:t xml:space="preserve">2. Confirm the judging gain with its own pre-registration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Also queued:</w:t>
      </w:r>
      <w:r>
        <w:t xml:space="preserve"> </w:t>
      </w:r>
      <w:r>
        <w:t xml:space="preserve">a consequences test with the ending format matched across marked and plain models; and a</w:t>
      </w:r>
      <w:r>
        <w:t xml:space="preserve"> </w:t>
      </w:r>
      <w:r>
        <w:t xml:space="preserve">“</w:t>
      </w:r>
      <w:r>
        <w:t xml:space="preserve">rules with reasons attached</w:t>
      </w:r>
      <w:r>
        <w:t xml:space="preserve">”</w:t>
      </w:r>
      <w:r>
        <w:t xml:space="preserve"> </w:t>
      </w:r>
      <w:r>
        <w:t xml:space="preserve">training set as a control in the stories-vs-rules comparison (see</w:t>
      </w:r>
      <w:r>
        <w:t xml:space="preserve"> </w:t>
      </w:r>
      <w:r>
        <w:rPr>
          <w:rStyle w:val="VerbatimChar"/>
        </w:rPr>
        <w:t xml:space="preserve">PRIOR_WORK.md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New short story set, with judging as the primary measure:</w:t>
      </w:r>
      <w:r>
        <w:t xml:space="preserve"> </w:t>
      </w:r>
      <w:r>
        <w:t xml:space="preserve">marked methods (shifting, label) vs no marker vs scrambled. Experiment 8 showed it only as a side measure.</w:t>
      </w:r>
    </w:p>
    <w:bookmarkEnd w:id="23"/>
    <w:bookmarkStart w:id="24" w:name="the-spelling-part-of-the-idea"/>
    <w:p>
      <w:pPr>
        <w:pStyle w:val="Heading2"/>
      </w:pPr>
      <w:r>
        <w:t xml:space="preserve">3. The</w:t>
      </w:r>
      <w:r>
        <w:t xml:space="preserve"> </w:t>
      </w:r>
      <w:r>
        <w:t xml:space="preserve">“</w:t>
      </w:r>
      <w:r>
        <w:t xml:space="preserve">spelling</w:t>
      </w:r>
      <w:r>
        <w:t xml:space="preserve">”</w:t>
      </w:r>
      <w:r>
        <w:t xml:space="preserve"> </w:t>
      </w:r>
      <w:r>
        <w:t xml:space="preserve">part of the idea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Sub-word tokenizer:</w:t>
      </w:r>
      <w:r>
        <w:t xml:space="preserve"> </w:t>
      </w:r>
      <w:r>
        <w:t xml:space="preserve">our word-level tokenizer makes the five spellings five unrelated tokens, so the shared syllables are invisible. Retrain with a sub-word tokenizer (BPE) so the rotations</w:t>
      </w:r>
      <w:r>
        <w:t xml:space="preserve"> </w:t>
      </w:r>
      <w:r>
        <w:rPr>
          <w:iCs/>
          <w:i/>
        </w:rPr>
        <w:t xml:space="preserve">share pieces</w:t>
      </w:r>
      <w:r>
        <w:t xml:space="preserve">, and test whether that helps.</w:t>
      </w:r>
    </w:p>
    <w:bookmarkEnd w:id="24"/>
    <w:bookmarkStart w:id="25" w:name="bigger-readers"/>
    <w:p>
      <w:pPr>
        <w:pStyle w:val="Heading2"/>
      </w:pPr>
      <w:r>
        <w:t xml:space="preserve">4. Bigger readers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 larger tiny model</w:t>
      </w:r>
      <w:r>
        <w:t xml:space="preserve"> </w:t>
      </w:r>
      <w:r>
        <w:t xml:space="preserve">(more layers, longer window), if time or a GPU allows.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 large AI as the reader:</w:t>
      </w:r>
      <w:r>
        <w:t xml:space="preserve"> </w:t>
      </w:r>
      <w:r>
        <w:t xml:space="preserve">give it the long-story tests with and without the shifting-word convention as instructions. Needs an API key.</w:t>
      </w:r>
    </w:p>
    <w:bookmarkEnd w:id="25"/>
    <w:bookmarkStart w:id="26" w:name="share-it"/>
    <w:p>
      <w:pPr>
        <w:pStyle w:val="Heading2"/>
      </w:pPr>
      <w:r>
        <w:t xml:space="preserve">5. Share it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 short public report:</w:t>
      </w:r>
    </w:p>
    <w:p>
      <w:pPr>
        <w:numPr>
          <w:ilvl w:val="1"/>
          <w:numId w:val="1009"/>
        </w:numPr>
        <w:pStyle w:val="Compact"/>
      </w:pPr>
      <w:r>
        <w:t xml:space="preserve">the idea, credited to the owner, and the method, built with an AI;</w:t>
      </w:r>
    </w:p>
    <w:p>
      <w:pPr>
        <w:numPr>
          <w:ilvl w:val="1"/>
          <w:numId w:val="1009"/>
        </w:numPr>
        <w:pStyle w:val="Compact"/>
      </w:pPr>
      <w:r>
        <w:t xml:space="preserve">every result, including failures (experiments 5, 6 and 8, and L1);</w:t>
      </w:r>
    </w:p>
    <w:p>
      <w:pPr>
        <w:numPr>
          <w:ilvl w:val="1"/>
          <w:numId w:val="1009"/>
        </w:numPr>
        <w:pStyle w:val="Compact"/>
      </w:pPr>
      <w:r>
        <w:t xml:space="preserve">the code;</w:t>
      </w:r>
    </w:p>
    <w:p>
      <w:pPr>
        <w:numPr>
          <w:ilvl w:val="1"/>
          <w:numId w:val="1009"/>
        </w:numPr>
        <w:pStyle w:val="Compact"/>
      </w:pPr>
      <w:r>
        <w:t xml:space="preserve">comparison with prior work (</w:t>
      </w:r>
      <w:r>
        <w:rPr>
          <w:rStyle w:val="VerbatimChar"/>
        </w:rPr>
        <w:t xml:space="preserve">PRIOR_WORK.md</w:t>
      </w:r>
      <w:r>
        <w:t xml:space="preserve">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2026-10-21T21:57:51Z</dcterms:created>
  <dcterms:modified xsi:type="dcterms:W3CDTF">2026-10-21T21:57:51Z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