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08ED1" w14:textId="77777777" w:rsidR="00B50587" w:rsidRDefault="00B408EA">
      <w:pPr>
        <w:pStyle w:val="Title"/>
        <w:rPr>
          <w:rFonts w:ascii="Times New Roman" w:eastAsia="Times New Roman" w:hAnsi="Times New Roman" w:cs="Times New Roman"/>
          <w:sz w:val="32"/>
          <w:szCs w:val="32"/>
        </w:rPr>
      </w:pPr>
      <w:bookmarkStart w:id="0" w:name="_5vylqwlpwq30" w:colFirst="0" w:colLast="0"/>
      <w:bookmarkEnd w:id="0"/>
      <w:r>
        <w:rPr>
          <w:rFonts w:ascii="Times New Roman" w:eastAsia="Times New Roman" w:hAnsi="Times New Roman" w:cs="Times New Roman"/>
          <w:sz w:val="32"/>
          <w:szCs w:val="32"/>
        </w:rPr>
        <w:t>Report: “Buy-Low” FX Trading Algorithm (AUD -&gt; NZD)</w:t>
      </w:r>
    </w:p>
    <w:p w14:paraId="21F3A7C4" w14:textId="77777777" w:rsidR="00B50587" w:rsidRDefault="00B408EA">
      <w:pPr>
        <w:pStyle w:val="Heading1"/>
        <w:rPr>
          <w:rFonts w:ascii="Times New Roman" w:eastAsia="Times New Roman" w:hAnsi="Times New Roman" w:cs="Times New Roman"/>
          <w:sz w:val="28"/>
          <w:szCs w:val="28"/>
        </w:rPr>
      </w:pPr>
      <w:bookmarkStart w:id="1" w:name="_v538gk8r26za" w:colFirst="0" w:colLast="0"/>
      <w:bookmarkEnd w:id="1"/>
      <w:r>
        <w:rPr>
          <w:rFonts w:ascii="Times New Roman" w:eastAsia="Times New Roman" w:hAnsi="Times New Roman" w:cs="Times New Roman"/>
          <w:sz w:val="28"/>
          <w:szCs w:val="28"/>
        </w:rPr>
        <w:t>1) What the algorithm is trying to do</w:t>
      </w:r>
    </w:p>
    <w:p w14:paraId="1B77DAC1" w14:textId="77777777" w:rsidR="00B50587" w:rsidRDefault="00B50587">
      <w:pPr>
        <w:rPr>
          <w:rFonts w:ascii="Times New Roman" w:eastAsia="Times New Roman" w:hAnsi="Times New Roman" w:cs="Times New Roman"/>
          <w:sz w:val="24"/>
          <w:szCs w:val="24"/>
        </w:rPr>
      </w:pPr>
    </w:p>
    <w:p w14:paraId="600FDBB4" w14:textId="04B8A2D4"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is to exchange </w:t>
      </w:r>
      <w:r w:rsidR="00F13999">
        <w:rPr>
          <w:rFonts w:ascii="Times New Roman" w:eastAsia="Times New Roman" w:hAnsi="Times New Roman" w:cs="Times New Roman"/>
          <w:sz w:val="24"/>
          <w:szCs w:val="24"/>
        </w:rPr>
        <w:t>NZD</w:t>
      </w:r>
      <w:r>
        <w:rPr>
          <w:rFonts w:ascii="Times New Roman" w:eastAsia="Times New Roman" w:hAnsi="Times New Roman" w:cs="Times New Roman"/>
          <w:sz w:val="24"/>
          <w:szCs w:val="24"/>
        </w:rPr>
        <w:t xml:space="preserve"> into </w:t>
      </w:r>
      <w:r w:rsidR="00F13999">
        <w:rPr>
          <w:rFonts w:ascii="Times New Roman" w:eastAsia="Times New Roman" w:hAnsi="Times New Roman" w:cs="Times New Roman"/>
          <w:sz w:val="24"/>
          <w:szCs w:val="24"/>
        </w:rPr>
        <w:t>AUD</w:t>
      </w:r>
      <w:r>
        <w:rPr>
          <w:rFonts w:ascii="Times New Roman" w:eastAsia="Times New Roman" w:hAnsi="Times New Roman" w:cs="Times New Roman"/>
          <w:sz w:val="24"/>
          <w:szCs w:val="24"/>
        </w:rPr>
        <w:t xml:space="preserve"> more favourably by leaning into “cheap” periods for AUD/NZD. In other words, we add to the </w:t>
      </w:r>
      <w:r w:rsidR="00F13999">
        <w:rPr>
          <w:rFonts w:ascii="Times New Roman" w:eastAsia="Times New Roman" w:hAnsi="Times New Roman" w:cs="Times New Roman"/>
          <w:sz w:val="24"/>
          <w:szCs w:val="24"/>
        </w:rPr>
        <w:t>NZD -&gt; AUD</w:t>
      </w:r>
      <w:r>
        <w:rPr>
          <w:rFonts w:ascii="Times New Roman" w:eastAsia="Times New Roman" w:hAnsi="Times New Roman" w:cs="Times New Roman"/>
          <w:sz w:val="24"/>
          <w:szCs w:val="24"/>
        </w:rPr>
        <w:t xml:space="preserve"> position on days when the exchange rate looks low relative to its recent history. </w:t>
      </w:r>
      <w:r w:rsidR="004359E2">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place buys only when conditions are attractive, and we keep the total position within a steadily expanding monthly “envelope” so that exposure ramps up in a controlled, predictable way over time.</w:t>
      </w:r>
    </w:p>
    <w:p w14:paraId="5B6C6E11" w14:textId="77777777" w:rsidR="00B50587" w:rsidRDefault="00B50587">
      <w:pPr>
        <w:rPr>
          <w:rFonts w:ascii="Times New Roman" w:eastAsia="Times New Roman" w:hAnsi="Times New Roman" w:cs="Times New Roman"/>
          <w:sz w:val="24"/>
          <w:szCs w:val="24"/>
        </w:rPr>
      </w:pPr>
    </w:p>
    <w:p w14:paraId="69C76EAB" w14:textId="56D97D6C" w:rsidR="00B50587" w:rsidRDefault="003671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FAEF7C0" wp14:editId="70AD8E18">
                <wp:simplePos x="0" y="0"/>
                <wp:positionH relativeFrom="margin">
                  <wp:align>right</wp:align>
                </wp:positionH>
                <wp:positionV relativeFrom="paragraph">
                  <wp:posOffset>497840</wp:posOffset>
                </wp:positionV>
                <wp:extent cx="5238750" cy="2057400"/>
                <wp:effectExtent l="38100" t="38100" r="76200" b="95250"/>
                <wp:wrapNone/>
                <wp:docPr id="824744691" name="Straight Connector 2"/>
                <wp:cNvGraphicFramePr/>
                <a:graphic xmlns:a="http://schemas.openxmlformats.org/drawingml/2006/main">
                  <a:graphicData uri="http://schemas.microsoft.com/office/word/2010/wordprocessingShape">
                    <wps:wsp>
                      <wps:cNvCnPr/>
                      <wps:spPr>
                        <a:xfrm flipV="1">
                          <a:off x="0" y="0"/>
                          <a:ext cx="5238750" cy="2057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6A8ED" id="Straight Connector 2"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1.3pt,39.2pt" to="773.8pt,2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" strokecolor="#4f81bd [3204]" strokeweight="2pt">
                <v:shadow on="t" color="black" opacity="24903f" origin=",.5" offset="0,.55556mm"/>
                <w10:wrap anchorx="margin"/>
              </v:line>
            </w:pict>
          </mc:Fallback>
        </mc:AlternateContent>
      </w:r>
      <w:r w:rsidR="00BA68A3">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0CB561A" wp14:editId="23790248">
                <wp:simplePos x="0" y="0"/>
                <wp:positionH relativeFrom="margin">
                  <wp:align>right</wp:align>
                </wp:positionH>
                <wp:positionV relativeFrom="paragraph">
                  <wp:posOffset>355600</wp:posOffset>
                </wp:positionV>
                <wp:extent cx="5524500" cy="2152650"/>
                <wp:effectExtent l="38100" t="38100" r="76200" b="95250"/>
                <wp:wrapNone/>
                <wp:docPr id="904667784" name="Straight Connector 2"/>
                <wp:cNvGraphicFramePr/>
                <a:graphic xmlns:a="http://schemas.openxmlformats.org/drawingml/2006/main">
                  <a:graphicData uri="http://schemas.microsoft.com/office/word/2010/wordprocessingShape">
                    <wps:wsp>
                      <wps:cNvCnPr/>
                      <wps:spPr>
                        <a:xfrm flipV="1">
                          <a:off x="0" y="0"/>
                          <a:ext cx="5524500" cy="21526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89748" id="Straight Connector 2"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3.8pt,28pt" to="818.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" strokecolor="#4f81bd [3204]" strokeweight="2pt">
                <v:shadow on="t" color="black" opacity="24903f" origin=",.5" offset="0,.55556mm"/>
                <w10:wrap anchorx="margin"/>
              </v:line>
            </w:pict>
          </mc:Fallback>
        </mc:AlternateContent>
      </w:r>
      <w:r w:rsidR="00B408EA">
        <w:rPr>
          <w:rFonts w:ascii="Times New Roman" w:eastAsia="Times New Roman" w:hAnsi="Times New Roman" w:cs="Times New Roman"/>
          <w:noProof/>
          <w:sz w:val="24"/>
          <w:szCs w:val="24"/>
        </w:rPr>
        <w:drawing>
          <wp:inline distT="114300" distB="114300" distL="114300" distR="114300" wp14:anchorId="62D742C5" wp14:editId="77295C40">
            <wp:extent cx="5731200" cy="28956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731200" cy="2895600"/>
                    </a:xfrm>
                    <a:prstGeom prst="rect">
                      <a:avLst/>
                    </a:prstGeom>
                    <a:ln/>
                  </pic:spPr>
                </pic:pic>
              </a:graphicData>
            </a:graphic>
          </wp:inline>
        </w:drawing>
      </w:r>
    </w:p>
    <w:p w14:paraId="22ED96ED" w14:textId="77777777" w:rsidR="00B50587" w:rsidRDefault="00B408EA">
      <w:pPr>
        <w:pStyle w:val="Heading1"/>
        <w:rPr>
          <w:rFonts w:ascii="Times New Roman" w:eastAsia="Times New Roman" w:hAnsi="Times New Roman" w:cs="Times New Roman"/>
          <w:sz w:val="28"/>
          <w:szCs w:val="28"/>
        </w:rPr>
      </w:pPr>
      <w:bookmarkStart w:id="2" w:name="_y1p0sonfouac" w:colFirst="0" w:colLast="0"/>
      <w:bookmarkEnd w:id="2"/>
      <w:r>
        <w:rPr>
          <w:rFonts w:ascii="Times New Roman" w:eastAsia="Times New Roman" w:hAnsi="Times New Roman" w:cs="Times New Roman"/>
          <w:sz w:val="28"/>
          <w:szCs w:val="28"/>
        </w:rPr>
        <w:t>2) The inputs</w:t>
      </w:r>
    </w:p>
    <w:p w14:paraId="0FC3BECB" w14:textId="77777777" w:rsidR="00B50587" w:rsidRDefault="00B50587">
      <w:pPr>
        <w:rPr>
          <w:rFonts w:ascii="Times New Roman" w:eastAsia="Times New Roman" w:hAnsi="Times New Roman" w:cs="Times New Roman"/>
          <w:sz w:val="24"/>
          <w:szCs w:val="24"/>
        </w:rPr>
      </w:pPr>
    </w:p>
    <w:p w14:paraId="637B2A2A" w14:textId="433DCA5A" w:rsidR="00B50587" w:rsidRDefault="00B408EA">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CSV file with two essential columns: ‘Date’ and ‘Close’ (Close is the AUD/NZD close price on </w:t>
      </w:r>
      <w:r w:rsidR="001A2B8F">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date).</w:t>
      </w:r>
    </w:p>
    <w:p w14:paraId="070D84D9" w14:textId="77777777" w:rsidR="00B50587" w:rsidRDefault="00B408EA">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configurable parameters (with sensible defaults) that govern how sensitive the signals are, how much we buy per signal, and how quickly the allowed position grows over months.</w:t>
      </w:r>
    </w:p>
    <w:p w14:paraId="2CAE286A" w14:textId="0D482239" w:rsidR="00B50587" w:rsidRDefault="00B408EA">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one “unit” of buying, e.g. ‘</w:t>
      </w:r>
      <w:r w:rsidR="006C63D9">
        <w:rPr>
          <w:rFonts w:ascii="Times New Roman" w:eastAsia="Times New Roman" w:hAnsi="Times New Roman" w:cs="Times New Roman"/>
          <w:sz w:val="24"/>
          <w:szCs w:val="24"/>
        </w:rPr>
        <w:t>9</w:t>
      </w:r>
      <w:r>
        <w:rPr>
          <w:rFonts w:ascii="Times New Roman" w:eastAsia="Times New Roman" w:hAnsi="Times New Roman" w:cs="Times New Roman"/>
          <w:sz w:val="24"/>
          <w:szCs w:val="24"/>
        </w:rPr>
        <w:t>00,000 NZD per unit’ by default.</w:t>
      </w:r>
    </w:p>
    <w:p w14:paraId="30512B19" w14:textId="77777777" w:rsidR="00B50587" w:rsidRDefault="00B50587">
      <w:pPr>
        <w:ind w:left="720"/>
        <w:rPr>
          <w:rFonts w:ascii="Times New Roman" w:eastAsia="Times New Roman" w:hAnsi="Times New Roman" w:cs="Times New Roman"/>
          <w:sz w:val="24"/>
          <w:szCs w:val="24"/>
        </w:rPr>
      </w:pPr>
    </w:p>
    <w:p w14:paraId="34EF2796" w14:textId="77777777" w:rsidR="00B50587" w:rsidRDefault="00B50587">
      <w:pPr>
        <w:rPr>
          <w:rFonts w:ascii="Times New Roman" w:eastAsia="Times New Roman" w:hAnsi="Times New Roman" w:cs="Times New Roman"/>
          <w:sz w:val="24"/>
          <w:szCs w:val="24"/>
        </w:rPr>
      </w:pPr>
    </w:p>
    <w:p w14:paraId="55CE8699" w14:textId="77777777" w:rsidR="00B50587" w:rsidRDefault="00B408EA">
      <w:pPr>
        <w:pStyle w:val="Heading1"/>
        <w:rPr>
          <w:rFonts w:ascii="Times New Roman" w:eastAsia="Times New Roman" w:hAnsi="Times New Roman" w:cs="Times New Roman"/>
          <w:sz w:val="28"/>
          <w:szCs w:val="28"/>
        </w:rPr>
      </w:pPr>
      <w:bookmarkStart w:id="3" w:name="_kwz29x28psbp" w:colFirst="0" w:colLast="0"/>
      <w:bookmarkEnd w:id="3"/>
      <w:r>
        <w:rPr>
          <w:rFonts w:ascii="Times New Roman" w:eastAsia="Times New Roman" w:hAnsi="Times New Roman" w:cs="Times New Roman"/>
          <w:sz w:val="28"/>
          <w:szCs w:val="28"/>
        </w:rPr>
        <w:t>3) The outputs</w:t>
      </w:r>
    </w:p>
    <w:p w14:paraId="6F0E8501" w14:textId="77777777" w:rsidR="00B50587" w:rsidRDefault="00B50587">
      <w:pPr>
        <w:rPr>
          <w:rFonts w:ascii="Times New Roman" w:eastAsia="Times New Roman" w:hAnsi="Times New Roman" w:cs="Times New Roman"/>
          <w:sz w:val="24"/>
          <w:szCs w:val="24"/>
        </w:rPr>
      </w:pPr>
    </w:p>
    <w:p w14:paraId="1B116702" w14:textId="77777777" w:rsidR="00B50587" w:rsidRDefault="00B408EA">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CSV file with daily features, buy decisions, position, cash flows, and equity in NZD.</w:t>
      </w:r>
    </w:p>
    <w:p w14:paraId="05A983EF" w14:textId="77777777" w:rsidR="00B50587" w:rsidRDefault="00B408EA">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summary table that checks the month-end position stays inside its allowed band.</w:t>
      </w:r>
    </w:p>
    <w:p w14:paraId="533710E2" w14:textId="6437A1AA" w:rsidR="00B50587" w:rsidRDefault="00B408EA">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chart with three panels: price and buy dots; </w:t>
      </w:r>
      <w:r w:rsidR="00F13999">
        <w:rPr>
          <w:rFonts w:ascii="Times New Roman" w:eastAsia="Times New Roman" w:hAnsi="Times New Roman" w:cs="Times New Roman"/>
          <w:sz w:val="24"/>
          <w:szCs w:val="24"/>
        </w:rPr>
        <w:t>z vol</w:t>
      </w:r>
      <w:r>
        <w:rPr>
          <w:rFonts w:ascii="Times New Roman" w:eastAsia="Times New Roman" w:hAnsi="Times New Roman" w:cs="Times New Roman"/>
          <w:sz w:val="24"/>
          <w:szCs w:val="24"/>
        </w:rPr>
        <w:t>; and a “z-score” panel showing when price was statistically cheap.</w:t>
      </w:r>
    </w:p>
    <w:p w14:paraId="5A785687" w14:textId="77777777" w:rsidR="00B50587" w:rsidRDefault="00B50587">
      <w:pPr>
        <w:pStyle w:val="Heading1"/>
        <w:rPr>
          <w:rFonts w:ascii="Times New Roman" w:eastAsia="Times New Roman" w:hAnsi="Times New Roman" w:cs="Times New Roman"/>
          <w:sz w:val="24"/>
          <w:szCs w:val="24"/>
        </w:rPr>
      </w:pPr>
      <w:bookmarkStart w:id="4" w:name="_xsh4ow1w1eq4" w:colFirst="0" w:colLast="0"/>
      <w:bookmarkEnd w:id="4"/>
    </w:p>
    <w:p w14:paraId="559C5FEC" w14:textId="77777777" w:rsidR="00B50587" w:rsidRDefault="00B408EA">
      <w:pPr>
        <w:pStyle w:val="Heading1"/>
        <w:rPr>
          <w:rFonts w:ascii="Times New Roman" w:eastAsia="Times New Roman" w:hAnsi="Times New Roman" w:cs="Times New Roman"/>
          <w:sz w:val="28"/>
          <w:szCs w:val="28"/>
        </w:rPr>
      </w:pPr>
      <w:bookmarkStart w:id="5" w:name="_erh6zolsy04u" w:colFirst="0" w:colLast="0"/>
      <w:bookmarkEnd w:id="5"/>
      <w:r>
        <w:rPr>
          <w:rFonts w:ascii="Times New Roman" w:eastAsia="Times New Roman" w:hAnsi="Times New Roman" w:cs="Times New Roman"/>
          <w:sz w:val="28"/>
          <w:szCs w:val="28"/>
        </w:rPr>
        <w:t>4) How “cheap” is measured (the features)</w:t>
      </w:r>
    </w:p>
    <w:p w14:paraId="6B18BA45" w14:textId="77777777" w:rsidR="00B50587" w:rsidRDefault="00B50587">
      <w:pPr>
        <w:rPr>
          <w:rFonts w:ascii="Times New Roman" w:eastAsia="Times New Roman" w:hAnsi="Times New Roman" w:cs="Times New Roman"/>
          <w:sz w:val="24"/>
          <w:szCs w:val="24"/>
        </w:rPr>
      </w:pPr>
    </w:p>
    <w:p w14:paraId="2EAEEB98" w14:textId="77777777"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blends several simple measures of “cheapness” and “stress.” Each one is normalised so we can combine them consistently.</w:t>
      </w:r>
    </w:p>
    <w:p w14:paraId="0790E9BC" w14:textId="77777777" w:rsidR="00B50587" w:rsidRDefault="00B50587">
      <w:pPr>
        <w:ind w:left="720"/>
        <w:rPr>
          <w:rFonts w:ascii="Times New Roman" w:eastAsia="Times New Roman" w:hAnsi="Times New Roman" w:cs="Times New Roman"/>
          <w:sz w:val="24"/>
          <w:szCs w:val="24"/>
        </w:rPr>
      </w:pPr>
    </w:p>
    <w:p w14:paraId="5D6377A9" w14:textId="77777777" w:rsidR="00B50587" w:rsidRDefault="00B408EA">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Price z-score (z): compares today’s price to its recent average, scaled by recent variability. When ‘z’ is negative and large in magnitude, price looks cheap versus its own recent norm.</w:t>
      </w:r>
    </w:p>
    <w:p w14:paraId="4BF2683C" w14:textId="77777777" w:rsidR="00B50587" w:rsidRDefault="00B50587">
      <w:pPr>
        <w:ind w:left="720"/>
        <w:rPr>
          <w:rFonts w:ascii="Times New Roman" w:eastAsia="Times New Roman" w:hAnsi="Times New Roman" w:cs="Times New Roman"/>
          <w:sz w:val="24"/>
          <w:szCs w:val="24"/>
        </w:rPr>
      </w:pPr>
    </w:p>
    <w:p w14:paraId="2D959778" w14:textId="77777777" w:rsidR="00B50587" w:rsidRDefault="00B408EA">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RSI (Relative Strength Index): a common “oversold/overbought” gauge. We focus on low RSI values (oversold), which often coincide with short-term weakness.</w:t>
      </w:r>
    </w:p>
    <w:p w14:paraId="6EAB8BAE" w14:textId="77777777" w:rsidR="00B50587" w:rsidRDefault="00B50587">
      <w:pPr>
        <w:ind w:left="720"/>
        <w:rPr>
          <w:rFonts w:ascii="Times New Roman" w:eastAsia="Times New Roman" w:hAnsi="Times New Roman" w:cs="Times New Roman"/>
          <w:sz w:val="24"/>
          <w:szCs w:val="24"/>
        </w:rPr>
      </w:pPr>
    </w:p>
    <w:p w14:paraId="461A84A0" w14:textId="77777777" w:rsidR="00B50587" w:rsidRDefault="00B408EA">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Volatility regime (vol\_z): a z-score of recent volatility. We avoid the extremes: if volatility is very low (market asleep) or very high (panic), we scale back. The best spot is the middle.</w:t>
      </w:r>
    </w:p>
    <w:p w14:paraId="2BDFAC42" w14:textId="77777777" w:rsidR="00B50587" w:rsidRDefault="00B50587">
      <w:pPr>
        <w:rPr>
          <w:rFonts w:ascii="Times New Roman" w:eastAsia="Times New Roman" w:hAnsi="Times New Roman" w:cs="Times New Roman"/>
          <w:sz w:val="24"/>
          <w:szCs w:val="24"/>
        </w:rPr>
      </w:pPr>
    </w:p>
    <w:p w14:paraId="3EE0188A" w14:textId="77777777"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measures are calculated from the historical price series and updated day by day.</w:t>
      </w:r>
    </w:p>
    <w:p w14:paraId="361A360B" w14:textId="77777777" w:rsidR="00B50587" w:rsidRDefault="00B50587">
      <w:pPr>
        <w:rPr>
          <w:rFonts w:ascii="Times New Roman" w:eastAsia="Times New Roman" w:hAnsi="Times New Roman" w:cs="Times New Roman"/>
          <w:sz w:val="24"/>
          <w:szCs w:val="24"/>
        </w:rPr>
      </w:pPr>
    </w:p>
    <w:p w14:paraId="2698264E" w14:textId="77777777" w:rsidR="00B50587" w:rsidRDefault="00B50587">
      <w:pPr>
        <w:rPr>
          <w:rFonts w:ascii="Times New Roman" w:eastAsia="Times New Roman" w:hAnsi="Times New Roman" w:cs="Times New Roman"/>
          <w:sz w:val="24"/>
          <w:szCs w:val="24"/>
        </w:rPr>
      </w:pPr>
    </w:p>
    <w:p w14:paraId="36023DCD" w14:textId="77777777" w:rsidR="00B50587" w:rsidRDefault="00B408EA">
      <w:pPr>
        <w:pStyle w:val="Heading1"/>
        <w:rPr>
          <w:rFonts w:ascii="Times New Roman" w:eastAsia="Times New Roman" w:hAnsi="Times New Roman" w:cs="Times New Roman"/>
          <w:sz w:val="28"/>
          <w:szCs w:val="28"/>
        </w:rPr>
      </w:pPr>
      <w:bookmarkStart w:id="6" w:name="_7bhmh86x2lyr" w:colFirst="0" w:colLast="0"/>
      <w:bookmarkEnd w:id="6"/>
      <w:r>
        <w:rPr>
          <w:rFonts w:ascii="Times New Roman" w:eastAsia="Times New Roman" w:hAnsi="Times New Roman" w:cs="Times New Roman"/>
          <w:sz w:val="28"/>
          <w:szCs w:val="28"/>
        </w:rPr>
        <w:t>5) Turning features into daily buy decisions</w:t>
      </w:r>
    </w:p>
    <w:p w14:paraId="0F09B58C" w14:textId="77777777" w:rsidR="00B50587" w:rsidRDefault="00B50587">
      <w:pPr>
        <w:rPr>
          <w:rFonts w:ascii="Times New Roman" w:eastAsia="Times New Roman" w:hAnsi="Times New Roman" w:cs="Times New Roman"/>
          <w:sz w:val="24"/>
          <w:szCs w:val="24"/>
        </w:rPr>
      </w:pPr>
    </w:p>
    <w:p w14:paraId="028667B2" w14:textId="77777777"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We create a single ‘score’ each day that sums up all signals and then map that score to an integer number of “units” to buy.</w:t>
      </w:r>
    </w:p>
    <w:p w14:paraId="7944D51A" w14:textId="77777777" w:rsidR="00B50587" w:rsidRDefault="00B50587">
      <w:pPr>
        <w:rPr>
          <w:rFonts w:ascii="Times New Roman" w:eastAsia="Times New Roman" w:hAnsi="Times New Roman" w:cs="Times New Roman"/>
          <w:sz w:val="24"/>
          <w:szCs w:val="24"/>
        </w:rPr>
      </w:pPr>
    </w:p>
    <w:p w14:paraId="06F63997" w14:textId="1D7EE32F" w:rsidR="00B50587" w:rsidRPr="00F13999" w:rsidRDefault="00B408EA" w:rsidP="00F1399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Weighted blend: we give weights to z-score</w:t>
      </w:r>
      <w:r w:rsidR="00F1399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RSI. By </w:t>
      </w:r>
      <w:proofErr w:type="gramStart"/>
      <w:r>
        <w:rPr>
          <w:rFonts w:ascii="Times New Roman" w:eastAsia="Times New Roman" w:hAnsi="Times New Roman" w:cs="Times New Roman"/>
          <w:sz w:val="24"/>
          <w:szCs w:val="24"/>
        </w:rPr>
        <w:t>default</w:t>
      </w:r>
      <w:proofErr w:type="gramEnd"/>
      <w:r>
        <w:rPr>
          <w:rFonts w:ascii="Times New Roman" w:eastAsia="Times New Roman" w:hAnsi="Times New Roman" w:cs="Times New Roman"/>
          <w:sz w:val="24"/>
          <w:szCs w:val="24"/>
        </w:rPr>
        <w:t xml:space="preserve"> the z-</w:t>
      </w:r>
      <w:r w:rsidR="00F13999">
        <w:rPr>
          <w:rFonts w:ascii="Times New Roman" w:eastAsia="Times New Roman" w:hAnsi="Times New Roman" w:cs="Times New Roman"/>
          <w:sz w:val="24"/>
          <w:szCs w:val="24"/>
        </w:rPr>
        <w:t>score</w:t>
      </w:r>
      <w:r>
        <w:rPr>
          <w:rFonts w:ascii="Times New Roman" w:eastAsia="Times New Roman" w:hAnsi="Times New Roman" w:cs="Times New Roman"/>
          <w:sz w:val="24"/>
          <w:szCs w:val="24"/>
        </w:rPr>
        <w:t xml:space="preserve"> carry more weight</w:t>
      </w:r>
      <w:r w:rsidR="00F13999">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RSI adds confirmation.</w:t>
      </w:r>
    </w:p>
    <w:p w14:paraId="5E398024" w14:textId="402A7198" w:rsidR="00B50587" w:rsidRPr="00F13999" w:rsidRDefault="00B408EA" w:rsidP="00F1399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Volatility gating: the score is reduced if volatility is unusually low (unreliable signal) or extremely high (crowded, stressed conditions). Middle-of-the-road volatility is rewarded.</w:t>
      </w:r>
    </w:p>
    <w:p w14:paraId="5EF5CBE1" w14:textId="77777777" w:rsidR="00B50587" w:rsidRDefault="00B408EA">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Daily cap: we cap the number of extra units per day to avoid outsized single-day growth.</w:t>
      </w:r>
    </w:p>
    <w:p w14:paraId="169B58AC" w14:textId="77777777" w:rsidR="00B50587" w:rsidRDefault="00B50587">
      <w:pPr>
        <w:ind w:left="720"/>
        <w:rPr>
          <w:rFonts w:ascii="Times New Roman" w:eastAsia="Times New Roman" w:hAnsi="Times New Roman" w:cs="Times New Roman"/>
          <w:sz w:val="24"/>
          <w:szCs w:val="24"/>
        </w:rPr>
      </w:pPr>
    </w:p>
    <w:p w14:paraId="4864C145" w14:textId="77777777" w:rsidR="00B50587" w:rsidRDefault="00B50587">
      <w:pPr>
        <w:rPr>
          <w:rFonts w:ascii="Times New Roman" w:eastAsia="Times New Roman" w:hAnsi="Times New Roman" w:cs="Times New Roman"/>
          <w:sz w:val="24"/>
          <w:szCs w:val="24"/>
        </w:rPr>
      </w:pPr>
    </w:p>
    <w:p w14:paraId="5C574463" w14:textId="77777777"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Intuition: the more boxes that </w:t>
      </w:r>
      <w:proofErr w:type="gramStart"/>
      <w:r>
        <w:rPr>
          <w:rFonts w:ascii="Times New Roman" w:eastAsia="Times New Roman" w:hAnsi="Times New Roman" w:cs="Times New Roman"/>
          <w:sz w:val="24"/>
          <w:szCs w:val="24"/>
        </w:rPr>
        <w:t>say</w:t>
      </w:r>
      <w:proofErr w:type="gramEnd"/>
      <w:r>
        <w:rPr>
          <w:rFonts w:ascii="Times New Roman" w:eastAsia="Times New Roman" w:hAnsi="Times New Roman" w:cs="Times New Roman"/>
          <w:sz w:val="24"/>
          <w:szCs w:val="24"/>
        </w:rPr>
        <w:t xml:space="preserve"> “this is cheap,” the higher the score, and the more units (within caps) we buy.</w:t>
      </w:r>
    </w:p>
    <w:p w14:paraId="3E0E77EB" w14:textId="77777777" w:rsidR="00B50587" w:rsidRDefault="00B408EA">
      <w:pPr>
        <w:pStyle w:val="Heading1"/>
        <w:rPr>
          <w:rFonts w:ascii="Times New Roman" w:eastAsia="Times New Roman" w:hAnsi="Times New Roman" w:cs="Times New Roman"/>
          <w:sz w:val="28"/>
          <w:szCs w:val="28"/>
        </w:rPr>
      </w:pPr>
      <w:bookmarkStart w:id="7" w:name="_omopcvmcgmna" w:colFirst="0" w:colLast="0"/>
      <w:bookmarkStart w:id="8" w:name="_w1kr44sf912y" w:colFirst="0" w:colLast="0"/>
      <w:bookmarkEnd w:id="7"/>
      <w:bookmarkEnd w:id="8"/>
      <w:r>
        <w:rPr>
          <w:rFonts w:ascii="Times New Roman" w:eastAsia="Times New Roman" w:hAnsi="Times New Roman" w:cs="Times New Roman"/>
          <w:sz w:val="28"/>
          <w:szCs w:val="28"/>
        </w:rPr>
        <w:lastRenderedPageBreak/>
        <w:t>6) The monthly “position envelope” (risk control and pacing)</w:t>
      </w:r>
    </w:p>
    <w:p w14:paraId="4C1B3761" w14:textId="77777777" w:rsidR="00B50587" w:rsidRDefault="00B50587">
      <w:pPr>
        <w:rPr>
          <w:rFonts w:ascii="Times New Roman" w:eastAsia="Times New Roman" w:hAnsi="Times New Roman" w:cs="Times New Roman"/>
          <w:sz w:val="24"/>
          <w:szCs w:val="24"/>
        </w:rPr>
      </w:pPr>
    </w:p>
    <w:p w14:paraId="4B28693E" w14:textId="77777777"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Beyond day-to-day signals, we also control how ‘large’ the overall position is allowed to be by the end of each month. This prevents the strategy from running too hot during extended cheap periods and ensures a steady, planned increase in exposure over time.</w:t>
      </w:r>
    </w:p>
    <w:p w14:paraId="685A43AA" w14:textId="77777777" w:rsidR="00B50587" w:rsidRDefault="00B50587">
      <w:pPr>
        <w:rPr>
          <w:rFonts w:ascii="Times New Roman" w:eastAsia="Times New Roman" w:hAnsi="Times New Roman" w:cs="Times New Roman"/>
          <w:sz w:val="24"/>
          <w:szCs w:val="24"/>
        </w:rPr>
      </w:pPr>
    </w:p>
    <w:p w14:paraId="69E2D049" w14:textId="77777777" w:rsidR="00B50587" w:rsidRDefault="00B408E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assign a ‘global month index’ starting at 1 for the first month in the dataset, then 2, 3, and so on—never resetting each year.</w:t>
      </w:r>
    </w:p>
    <w:p w14:paraId="3D5D6034" w14:textId="77777777" w:rsidR="00B50587" w:rsidRDefault="00B50587">
      <w:pPr>
        <w:ind w:left="720"/>
        <w:rPr>
          <w:rFonts w:ascii="Times New Roman" w:eastAsia="Times New Roman" w:hAnsi="Times New Roman" w:cs="Times New Roman"/>
          <w:sz w:val="24"/>
          <w:szCs w:val="24"/>
        </w:rPr>
      </w:pPr>
    </w:p>
    <w:p w14:paraId="42408302" w14:textId="77777777" w:rsidR="00B50587" w:rsidRDefault="00B408E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‘ideal month-end position’ (in “units”) grows linearly:</w:t>
      </w:r>
    </w:p>
    <w:p w14:paraId="3FEEAE95" w14:textId="77777777" w:rsidR="00B50587" w:rsidRDefault="00B408EA">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ideal = 2 × month\_index.</w:t>
      </w:r>
    </w:p>
    <w:p w14:paraId="42AC4F37" w14:textId="77777777" w:rsidR="00B50587" w:rsidRDefault="00B408EA">
      <w:pPr>
        <w:numPr>
          <w:ilvl w:val="1"/>
          <w:numId w:val="2"/>
        </w:numPr>
        <w:rPr>
          <w:rFonts w:ascii="Times New Roman" w:eastAsia="Times New Roman" w:hAnsi="Times New Roman" w:cs="Times New Roman"/>
          <w:sz w:val="24"/>
          <w:szCs w:val="24"/>
        </w:rPr>
      </w:pPr>
      <w:r>
        <w:rPr>
          <w:rFonts w:ascii="Cardo" w:eastAsia="Cardo" w:hAnsi="Cardo" w:cs="Cardo"/>
          <w:sz w:val="24"/>
          <w:szCs w:val="24"/>
        </w:rPr>
        <w:t>For example: Month 1 → ideal 2 units; Month 2 → ideal 4; Month 3 → ideal 6; etc.</w:t>
      </w:r>
    </w:p>
    <w:p w14:paraId="6767B696" w14:textId="77777777" w:rsidR="00B50587" w:rsidRDefault="00B50587">
      <w:pPr>
        <w:ind w:left="720"/>
        <w:rPr>
          <w:rFonts w:ascii="Times New Roman" w:eastAsia="Times New Roman" w:hAnsi="Times New Roman" w:cs="Times New Roman"/>
          <w:sz w:val="24"/>
          <w:szCs w:val="24"/>
        </w:rPr>
      </w:pPr>
    </w:p>
    <w:p w14:paraId="10D48EE2" w14:textId="77777777" w:rsidR="00B50587" w:rsidRDefault="00B408E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allow a ‘band (envelope)’ around that ideal, e.g., ‘ideal ± margin’ with a default margin of 4 units.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Month 3 has an ideal of 6 and an allowed range of 2 to 10 units.</w:t>
      </w:r>
    </w:p>
    <w:p w14:paraId="00FAACED" w14:textId="77777777" w:rsidR="00B50587" w:rsidRDefault="00B50587">
      <w:pPr>
        <w:ind w:left="720"/>
        <w:rPr>
          <w:rFonts w:ascii="Times New Roman" w:eastAsia="Times New Roman" w:hAnsi="Times New Roman" w:cs="Times New Roman"/>
          <w:sz w:val="24"/>
          <w:szCs w:val="24"/>
        </w:rPr>
      </w:pPr>
    </w:p>
    <w:p w14:paraId="2BC8A749" w14:textId="77777777" w:rsidR="00B50587" w:rsidRDefault="00B408E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optional ‘hard cap’ can stop total units from ever exceeding a set maximum.</w:t>
      </w:r>
    </w:p>
    <w:p w14:paraId="4BC67549" w14:textId="77777777" w:rsidR="00B50587" w:rsidRDefault="00B50587">
      <w:pPr>
        <w:rPr>
          <w:rFonts w:ascii="Times New Roman" w:eastAsia="Times New Roman" w:hAnsi="Times New Roman" w:cs="Times New Roman"/>
          <w:sz w:val="24"/>
          <w:szCs w:val="24"/>
        </w:rPr>
      </w:pPr>
    </w:p>
    <w:p w14:paraId="178E47BA" w14:textId="77777777"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Big picture: this is our governor. It keeps the total position size within plan, even if signals are enthusiastic.</w:t>
      </w:r>
    </w:p>
    <w:p w14:paraId="48627067" w14:textId="77777777" w:rsidR="00B50587" w:rsidRDefault="00B50587">
      <w:pPr>
        <w:pStyle w:val="Heading1"/>
        <w:rPr>
          <w:rFonts w:ascii="Times New Roman" w:eastAsia="Times New Roman" w:hAnsi="Times New Roman" w:cs="Times New Roman"/>
          <w:sz w:val="24"/>
          <w:szCs w:val="24"/>
        </w:rPr>
      </w:pPr>
      <w:bookmarkStart w:id="9" w:name="_qxh18u8vvhb" w:colFirst="0" w:colLast="0"/>
      <w:bookmarkEnd w:id="9"/>
    </w:p>
    <w:p w14:paraId="037F045A" w14:textId="77777777" w:rsidR="00B50587" w:rsidRDefault="00B408EA">
      <w:pPr>
        <w:pStyle w:val="Heading1"/>
        <w:rPr>
          <w:rFonts w:ascii="Times New Roman" w:eastAsia="Times New Roman" w:hAnsi="Times New Roman" w:cs="Times New Roman"/>
          <w:sz w:val="28"/>
          <w:szCs w:val="28"/>
        </w:rPr>
      </w:pPr>
      <w:bookmarkStart w:id="10" w:name="_eyq0c7h1iwcu" w:colFirst="0" w:colLast="0"/>
      <w:bookmarkEnd w:id="10"/>
      <w:r>
        <w:rPr>
          <w:rFonts w:ascii="Times New Roman" w:eastAsia="Times New Roman" w:hAnsi="Times New Roman" w:cs="Times New Roman"/>
          <w:sz w:val="28"/>
          <w:szCs w:val="28"/>
        </w:rPr>
        <w:t>7) Position, notional flows, and equity</w:t>
      </w:r>
    </w:p>
    <w:p w14:paraId="3AD69782" w14:textId="77777777" w:rsidR="00B50587" w:rsidRDefault="00B50587">
      <w:pPr>
        <w:rPr>
          <w:rFonts w:ascii="Times New Roman" w:eastAsia="Times New Roman" w:hAnsi="Times New Roman" w:cs="Times New Roman"/>
          <w:sz w:val="24"/>
          <w:szCs w:val="24"/>
        </w:rPr>
      </w:pPr>
    </w:p>
    <w:p w14:paraId="557F3383" w14:textId="4535736A" w:rsidR="00B50587" w:rsidRDefault="00B408E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size: each unit represents a fixed </w:t>
      </w:r>
      <w:r w:rsidR="00F13999">
        <w:rPr>
          <w:rFonts w:ascii="Times New Roman" w:eastAsia="Times New Roman" w:hAnsi="Times New Roman" w:cs="Times New Roman"/>
          <w:sz w:val="24"/>
          <w:szCs w:val="24"/>
        </w:rPr>
        <w:t>NZD</w:t>
      </w:r>
      <w:r>
        <w:rPr>
          <w:rFonts w:ascii="Times New Roman" w:eastAsia="Times New Roman" w:hAnsi="Times New Roman" w:cs="Times New Roman"/>
          <w:sz w:val="24"/>
          <w:szCs w:val="24"/>
        </w:rPr>
        <w:t xml:space="preserve"> amount to convert (default ‘</w:t>
      </w:r>
      <w:r w:rsidR="00622D84">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00,000 </w:t>
      </w:r>
      <w:r w:rsidR="00F13999">
        <w:rPr>
          <w:rFonts w:ascii="Times New Roman" w:eastAsia="Times New Roman" w:hAnsi="Times New Roman" w:cs="Times New Roman"/>
          <w:sz w:val="24"/>
          <w:szCs w:val="24"/>
        </w:rPr>
        <w:t>NZD</w:t>
      </w:r>
      <w:r>
        <w:rPr>
          <w:rFonts w:ascii="Times New Roman" w:eastAsia="Times New Roman" w:hAnsi="Times New Roman" w:cs="Times New Roman"/>
          <w:sz w:val="24"/>
          <w:szCs w:val="24"/>
        </w:rPr>
        <w:t xml:space="preserve"> per unit’). When we buy k units in a day, that’s k × </w:t>
      </w:r>
      <w:r w:rsidR="00622D84">
        <w:rPr>
          <w:rFonts w:ascii="Times New Roman" w:eastAsia="Times New Roman" w:hAnsi="Times New Roman" w:cs="Times New Roman"/>
          <w:sz w:val="24"/>
          <w:szCs w:val="24"/>
        </w:rPr>
        <w:t>9</w:t>
      </w:r>
      <w:r>
        <w:rPr>
          <w:rFonts w:ascii="Times New Roman" w:eastAsia="Times New Roman" w:hAnsi="Times New Roman" w:cs="Times New Roman"/>
          <w:sz w:val="24"/>
          <w:szCs w:val="24"/>
        </w:rPr>
        <w:t>00,000 NZD converted to AUD at that day’s closing rate.</w:t>
      </w:r>
    </w:p>
    <w:p w14:paraId="60EFDD42" w14:textId="77777777" w:rsidR="00B50587" w:rsidRDefault="00B50587" w:rsidP="00F13999">
      <w:pPr>
        <w:rPr>
          <w:rFonts w:ascii="Times New Roman" w:eastAsia="Times New Roman" w:hAnsi="Times New Roman" w:cs="Times New Roman"/>
          <w:sz w:val="24"/>
          <w:szCs w:val="24"/>
        </w:rPr>
      </w:pPr>
    </w:p>
    <w:p w14:paraId="6D08168C" w14:textId="77777777" w:rsidR="00B50587" w:rsidRDefault="00B408E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Cash and holdings:</w:t>
      </w:r>
    </w:p>
    <w:p w14:paraId="6A55F670" w14:textId="77777777" w:rsidR="00B50587" w:rsidRDefault="00B408EA">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Cash in AUD decreases by the daily AUD spent.</w:t>
      </w:r>
    </w:p>
    <w:p w14:paraId="7EDC1102" w14:textId="77777777" w:rsidR="00B50587" w:rsidRDefault="00B408EA">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Holdings are valued as ‘cumulative units × NZD-per-unit × current price’ (converted to AUD by the rate itself).</w:t>
      </w:r>
    </w:p>
    <w:p w14:paraId="5B857043" w14:textId="77777777" w:rsidR="00B50587" w:rsidRDefault="00B408EA">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Equity = seed AUD + cash + holdings.</w:t>
      </w:r>
    </w:p>
    <w:p w14:paraId="2930A1D1" w14:textId="77777777" w:rsidR="00B50587" w:rsidRDefault="00B50587">
      <w:pPr>
        <w:rPr>
          <w:rFonts w:ascii="Times New Roman" w:eastAsia="Times New Roman" w:hAnsi="Times New Roman" w:cs="Times New Roman"/>
          <w:sz w:val="24"/>
          <w:szCs w:val="24"/>
        </w:rPr>
      </w:pPr>
    </w:p>
    <w:p w14:paraId="49BCA2D8" w14:textId="77777777" w:rsidR="00B50587" w:rsidRDefault="00B50587">
      <w:pPr>
        <w:rPr>
          <w:rFonts w:ascii="Times New Roman" w:eastAsia="Times New Roman" w:hAnsi="Times New Roman" w:cs="Times New Roman"/>
          <w:sz w:val="24"/>
          <w:szCs w:val="24"/>
        </w:rPr>
      </w:pPr>
    </w:p>
    <w:p w14:paraId="64C02317" w14:textId="77777777" w:rsidR="00B50587" w:rsidRDefault="00B408EA">
      <w:pPr>
        <w:pStyle w:val="Heading1"/>
        <w:rPr>
          <w:rFonts w:ascii="Times New Roman" w:eastAsia="Times New Roman" w:hAnsi="Times New Roman" w:cs="Times New Roman"/>
          <w:sz w:val="28"/>
          <w:szCs w:val="28"/>
        </w:rPr>
      </w:pPr>
      <w:bookmarkStart w:id="11" w:name="_1xhk9mjchyur" w:colFirst="0" w:colLast="0"/>
      <w:bookmarkEnd w:id="11"/>
      <w:r>
        <w:rPr>
          <w:rFonts w:ascii="Times New Roman" w:eastAsia="Times New Roman" w:hAnsi="Times New Roman" w:cs="Times New Roman"/>
          <w:sz w:val="28"/>
          <w:szCs w:val="28"/>
        </w:rPr>
        <w:t>8) What the chart shows</w:t>
      </w:r>
    </w:p>
    <w:p w14:paraId="3A0F1567" w14:textId="77777777" w:rsidR="00B50587" w:rsidRDefault="00B50587">
      <w:pPr>
        <w:rPr>
          <w:rFonts w:ascii="Times New Roman" w:eastAsia="Times New Roman" w:hAnsi="Times New Roman" w:cs="Times New Roman"/>
          <w:sz w:val="24"/>
          <w:szCs w:val="24"/>
        </w:rPr>
      </w:pPr>
    </w:p>
    <w:p w14:paraId="0A1E7C91" w14:textId="18B8E7B1" w:rsidR="00B50587" w:rsidRDefault="00B408EA" w:rsidP="003671D6">
      <w:pPr>
        <w:numPr>
          <w:ilvl w:val="0"/>
          <w:numId w:val="9"/>
        </w:numPr>
        <w:rPr>
          <w:rFonts w:ascii="Times New Roman" w:eastAsia="Times New Roman" w:hAnsi="Times New Roman" w:cs="Times New Roman"/>
          <w:sz w:val="24"/>
          <w:szCs w:val="24"/>
        </w:rPr>
      </w:pPr>
      <w:r w:rsidRPr="003671D6">
        <w:rPr>
          <w:rFonts w:ascii="Times New Roman" w:eastAsia="Times New Roman" w:hAnsi="Times New Roman" w:cs="Times New Roman"/>
          <w:sz w:val="24"/>
          <w:szCs w:val="24"/>
        </w:rPr>
        <w:t>Top panel (Price): the AUD</w:t>
      </w:r>
      <w:r w:rsidR="00622D84">
        <w:rPr>
          <w:rFonts w:ascii="Times New Roman" w:eastAsia="Times New Roman" w:hAnsi="Times New Roman" w:cs="Times New Roman"/>
          <w:sz w:val="24"/>
          <w:szCs w:val="24"/>
        </w:rPr>
        <w:t>/NZD</w:t>
      </w:r>
      <w:r w:rsidRPr="003671D6">
        <w:rPr>
          <w:rFonts w:ascii="Times New Roman" w:eastAsia="Times New Roman" w:hAnsi="Times New Roman" w:cs="Times New Roman"/>
          <w:sz w:val="24"/>
          <w:szCs w:val="24"/>
        </w:rPr>
        <w:t xml:space="preserve"> rate with bright orange dots on buy days. </w:t>
      </w:r>
    </w:p>
    <w:p w14:paraId="48E8A502" w14:textId="77777777" w:rsidR="003671D6" w:rsidRPr="003671D6" w:rsidRDefault="003671D6" w:rsidP="003671D6">
      <w:pPr>
        <w:ind w:left="720"/>
        <w:rPr>
          <w:rFonts w:ascii="Times New Roman" w:eastAsia="Times New Roman" w:hAnsi="Times New Roman" w:cs="Times New Roman"/>
          <w:sz w:val="24"/>
          <w:szCs w:val="24"/>
        </w:rPr>
      </w:pPr>
    </w:p>
    <w:p w14:paraId="4E9D7CD9" w14:textId="77777777" w:rsidR="00B50587" w:rsidRDefault="00B408E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Middle panel (risk proxies): two moving-average-style lines used as volatility proxies; </w:t>
      </w:r>
      <w:proofErr w:type="gramStart"/>
      <w:r>
        <w:rPr>
          <w:rFonts w:ascii="Times New Roman" w:eastAsia="Times New Roman" w:hAnsi="Times New Roman" w:cs="Times New Roman"/>
          <w:sz w:val="24"/>
          <w:szCs w:val="24"/>
        </w:rPr>
        <w:t>these help</w:t>
      </w:r>
      <w:proofErr w:type="gramEnd"/>
      <w:r>
        <w:rPr>
          <w:rFonts w:ascii="Times New Roman" w:eastAsia="Times New Roman" w:hAnsi="Times New Roman" w:cs="Times New Roman"/>
          <w:sz w:val="24"/>
          <w:szCs w:val="24"/>
        </w:rPr>
        <w:t xml:space="preserve"> contextualise the regime.</w:t>
      </w:r>
    </w:p>
    <w:p w14:paraId="0ACB7730" w14:textId="77777777" w:rsidR="00B50587" w:rsidRDefault="00B50587">
      <w:pPr>
        <w:ind w:left="720"/>
        <w:rPr>
          <w:rFonts w:ascii="Times New Roman" w:eastAsia="Times New Roman" w:hAnsi="Times New Roman" w:cs="Times New Roman"/>
          <w:sz w:val="24"/>
          <w:szCs w:val="24"/>
        </w:rPr>
      </w:pPr>
    </w:p>
    <w:p w14:paraId="3AA8248F" w14:textId="77777777" w:rsidR="00B50587" w:rsidRDefault="00B408E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Bottom panel (z-score): the price’s z-score through time, with a dashed line at the buy threshold. Filled areas and vertical markers highlight when price dipped below the threshold and buys were triggered.</w:t>
      </w:r>
    </w:p>
    <w:p w14:paraId="5F8F5DA9" w14:textId="6CFA213C" w:rsidR="00B50587" w:rsidRDefault="00A843C5">
      <w:pPr>
        <w:rPr>
          <w:rFonts w:ascii="Times New Roman" w:eastAsia="Times New Roman" w:hAnsi="Times New Roman" w:cs="Times New Roman"/>
          <w:sz w:val="24"/>
          <w:szCs w:val="24"/>
        </w:rPr>
      </w:pPr>
      <w:r>
        <w:rPr>
          <w:rFonts w:ascii="Times New Roman" w:eastAsia="Times New Roman" w:hAnsi="Times New Roman" w:cs="Times New Roman"/>
          <w:noProof/>
          <w:sz w:val="28"/>
          <w:szCs w:val="28"/>
        </w:rPr>
        <w:drawing>
          <wp:anchor distT="0" distB="0" distL="114300" distR="114300" simplePos="0" relativeHeight="251663360" behindDoc="0" locked="0" layoutInCell="1" allowOverlap="1" wp14:anchorId="2A918A88" wp14:editId="78C1D2C0">
            <wp:simplePos x="0" y="0"/>
            <wp:positionH relativeFrom="margin">
              <wp:posOffset>-38100</wp:posOffset>
            </wp:positionH>
            <wp:positionV relativeFrom="paragraph">
              <wp:posOffset>167005</wp:posOffset>
            </wp:positionV>
            <wp:extent cx="5867400" cy="3776345"/>
            <wp:effectExtent l="0" t="0" r="0" b="0"/>
            <wp:wrapSquare wrapText="bothSides"/>
            <wp:docPr id="1098725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25800" name="Picture 1098725800"/>
                    <pic:cNvPicPr/>
                  </pic:nvPicPr>
                  <pic:blipFill rotWithShape="1">
                    <a:blip r:embed="rId8" cstate="print">
                      <a:extLst>
                        <a:ext uri="{28A0092B-C50C-407E-A947-70E740481C1C}">
                          <a14:useLocalDpi xmlns:a14="http://schemas.microsoft.com/office/drawing/2010/main" val="0"/>
                        </a:ext>
                      </a:extLst>
                    </a:blip>
                    <a:srcRect l="1401" r="1507"/>
                    <a:stretch>
                      <a:fillRect/>
                    </a:stretch>
                  </pic:blipFill>
                  <pic:spPr bwMode="auto">
                    <a:xfrm>
                      <a:off x="0" y="0"/>
                      <a:ext cx="5867400" cy="3776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33B9C7" w14:textId="41477256" w:rsidR="00287190" w:rsidRDefault="00287190">
      <w:pPr>
        <w:rPr>
          <w:rFonts w:ascii="Times New Roman" w:eastAsia="Times New Roman" w:hAnsi="Times New Roman" w:cs="Times New Roman"/>
          <w:sz w:val="24"/>
          <w:szCs w:val="24"/>
        </w:rPr>
      </w:pPr>
    </w:p>
    <w:p w14:paraId="0194125F" w14:textId="315E9251" w:rsidR="00A843C5" w:rsidRDefault="00A843C5" w:rsidP="00A843C5">
      <w:r>
        <w:rPr>
          <w:noProof/>
        </w:rPr>
        <w:drawing>
          <wp:inline distT="0" distB="0" distL="0" distR="0" wp14:anchorId="12632BCD" wp14:editId="18B25B37">
            <wp:extent cx="5829300" cy="2914973"/>
            <wp:effectExtent l="0" t="0" r="0" b="0"/>
            <wp:docPr id="212399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1246" cy="2915946"/>
                    </a:xfrm>
                    <a:prstGeom prst="rect">
                      <a:avLst/>
                    </a:prstGeom>
                    <a:noFill/>
                    <a:ln>
                      <a:noFill/>
                    </a:ln>
                  </pic:spPr>
                </pic:pic>
              </a:graphicData>
            </a:graphic>
          </wp:inline>
        </w:drawing>
      </w:r>
    </w:p>
    <w:p w14:paraId="25A1AB9E" w14:textId="28917126" w:rsidR="00B50587" w:rsidRDefault="00B50587">
      <w:pPr>
        <w:rPr>
          <w:rFonts w:ascii="Times New Roman" w:eastAsia="Times New Roman" w:hAnsi="Times New Roman" w:cs="Times New Roman"/>
          <w:sz w:val="24"/>
          <w:szCs w:val="24"/>
        </w:rPr>
      </w:pPr>
    </w:p>
    <w:p w14:paraId="5BC4CFAC" w14:textId="50FB2EE5" w:rsidR="00B50587" w:rsidRDefault="00B408EA">
      <w:pPr>
        <w:pStyle w:val="Heading1"/>
        <w:rPr>
          <w:rFonts w:ascii="Times New Roman" w:eastAsia="Times New Roman" w:hAnsi="Times New Roman" w:cs="Times New Roman"/>
          <w:sz w:val="28"/>
          <w:szCs w:val="28"/>
        </w:rPr>
      </w:pPr>
      <w:bookmarkStart w:id="12" w:name="_995j83w1tyu0" w:colFirst="0" w:colLast="0"/>
      <w:bookmarkStart w:id="13" w:name="_u54vr4ejzium" w:colFirst="0" w:colLast="0"/>
      <w:bookmarkEnd w:id="12"/>
      <w:bookmarkEnd w:id="13"/>
      <w:r>
        <w:rPr>
          <w:rFonts w:ascii="Times New Roman" w:eastAsia="Times New Roman" w:hAnsi="Times New Roman" w:cs="Times New Roman"/>
          <w:sz w:val="28"/>
          <w:szCs w:val="28"/>
        </w:rPr>
        <w:t>9) Key parameters you can tune (plain-English guidance)</w:t>
      </w:r>
    </w:p>
    <w:p w14:paraId="285FE2D6" w14:textId="63B332C1" w:rsidR="00B50587" w:rsidRDefault="00B50587">
      <w:pPr>
        <w:rPr>
          <w:rFonts w:ascii="Times New Roman" w:eastAsia="Times New Roman" w:hAnsi="Times New Roman" w:cs="Times New Roman"/>
          <w:sz w:val="24"/>
          <w:szCs w:val="24"/>
        </w:rPr>
      </w:pPr>
    </w:p>
    <w:p w14:paraId="018DEE0F" w14:textId="55E18231"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sensitive are we to dips?”</w:t>
      </w:r>
    </w:p>
    <w:p w14:paraId="3CF25F69" w14:textId="1B575E5B"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Lower the z-threshold or raise the weights on z/</w:t>
      </w:r>
      <w:r w:rsidR="008F46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RSI to buy more readily; raise the threshold or lower weights to be pickier.</w:t>
      </w:r>
    </w:p>
    <w:p w14:paraId="39430E32" w14:textId="54ECB055" w:rsidR="00B50587" w:rsidRDefault="00B50587">
      <w:pPr>
        <w:rPr>
          <w:rFonts w:ascii="Times New Roman" w:eastAsia="Times New Roman" w:hAnsi="Times New Roman" w:cs="Times New Roman"/>
          <w:sz w:val="24"/>
          <w:szCs w:val="24"/>
        </w:rPr>
      </w:pPr>
    </w:p>
    <w:p w14:paraId="5C846B4E" w14:textId="77777777"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do we buy on a good day?”</w:t>
      </w:r>
    </w:p>
    <w:p w14:paraId="5F1572B0" w14:textId="77777777"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Increase ‘units-per-score’ or ‘max-extra-per-day’ to scale up; reduce them to slow down.</w:t>
      </w:r>
    </w:p>
    <w:p w14:paraId="54DDC498" w14:textId="77777777" w:rsidR="00B50587" w:rsidRDefault="00B50587">
      <w:pPr>
        <w:rPr>
          <w:rFonts w:ascii="Times New Roman" w:eastAsia="Times New Roman" w:hAnsi="Times New Roman" w:cs="Times New Roman"/>
          <w:sz w:val="24"/>
          <w:szCs w:val="24"/>
        </w:rPr>
      </w:pPr>
    </w:p>
    <w:p w14:paraId="5ACBE252" w14:textId="77777777"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fast does the overall exposure ramp up?”</w:t>
      </w:r>
    </w:p>
    <w:p w14:paraId="5AB63B3B" w14:textId="034D1769"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envelope controls this: the monthly ideal is ‘2 × </w:t>
      </w:r>
      <w:proofErr w:type="spellStart"/>
      <w:r>
        <w:rPr>
          <w:rFonts w:ascii="Times New Roman" w:eastAsia="Times New Roman" w:hAnsi="Times New Roman" w:cs="Times New Roman"/>
          <w:sz w:val="24"/>
          <w:szCs w:val="24"/>
        </w:rPr>
        <w:t>month_index</w:t>
      </w:r>
      <w:proofErr w:type="spellEnd"/>
      <w:r>
        <w:rPr>
          <w:rFonts w:ascii="Times New Roman" w:eastAsia="Times New Roman" w:hAnsi="Times New Roman" w:cs="Times New Roman"/>
          <w:sz w:val="24"/>
          <w:szCs w:val="24"/>
        </w:rPr>
        <w:t>’. Increase this factor or reduce the margin to ramp faster and tighter; do the opposite to ramp slower or give more slack.</w:t>
      </w:r>
    </w:p>
    <w:p w14:paraId="1C0B1F4D" w14:textId="77777777" w:rsidR="00B50587" w:rsidRDefault="00B50587">
      <w:pPr>
        <w:rPr>
          <w:rFonts w:ascii="Times New Roman" w:eastAsia="Times New Roman" w:hAnsi="Times New Roman" w:cs="Times New Roman"/>
          <w:sz w:val="24"/>
          <w:szCs w:val="24"/>
        </w:rPr>
      </w:pPr>
    </w:p>
    <w:p w14:paraId="71BC90C8" w14:textId="77777777"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“Do we avoid sleepy or panicky markets?”</w:t>
      </w:r>
    </w:p>
    <w:p w14:paraId="6A0B3141" w14:textId="77777777"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volatility gates reduce buys in very low or very high volatility. You can loosen or tighten these gates.</w:t>
      </w:r>
    </w:p>
    <w:p w14:paraId="560F44AD" w14:textId="77777777" w:rsidR="00B50587" w:rsidRDefault="00B50587">
      <w:pPr>
        <w:rPr>
          <w:rFonts w:ascii="Times New Roman" w:eastAsia="Times New Roman" w:hAnsi="Times New Roman" w:cs="Times New Roman"/>
          <w:sz w:val="24"/>
          <w:szCs w:val="24"/>
        </w:rPr>
      </w:pPr>
    </w:p>
    <w:p w14:paraId="22CA7478" w14:textId="77777777"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“Unit size and cap:”</w:t>
      </w:r>
    </w:p>
    <w:p w14:paraId="4BE2EE58" w14:textId="77777777" w:rsidR="00B50587" w:rsidRDefault="00B408E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Adjust ‘NZD per unit’ and the optional ‘maximum position units’ to fit budget and risk limits.</w:t>
      </w:r>
    </w:p>
    <w:p w14:paraId="5BDE7C23" w14:textId="77777777" w:rsidR="00B50587" w:rsidRDefault="00B50587">
      <w:pPr>
        <w:rPr>
          <w:rFonts w:ascii="Times New Roman" w:eastAsia="Times New Roman" w:hAnsi="Times New Roman" w:cs="Times New Roman"/>
          <w:sz w:val="24"/>
          <w:szCs w:val="24"/>
        </w:rPr>
      </w:pPr>
    </w:p>
    <w:p w14:paraId="1045F233" w14:textId="77777777" w:rsidR="00B50587" w:rsidRDefault="00B50587">
      <w:pPr>
        <w:rPr>
          <w:rFonts w:ascii="Times New Roman" w:eastAsia="Times New Roman" w:hAnsi="Times New Roman" w:cs="Times New Roman"/>
          <w:sz w:val="24"/>
          <w:szCs w:val="24"/>
        </w:rPr>
      </w:pPr>
    </w:p>
    <w:p w14:paraId="66695A21" w14:textId="6A0A38D2" w:rsidR="00B50587" w:rsidRDefault="00B408EA">
      <w:pPr>
        <w:pStyle w:val="Heading1"/>
        <w:rPr>
          <w:rFonts w:ascii="Times New Roman" w:eastAsia="Times New Roman" w:hAnsi="Times New Roman" w:cs="Times New Roman"/>
          <w:sz w:val="28"/>
          <w:szCs w:val="28"/>
        </w:rPr>
      </w:pPr>
      <w:bookmarkStart w:id="14" w:name="_nw4f21awblal" w:colFirst="0" w:colLast="0"/>
      <w:bookmarkEnd w:id="14"/>
      <w:r>
        <w:rPr>
          <w:rFonts w:ascii="Times New Roman" w:eastAsia="Times New Roman" w:hAnsi="Times New Roman" w:cs="Times New Roman"/>
          <w:sz w:val="28"/>
          <w:szCs w:val="28"/>
        </w:rPr>
        <w:t>10) Operating the script in practice</w:t>
      </w:r>
    </w:p>
    <w:p w14:paraId="72B38864" w14:textId="77777777" w:rsidR="00B50587" w:rsidRDefault="00B50587">
      <w:pPr>
        <w:rPr>
          <w:rFonts w:ascii="Times New Roman" w:eastAsia="Times New Roman" w:hAnsi="Times New Roman" w:cs="Times New Roman"/>
          <w:sz w:val="24"/>
          <w:szCs w:val="24"/>
        </w:rPr>
      </w:pPr>
    </w:p>
    <w:p w14:paraId="6C844D73" w14:textId="77777777" w:rsidR="00B50587" w:rsidRDefault="00B408E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Point it at a price file with Date and Close.</w:t>
      </w:r>
    </w:p>
    <w:p w14:paraId="2A9C2EFD" w14:textId="77777777" w:rsidR="00B50587" w:rsidRDefault="00B408E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(or keep) defaults for thresholds, weights, unit size, and envelope margin.</w:t>
      </w:r>
    </w:p>
    <w:p w14:paraId="44C35D47" w14:textId="77777777" w:rsidR="00B50587" w:rsidRDefault="00B408E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it; collect the CSV, the plot, the Sharpe printout, and the month-end envelope report.</w:t>
      </w:r>
    </w:p>
    <w:p w14:paraId="15DE3D92" w14:textId="77777777" w:rsidR="00B50587" w:rsidRDefault="00B408E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Review buys on the chart, confirm exposure stayed in range, and decide if you want to make the settings </w:t>
      </w:r>
      <w:proofErr w:type="gramStart"/>
      <w:r>
        <w:rPr>
          <w:rFonts w:ascii="Times New Roman" w:eastAsia="Times New Roman" w:hAnsi="Times New Roman" w:cs="Times New Roman"/>
          <w:sz w:val="24"/>
          <w:szCs w:val="24"/>
        </w:rPr>
        <w:t>more or less aggressive</w:t>
      </w:r>
      <w:proofErr w:type="gramEnd"/>
      <w:r>
        <w:rPr>
          <w:rFonts w:ascii="Times New Roman" w:eastAsia="Times New Roman" w:hAnsi="Times New Roman" w:cs="Times New Roman"/>
          <w:sz w:val="24"/>
          <w:szCs w:val="24"/>
        </w:rPr>
        <w:t>.</w:t>
      </w:r>
    </w:p>
    <w:p w14:paraId="09ECB62D" w14:textId="77777777" w:rsidR="00B50587" w:rsidRDefault="00B50587">
      <w:pPr>
        <w:rPr>
          <w:rFonts w:ascii="Times New Roman" w:eastAsia="Times New Roman" w:hAnsi="Times New Roman" w:cs="Times New Roman"/>
          <w:sz w:val="24"/>
          <w:szCs w:val="24"/>
        </w:rPr>
      </w:pPr>
    </w:p>
    <w:p w14:paraId="59158F4C" w14:textId="77777777" w:rsidR="00B50587" w:rsidRDefault="00B50587">
      <w:pPr>
        <w:rPr>
          <w:rFonts w:ascii="Times New Roman" w:eastAsia="Times New Roman" w:hAnsi="Times New Roman" w:cs="Times New Roman"/>
          <w:sz w:val="24"/>
          <w:szCs w:val="24"/>
        </w:rPr>
      </w:pPr>
    </w:p>
    <w:p w14:paraId="0546BB61" w14:textId="77777777" w:rsidR="00B50587" w:rsidRDefault="00B50587">
      <w:pPr>
        <w:rPr>
          <w:rFonts w:ascii="Times New Roman" w:eastAsia="Times New Roman" w:hAnsi="Times New Roman" w:cs="Times New Roman"/>
          <w:sz w:val="24"/>
          <w:szCs w:val="24"/>
        </w:rPr>
      </w:pPr>
      <w:bookmarkStart w:id="15" w:name="_67ylnfbfsgze" w:colFirst="0" w:colLast="0"/>
      <w:bookmarkEnd w:id="15"/>
    </w:p>
    <w:p w14:paraId="058F3B01" w14:textId="77777777" w:rsidR="00B50587" w:rsidRDefault="00B50587">
      <w:pPr>
        <w:rPr>
          <w:rFonts w:ascii="Times New Roman" w:eastAsia="Times New Roman" w:hAnsi="Times New Roman" w:cs="Times New Roman"/>
          <w:sz w:val="24"/>
          <w:szCs w:val="24"/>
        </w:rPr>
      </w:pPr>
    </w:p>
    <w:sectPr w:rsidR="00B5058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CCE013" w14:textId="77777777" w:rsidR="008D47E7" w:rsidRDefault="008D47E7" w:rsidP="008D47E7">
      <w:pPr>
        <w:spacing w:line="240" w:lineRule="auto"/>
      </w:pPr>
      <w:r>
        <w:separator/>
      </w:r>
    </w:p>
  </w:endnote>
  <w:endnote w:type="continuationSeparator" w:id="0">
    <w:p w14:paraId="0AD2ADA5" w14:textId="77777777" w:rsidR="008D47E7" w:rsidRDefault="008D47E7" w:rsidP="008D47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22E94243-2F1F-4848-A682-F741D5F452C5}"/>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25419D2B-FACB-4979-8045-F8FCD318AAF7}"/>
  </w:font>
  <w:font w:name="Cambria">
    <w:panose1 w:val="02040503050406030204"/>
    <w:charset w:val="00"/>
    <w:family w:val="roman"/>
    <w:pitch w:val="variable"/>
    <w:sig w:usb0="E00006FF" w:usb1="420024FF" w:usb2="02000000" w:usb3="00000000" w:csb0="0000019F" w:csb1="00000000"/>
    <w:embedRegular r:id="rId3" w:fontKey="{9DD925FC-F0DB-4616-9774-4168833AF33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D2E935" w14:textId="77777777" w:rsidR="008D47E7" w:rsidRDefault="008D47E7" w:rsidP="008D47E7">
      <w:pPr>
        <w:spacing w:line="240" w:lineRule="auto"/>
      </w:pPr>
      <w:r>
        <w:separator/>
      </w:r>
    </w:p>
  </w:footnote>
  <w:footnote w:type="continuationSeparator" w:id="0">
    <w:p w14:paraId="5E95D49F" w14:textId="77777777" w:rsidR="008D47E7" w:rsidRDefault="008D47E7" w:rsidP="008D47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945EB"/>
    <w:multiLevelType w:val="multilevel"/>
    <w:tmpl w:val="03FC4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4E724D"/>
    <w:multiLevelType w:val="multilevel"/>
    <w:tmpl w:val="BD5C2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F43DA"/>
    <w:multiLevelType w:val="multilevel"/>
    <w:tmpl w:val="6DA00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F90AF4"/>
    <w:multiLevelType w:val="multilevel"/>
    <w:tmpl w:val="ACFA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ED0D02"/>
    <w:multiLevelType w:val="multilevel"/>
    <w:tmpl w:val="6FE41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402C78"/>
    <w:multiLevelType w:val="multilevel"/>
    <w:tmpl w:val="4D60BC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F6C710D"/>
    <w:multiLevelType w:val="multilevel"/>
    <w:tmpl w:val="B9C2F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C658AB"/>
    <w:multiLevelType w:val="multilevel"/>
    <w:tmpl w:val="E354C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081851"/>
    <w:multiLevelType w:val="multilevel"/>
    <w:tmpl w:val="036C8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8941570">
    <w:abstractNumId w:val="1"/>
  </w:num>
  <w:num w:numId="2" w16cid:durableId="1277247478">
    <w:abstractNumId w:val="8"/>
  </w:num>
  <w:num w:numId="3" w16cid:durableId="682710733">
    <w:abstractNumId w:val="0"/>
  </w:num>
  <w:num w:numId="4" w16cid:durableId="1427574913">
    <w:abstractNumId w:val="3"/>
  </w:num>
  <w:num w:numId="5" w16cid:durableId="555816165">
    <w:abstractNumId w:val="4"/>
  </w:num>
  <w:num w:numId="6" w16cid:durableId="1029457057">
    <w:abstractNumId w:val="2"/>
  </w:num>
  <w:num w:numId="7" w16cid:durableId="50812886">
    <w:abstractNumId w:val="7"/>
  </w:num>
  <w:num w:numId="8" w16cid:durableId="480198016">
    <w:abstractNumId w:val="6"/>
  </w:num>
  <w:num w:numId="9" w16cid:durableId="14638392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587"/>
    <w:rsid w:val="000060CF"/>
    <w:rsid w:val="001A2B8F"/>
    <w:rsid w:val="00287190"/>
    <w:rsid w:val="003671D6"/>
    <w:rsid w:val="00383DBE"/>
    <w:rsid w:val="004359E2"/>
    <w:rsid w:val="004A0F74"/>
    <w:rsid w:val="00622D84"/>
    <w:rsid w:val="00661E89"/>
    <w:rsid w:val="006C63D9"/>
    <w:rsid w:val="00764565"/>
    <w:rsid w:val="007F4A47"/>
    <w:rsid w:val="008D47E7"/>
    <w:rsid w:val="008F468B"/>
    <w:rsid w:val="00A843C5"/>
    <w:rsid w:val="00B408EA"/>
    <w:rsid w:val="00B50587"/>
    <w:rsid w:val="00BA68A3"/>
    <w:rsid w:val="00D8393C"/>
    <w:rsid w:val="00F1399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0BB19"/>
  <w15:docId w15:val="{D65FBF0D-A00B-7F4E-B39E-AF9FEC10C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D47E7"/>
    <w:pPr>
      <w:tabs>
        <w:tab w:val="center" w:pos="4513"/>
        <w:tab w:val="right" w:pos="9026"/>
      </w:tabs>
      <w:spacing w:line="240" w:lineRule="auto"/>
    </w:pPr>
  </w:style>
  <w:style w:type="character" w:customStyle="1" w:styleId="HeaderChar">
    <w:name w:val="Header Char"/>
    <w:basedOn w:val="DefaultParagraphFont"/>
    <w:link w:val="Header"/>
    <w:uiPriority w:val="99"/>
    <w:rsid w:val="008D47E7"/>
  </w:style>
  <w:style w:type="paragraph" w:styleId="Footer">
    <w:name w:val="footer"/>
    <w:basedOn w:val="Normal"/>
    <w:link w:val="FooterChar"/>
    <w:uiPriority w:val="99"/>
    <w:unhideWhenUsed/>
    <w:rsid w:val="008D47E7"/>
    <w:pPr>
      <w:tabs>
        <w:tab w:val="center" w:pos="4513"/>
        <w:tab w:val="right" w:pos="9026"/>
      </w:tabs>
      <w:spacing w:line="240" w:lineRule="auto"/>
    </w:pPr>
  </w:style>
  <w:style w:type="character" w:customStyle="1" w:styleId="FooterChar">
    <w:name w:val="Footer Char"/>
    <w:basedOn w:val="DefaultParagraphFont"/>
    <w:link w:val="Footer"/>
    <w:uiPriority w:val="99"/>
    <w:rsid w:val="008D47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2238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869</Words>
  <Characters>4957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Jing Yu</cp:lastModifiedBy>
  <cp:revision>13</cp:revision>
  <dcterms:created xsi:type="dcterms:W3CDTF">2025-08-27T05:55:00Z</dcterms:created>
  <dcterms:modified xsi:type="dcterms:W3CDTF">2025-08-29T01:15:00Z</dcterms:modified>
</cp:coreProperties>
</file>