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openxmlformats-officedocument.drawingml.diagramDrawing+xml"/>
  <Override PartName="/word/diagrams/quickStyle1.xml" ContentType="application/vnd.openxmlformats-officedocument.drawingml.diagramStyleDefini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dex61"/>
        <w:ind w:endChars="0" w:end="0"/>
        <w:rPr>
          <w:rFonts w:hint="eastAsia"/>
        </w:rPr>
      </w:pPr>
      <w:r>
        <w:rPr>
          <w:rFonts w:hint="eastAsia"/>
        </w:rPr>
      </w:r>
    </w:p>
    <w:p>
      <w:pPr>
        <w:pStyle w:val="Normal"/>
        <w:spacing w:lineRule="exact" w:line="600"/>
        <w:jc w:val="center"/>
        <w:rPr>
          <w:rFonts w:ascii="方正小标宋简体" w:hAnsi="方正小标宋简体" w:eastAsia="方正小标宋简体" w:cs="方正小标宋简体" w:hint="eastAsia"/>
          <w:b/>
          <w:bCs/>
          <w:sz w:val="36"/>
          <w:szCs w:val="36"/>
        </w:rPr>
      </w:pPr>
      <w:r>
        <w:rPr>
          <w:rFonts w:ascii="方正小标宋简体" w:hAnsi="方正小标宋简体" w:cs="方正小标宋简体" w:hint="eastAsia" w:eastAsia="方正小标宋简体"/>
          <w:b/>
          <w:bCs/>
          <w:sz w:val="36"/>
          <w:szCs w:val="36"/>
        </w:rPr>
        <w:t>新晨科技股份有限公司突发事件应急预案</w:t>
      </w:r>
    </w:p>
    <w:p>
      <w:pPr>
        <w:pStyle w:val="index61"/>
        <w:ind w:endChars="0" w:end="0"/>
        <w:rPr>
          <w:rFonts w:ascii="方正小标宋简体" w:hAnsi="方正小标宋简体" w:eastAsia="方正小标宋简体" w:cs="方正小标宋简体" w:hint="eastAsia"/>
          <w:b/>
          <w:bCs/>
          <w:sz w:val="36"/>
          <w:szCs w:val="36"/>
        </w:rPr>
      </w:pPr>
      <w:r>
        <w:rPr>
          <w:rFonts w:eastAsia="方正小标宋简体" w:cs="方正小标宋简体" w:hint="eastAsia" w:ascii="方正小标宋简体" w:hAnsi="方正小标宋简体"/>
          <w:b/>
          <w:bCs/>
          <w:sz w:val="36"/>
          <w:szCs w:val="36"/>
        </w:rPr>
      </w:r>
    </w:p>
    <w:p>
      <w:pPr>
        <w:pStyle w:val="Heading1"/>
        <w:spacing w:lineRule="exact" w:line="600" w:before="0" w:after="0"/>
        <w:ind w:firstLineChars="200" w:startChars="0" w:start="0" w:endChars="0" w:end="0"/>
        <w:rPr>
          <w:rFonts w:eastAsia="黑体;SimHei" w:cs="黑体;SimHei" w:hint="eastAsia"/>
          <w:b w:val="false"/>
          <w:sz w:val="30"/>
          <w:szCs w:val="30"/>
        </w:rPr>
      </w:pPr>
      <w:r>
        <w:rPr>
          <w:rFonts w:cs="黑体;SimHei" w:hint="eastAsia" w:eastAsia="黑体;SimHei"/>
          <w:b w:val="false"/>
          <w:sz w:val="30"/>
          <w:szCs w:val="30"/>
        </w:rPr>
        <w:t>一、总则</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（一）编制目的</w:t>
      </w:r>
    </w:p>
    <w:p>
      <w:pPr>
        <w:pStyle w:val="Normal"/>
        <w:spacing w:lineRule="exact" w:line="600"/>
        <w:ind w:firstLine="600" w:end="0"/>
        <w:rPr>
          <w:rFonts w:ascii="仿宋_GB2312" w:hAnsi="仿宋_GB2312" w:eastAsia="仿宋_GB2312" w:cs="仿宋_GB2312" w:hint="eastAsia"/>
          <w:kern w:val="0"/>
          <w:sz w:val="30"/>
          <w:szCs w:val="30"/>
        </w:rPr>
      </w:pPr>
      <w:r>
        <w:rPr>
          <w:rFonts w:ascii="仿宋_GB2312" w:hAnsi="仿宋_GB2312" w:cs="仿宋_GB2312" w:hint="eastAsia" w:eastAsia="仿宋_GB2312"/>
          <w:kern w:val="0"/>
          <w:sz w:val="30"/>
          <w:szCs w:val="30"/>
        </w:rPr>
        <w:t>本文件由新晨科技股份有限公司（以下简称新晨科技）为提高中国邮政储蓄银行（以下简称邮储银行）</w:t>
      </w:r>
      <w:r>
        <w:rPr>
          <w:rFonts w:eastAsia="仿宋_GB2312" w:cs="仿宋_GB2312" w:hint="eastAsia" w:ascii="仿宋_GB2312" w:hAnsi="仿宋_GB2312"/>
          <w:kern w:val="0"/>
          <w:sz w:val="30"/>
          <w:szCs w:val="30"/>
        </w:rPr>
        <w:t>IT</w:t>
      </w:r>
      <w:r>
        <w:rPr>
          <w:rFonts w:ascii="仿宋_GB2312" w:hAnsi="仿宋_GB2312" w:cs="仿宋_GB2312" w:hint="eastAsia" w:eastAsia="仿宋_GB2312"/>
          <w:kern w:val="0"/>
          <w:sz w:val="30"/>
          <w:szCs w:val="30"/>
        </w:rPr>
        <w:t>外包服务中断应急处置能力和综合管理水平，有效防范信息科技外包风险，当新晨科技发生突发事件服务中断时，降低风险可能带来的损失，提供全面应急</w:t>
      </w:r>
      <w:r>
        <w:rPr>
          <w:rFonts w:eastAsia="仿宋_GB2312" w:cs="仿宋_GB2312" w:hint="eastAsia" w:ascii="仿宋_GB2312" w:hAnsi="仿宋_GB2312"/>
          <w:kern w:val="0"/>
          <w:sz w:val="30"/>
          <w:szCs w:val="30"/>
        </w:rPr>
        <w:t>/</w:t>
      </w:r>
      <w:r>
        <w:rPr>
          <w:rFonts w:ascii="仿宋_GB2312" w:hAnsi="仿宋_GB2312" w:cs="仿宋_GB2312" w:hint="eastAsia" w:eastAsia="仿宋_GB2312"/>
          <w:kern w:val="0"/>
          <w:sz w:val="30"/>
          <w:szCs w:val="30"/>
        </w:rPr>
        <w:t>恢复的预案，特制订本专项应急预案。</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（二）编制依据</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1</w:t>
      </w:r>
      <w:r>
        <w:rPr>
          <w:rFonts w:ascii="仿宋_GB2312" w:hAnsi="仿宋_GB2312" w:cs="仿宋_GB2312" w:hint="eastAsia" w:eastAsia="仿宋_GB2312"/>
          <w:sz w:val="30"/>
          <w:szCs w:val="30"/>
        </w:rPr>
        <w:t>）《银行保险机构信息科技外包风险监管办法》</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2</w:t>
      </w:r>
      <w:r>
        <w:rPr>
          <w:rFonts w:ascii="仿宋_GB2312" w:hAnsi="仿宋_GB2312" w:cs="仿宋_GB2312" w:hint="eastAsia" w:eastAsia="仿宋_GB2312"/>
          <w:sz w:val="30"/>
          <w:szCs w:val="30"/>
        </w:rPr>
        <w:t>）《中国邮政储蓄银行信息科技外包突发事件总体应急预案（</w:t>
      </w:r>
      <w:r>
        <w:rPr>
          <w:rFonts w:eastAsia="仿宋_GB2312" w:cs="仿宋_GB2312" w:hint="eastAsia" w:ascii="仿宋_GB2312" w:hAnsi="仿宋_GB2312"/>
          <w:sz w:val="30"/>
          <w:szCs w:val="30"/>
        </w:rPr>
        <w:t>2024</w:t>
      </w:r>
      <w:r>
        <w:rPr>
          <w:rFonts w:ascii="仿宋_GB2312" w:hAnsi="仿宋_GB2312" w:cs="仿宋_GB2312" w:hint="eastAsia" w:eastAsia="仿宋_GB2312"/>
          <w:sz w:val="30"/>
          <w:szCs w:val="30"/>
        </w:rPr>
        <w:t>年修订版）》</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3</w:t>
      </w:r>
      <w:r>
        <w:rPr>
          <w:rFonts w:ascii="仿宋_GB2312" w:hAnsi="仿宋_GB2312" w:cs="仿宋_GB2312" w:hint="eastAsia" w:eastAsia="仿宋_GB2312"/>
          <w:sz w:val="30"/>
          <w:szCs w:val="30"/>
        </w:rPr>
        <w:t>）《中国邮政储蓄银行软件研发中心信息科技外包突发事件专项应急预案（</w:t>
      </w:r>
      <w:r>
        <w:rPr>
          <w:rFonts w:eastAsia="仿宋_GB2312" w:cs="仿宋_GB2312" w:hint="eastAsia" w:ascii="仿宋_GB2312" w:hAnsi="仿宋_GB2312"/>
          <w:sz w:val="30"/>
          <w:szCs w:val="30"/>
        </w:rPr>
        <w:t>2024</w:t>
      </w:r>
      <w:r>
        <w:rPr>
          <w:rFonts w:ascii="仿宋_GB2312" w:hAnsi="仿宋_GB2312" w:cs="仿宋_GB2312" w:hint="eastAsia" w:eastAsia="仿宋_GB2312"/>
          <w:sz w:val="30"/>
          <w:szCs w:val="30"/>
        </w:rPr>
        <w:t>年修订版）》</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（三）适用范围</w:t>
      </w:r>
    </w:p>
    <w:p>
      <w:pPr>
        <w:pStyle w:val="Normal"/>
        <w:spacing w:lineRule="exact" w:line="600"/>
        <w:ind w:firstLine="600" w:end="0"/>
        <w:rPr>
          <w:rFonts w:ascii="仿宋_GB2312" w:hAnsi="仿宋_GB2312" w:eastAsia="仿宋_GB2312" w:cs="仿宋_GB2312" w:hint="eastAsia"/>
          <w:kern w:val="0"/>
          <w:sz w:val="30"/>
          <w:szCs w:val="30"/>
        </w:rPr>
      </w:pPr>
      <w:r>
        <w:rPr>
          <w:rFonts w:ascii="仿宋_GB2312" w:hAnsi="仿宋_GB2312" w:cs="仿宋_GB2312" w:hint="eastAsia" w:eastAsia="仿宋_GB2312"/>
          <w:kern w:val="0"/>
          <w:sz w:val="30"/>
          <w:szCs w:val="30"/>
        </w:rPr>
        <w:t>本专项应急预案是针对新晨科技发生影响邮储银行相关外包服务的突发事件进行应急处置的专项应急预案，供新晨科技各项目组使用。</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（四）编制原则</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1</w:t>
      </w:r>
      <w:r>
        <w:rPr>
          <w:rFonts w:ascii="仿宋_GB2312" w:hAnsi="仿宋_GB2312" w:cs="仿宋_GB2312" w:hint="eastAsia" w:eastAsia="仿宋_GB2312"/>
          <w:sz w:val="30"/>
          <w:szCs w:val="30"/>
        </w:rPr>
        <w:t>）以人为本原则。把保障人员生命财产安全作为各项工作的出发点和落脚点，最大限度减少对人员生命财产的损害。</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2</w:t>
      </w:r>
      <w:r>
        <w:rPr>
          <w:rFonts w:ascii="仿宋_GB2312" w:hAnsi="仿宋_GB2312" w:cs="仿宋_GB2312" w:hint="eastAsia" w:eastAsia="仿宋_GB2312"/>
          <w:sz w:val="30"/>
          <w:szCs w:val="30"/>
        </w:rPr>
        <w:t>）服务优先原则。所有应急的技术和业务处理的首要目标是尽最快的速度恢复生产，恢复对客户的服务，具体问题的分析可留在服务恢复之后再开展。</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3</w:t>
      </w:r>
      <w:r>
        <w:rPr>
          <w:rFonts w:ascii="仿宋_GB2312" w:hAnsi="仿宋_GB2312" w:cs="仿宋_GB2312" w:hint="eastAsia" w:eastAsia="仿宋_GB2312"/>
          <w:sz w:val="30"/>
          <w:szCs w:val="30"/>
        </w:rPr>
        <w:t>）统一指挥原则。在突发事件处置过程中，要建立强有力的指挥体系，加强各部门间的组织协调工作，做到令行禁止。各部门、各机构应按照自身的权限和职责各司其职，服从上级指挥。应统筹外部机构配合力量。</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4</w:t>
      </w:r>
      <w:r>
        <w:rPr>
          <w:rFonts w:ascii="仿宋_GB2312" w:hAnsi="仿宋_GB2312" w:cs="仿宋_GB2312" w:hint="eastAsia" w:eastAsia="仿宋_GB2312"/>
          <w:sz w:val="30"/>
          <w:szCs w:val="30"/>
        </w:rPr>
        <w:t>）成本效益原则。开展突发事件应急工作所花费的代价不超过由此而获得的效益。所有应急的技术和业务处理应争取保证客户资金损失最小。</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5</w:t>
      </w:r>
      <w:r>
        <w:rPr>
          <w:rFonts w:ascii="仿宋_GB2312" w:hAnsi="仿宋_GB2312" w:cs="仿宋_GB2312" w:hint="eastAsia" w:eastAsia="仿宋_GB2312"/>
          <w:sz w:val="30"/>
          <w:szCs w:val="30"/>
        </w:rPr>
        <w:t>）及时汇报原则。突发事件发生时，应第一时间按流程上报，明确通知到相关负责人，以保证尽快调集各方资源进行故障处理。</w:t>
      </w:r>
    </w:p>
    <w:p>
      <w:pPr>
        <w:pStyle w:val="Normal"/>
        <w:tabs>
          <w:tab w:val="clear" w:pos="420"/>
          <w:tab w:val="left" w:pos="1080" w:leader="none"/>
        </w:tabs>
        <w:spacing w:lineRule="exact" w:line="600"/>
        <w:ind w:firstLine="600" w:end="0"/>
        <w:rPr>
          <w:rFonts w:ascii="仿宋_GB2312" w:hAnsi="仿宋_GB2312" w:eastAsia="仿宋_GB2312" w:cs="仿宋_GB2312" w:hint="eastAsia"/>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6</w:t>
      </w:r>
      <w:r>
        <w:rPr>
          <w:rFonts w:ascii="仿宋_GB2312" w:hAnsi="仿宋_GB2312" w:cs="仿宋_GB2312" w:hint="eastAsia" w:eastAsia="仿宋_GB2312"/>
          <w:sz w:val="30"/>
          <w:szCs w:val="30"/>
        </w:rPr>
        <w:t>）高效处置原则。加强应急处置队伍建设，提供充分的资源保障，确保外包突发事件发生时，反应迅速、协同高效、措施得力、操作准确，尽可能减少外包突发事件造成的损失。</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（五）预案启用和停止条件</w:t>
      </w:r>
    </w:p>
    <w:p>
      <w:pPr>
        <w:pStyle w:val="Normal"/>
        <w:spacing w:lineRule="exact" w:line="600"/>
        <w:ind w:firstLine="600" w:end="0"/>
        <w:rPr>
          <w:rFonts w:ascii="仿宋_GB2312" w:hAnsi="仿宋_GB2312" w:eastAsia="仿宋_GB2312" w:cs="仿宋_GB2312" w:hint="eastAsia"/>
          <w:kern w:val="0"/>
          <w:sz w:val="30"/>
          <w:szCs w:val="30"/>
        </w:rPr>
      </w:pPr>
      <w:r>
        <w:rPr>
          <w:rFonts w:ascii="仿宋_GB2312" w:hAnsi="仿宋_GB2312" w:cs="仿宋_GB2312" w:hint="eastAsia" w:eastAsia="仿宋_GB2312"/>
          <w:kern w:val="0"/>
          <w:sz w:val="30"/>
          <w:szCs w:val="30"/>
        </w:rPr>
        <w:t>当突发事件导致外包服务无法正常提供时，按照应急预案进行应急处置。</w:t>
      </w:r>
    </w:p>
    <w:p>
      <w:pPr>
        <w:pStyle w:val="Normal"/>
        <w:spacing w:lineRule="exact" w:line="600"/>
        <w:ind w:firstLine="600" w:end="0"/>
        <w:rPr/>
      </w:pPr>
      <w:r>
        <w:rPr>
          <w:rFonts w:ascii="仿宋_GB2312" w:hAnsi="仿宋_GB2312" w:cs="仿宋_GB2312" w:hint="eastAsia" w:eastAsia="仿宋_GB2312"/>
          <w:kern w:val="0"/>
          <w:sz w:val="30"/>
          <w:szCs w:val="30"/>
        </w:rPr>
        <w:t>突发事件解决后，对外服务恢复正常，由</w:t>
      </w:r>
      <w:r>
        <w:rPr>
          <w:rFonts w:ascii="仿宋_GB2312" w:hAnsi="仿宋_GB2312" w:cs="仿宋_GB2312" w:hint="eastAsia" w:eastAsia="仿宋_GB2312"/>
          <w:color w:val="000000"/>
          <w:kern w:val="0"/>
          <w:sz w:val="30"/>
          <w:szCs w:val="30"/>
        </w:rPr>
        <w:t>应急指挥小组组长</w:t>
      </w:r>
      <w:r>
        <w:rPr>
          <w:rFonts w:ascii="仿宋_GB2312" w:hAnsi="仿宋_GB2312" w:cs="仿宋_GB2312" w:hint="eastAsia" w:eastAsia="仿宋_GB2312"/>
          <w:kern w:val="0"/>
          <w:sz w:val="30"/>
          <w:szCs w:val="30"/>
        </w:rPr>
        <w:t>或其授权人宣布应急处置工作结束，应急状态解除。</w:t>
      </w:r>
    </w:p>
    <w:p>
      <w:pPr>
        <w:pStyle w:val="Heading1"/>
        <w:spacing w:lineRule="exact" w:line="600" w:before="0" w:after="0"/>
        <w:ind w:firstLineChars="200" w:startChars="0" w:start="0" w:endChars="0" w:end="0"/>
        <w:rPr>
          <w:rFonts w:eastAsia="黑体;SimHei" w:cs="黑体;SimHei" w:hint="eastAsia"/>
          <w:b w:val="false"/>
          <w:sz w:val="30"/>
          <w:szCs w:val="30"/>
        </w:rPr>
      </w:pPr>
      <w:r>
        <w:rPr>
          <w:rFonts w:cs="黑体;SimHei" w:hint="eastAsia" w:eastAsia="黑体;SimHei"/>
          <w:b w:val="false"/>
          <w:sz w:val="30"/>
          <w:szCs w:val="30"/>
        </w:rPr>
        <w:t>二、应急组织设置</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rPr>
      </w:pPr>
      <w:r>
        <w:rPr>
          <w:rFonts w:cs="楷体_GB2312;楷体" w:hint="eastAsia" w:eastAsia="楷体_GB2312;楷体"/>
        </w:rPr>
        <w:t>（一）应急组织架构</w:t>
      </w:r>
    </w:p>
    <w:p>
      <w:pPr>
        <w:pStyle w:val="2"/>
        <w:spacing w:lineRule="exact" w:line="600" w:before="0" w:after="0"/>
        <w:ind w:startChars="0" w:start="0" w:endChars="0" w:end="0"/>
        <w:rPr>
          <w:rFonts w:ascii="仿宋_GB2312" w:hAnsi="仿宋_GB2312" w:eastAsia="仿宋_GB2312" w:cs="仿宋_GB2312" w:hint="eastAsia"/>
          <w:kern w:val="0"/>
          <w:sz w:val="30"/>
          <w:szCs w:val="30"/>
        </w:rPr>
      </w:pPr>
      <w:r>
        <w:rPr>
          <w:rFonts w:ascii="仿宋_GB2312" w:hAnsi="仿宋_GB2312" w:cs="仿宋_GB2312" w:hint="eastAsia" w:eastAsia="仿宋_GB2312"/>
          <w:kern w:val="0"/>
          <w:sz w:val="30"/>
          <w:szCs w:val="30"/>
        </w:rPr>
        <w:t>应急组织架构图如下：</w:t>
      </w:r>
    </w:p>
    <w:p>
      <w:pPr>
        <w:pStyle w:val="2"/>
        <w:spacing w:lineRule="exact" w:line="600" w:before="0" w:after="0"/>
        <w:ind w:startChars="0" w:start="0" w:endChars="0" w:end="0"/>
        <w:jc w:val="center"/>
        <w:rPr>
          <w:rFonts w:ascii="仿宋_GB2312" w:hAnsi="仿宋_GB2312" w:eastAsia="仿宋_GB2312" w:cs="仿宋_GB2312" w:hint="eastAsia"/>
          <w:i/>
          <w:iCs/>
          <w:color w:val="0000FF"/>
          <w:kern w:val="0"/>
          <w:sz w:val="30"/>
          <w:szCs w:val="30"/>
        </w:rPr>
      </w:pPr>
      <w:r>
        <w:drawing>
          <wp:anchor distT="0" distB="0" distL="114935" distR="114935" simplePos="0" relativeHeight="28" behindDoc="1" locked="0" layoutInCell="0" allowOverlap="1">
            <wp:simplePos x="0" y="0"/>
            <wp:positionH relativeFrom="column">
              <wp:posOffset>11430</wp:posOffset>
            </wp:positionH>
            <wp:positionV relativeFrom="paragraph">
              <wp:posOffset>184785</wp:posOffset>
            </wp:positionV>
            <wp:extent cx="5268595" cy="3187065"/>
            <wp:effectExtent l="0" t="0" r="0" b="0"/>
            <wp:wrapTight wrapText="bothSides">
              <wp:wrapPolygon edited="0">
                <wp:start x="-36" y="0"/>
                <wp:lineTo x="-36" y="21533"/>
                <wp:lineTo x="21599" y="21533"/>
                <wp:lineTo x="21599" y="0"/>
                <wp:lineTo x="-36"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5" t="-9" r="-5" b="-9"/>
                    <a:stretch>
                      <a:fillRect/>
                    </a:stretch>
                  </pic:blipFill>
                  <pic:spPr bwMode="auto">
                    <a:xfrm>
                      <a:off x="0" y="0"/>
                      <a:ext cx="5268595" cy="3187065"/>
                    </a:xfrm>
                    <a:prstGeom prst="rect">
                      <a:avLst/>
                    </a:prstGeom>
                    <a:noFill/>
                  </pic:spPr>
                </pic:pic>
              </a:graphicData>
            </a:graphic>
          </wp:anchor>
        </w:drawing>
      </w:r>
      <w:r>
        <w:rPr>
          <w:rFonts w:ascii="仿宋_GB2312" w:hAnsi="仿宋_GB2312" w:cs="仿宋_GB2312" w:hint="eastAsia" w:eastAsia="仿宋_GB2312"/>
          <w:kern w:val="0"/>
          <w:sz w:val="30"/>
          <w:szCs w:val="30"/>
        </w:rPr>
        <w:t>图</w:t>
      </w:r>
      <w:r>
        <w:rPr>
          <w:rFonts w:eastAsia="仿宋_GB2312" w:cs="仿宋_GB2312" w:hint="eastAsia" w:ascii="仿宋_GB2312" w:hAnsi="仿宋_GB2312"/>
          <w:kern w:val="0"/>
          <w:sz w:val="30"/>
          <w:szCs w:val="30"/>
        </w:rPr>
        <w:t xml:space="preserve">1 </w:t>
      </w:r>
      <w:r>
        <w:rPr>
          <w:rFonts w:ascii="仿宋_GB2312" w:hAnsi="仿宋_GB2312" w:cs="仿宋_GB2312" w:hint="eastAsia" w:eastAsia="仿宋_GB2312"/>
          <w:kern w:val="0"/>
          <w:sz w:val="30"/>
          <w:szCs w:val="30"/>
        </w:rPr>
        <w:t>应急组织架构图</w:t>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rPr>
      </w:pPr>
      <w:r>
        <w:rPr>
          <w:rFonts w:cs="楷体_GB2312;楷体" w:hint="eastAsia" w:eastAsia="楷体_GB2312;楷体"/>
        </w:rPr>
        <w:t>（二）人员构成和职责分工</w:t>
      </w:r>
    </w:p>
    <w:p>
      <w:pPr>
        <w:pStyle w:val="2"/>
        <w:spacing w:lineRule="exact" w:line="600" w:before="0" w:after="0"/>
        <w:ind w:startChars="0" w:start="0" w:endChars="0" w:end="0"/>
        <w:rPr/>
      </w:pPr>
      <w:r>
        <w:rPr/>
        <w:t>具体人员构成和职责分工如下：</w:t>
      </w:r>
    </w:p>
    <w:tbl>
      <w:tblPr>
        <w:tblW w:w="8413" w:type="dxa"/>
        <w:jc w:val="center"/>
        <w:tblInd w:w="0" w:type="dxa"/>
        <w:tblLayout w:type="fixed"/>
        <w:tblCellMar>
          <w:top w:w="0" w:type="dxa"/>
          <w:start w:w="108" w:type="dxa"/>
          <w:bottom w:w="0" w:type="dxa"/>
          <w:end w:w="108" w:type="dxa"/>
        </w:tblCellMar>
      </w:tblPr>
      <w:tblGrid>
        <w:gridCol w:w="1499"/>
        <w:gridCol w:w="3458"/>
        <w:gridCol w:w="3456"/>
      </w:tblGrid>
      <w:tr>
        <w:trPr>
          <w:trHeight w:val="470" w:hRule="atLeast"/>
        </w:trPr>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kern w:val="0"/>
                <w:sz w:val="20"/>
                <w:szCs w:val="20"/>
              </w:rPr>
              <w:t>角色</w:t>
            </w:r>
          </w:p>
        </w:tc>
        <w:tc>
          <w:tcPr>
            <w:tcW w:w="34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kern w:val="0"/>
                <w:sz w:val="20"/>
                <w:szCs w:val="20"/>
              </w:rPr>
              <w:t>人员构成</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kern w:val="0"/>
                <w:sz w:val="20"/>
                <w:szCs w:val="20"/>
              </w:rPr>
              <w:t>职责与权限</w:t>
            </w:r>
          </w:p>
        </w:tc>
      </w:tr>
      <w:tr>
        <w:trPr>
          <w:trHeight w:val="659" w:hRule="atLeast"/>
        </w:trPr>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i/>
                <w:iCs/>
                <w:color w:val="0000FF"/>
                <w:kern w:val="0"/>
                <w:sz w:val="20"/>
                <w:szCs w:val="20"/>
              </w:rPr>
              <w:t>应急指挥小组</w:t>
            </w:r>
          </w:p>
        </w:tc>
        <w:tc>
          <w:tcPr>
            <w:tcW w:w="34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张燕生、张立纯、何育松、权冬艳、魏峰、周嘉嘉、邹琳、赵海涛、乔永明</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组长</w:t>
            </w:r>
            <w:r>
              <w:rPr>
                <w:rFonts w:cs="宋体;SimSun" w:hint="eastAsia" w:ascii="宋体;SimSun" w:hAnsi="宋体;SimSun"/>
                <w:kern w:val="0"/>
                <w:sz w:val="20"/>
                <w:szCs w:val="20"/>
              </w:rPr>
              <w:t>-</w:t>
            </w:r>
            <w:r>
              <w:rPr>
                <w:rFonts w:ascii="宋体;SimSun" w:hAnsi="宋体;SimSun" w:cs="宋体;SimSun" w:hint="eastAsia"/>
                <w:kern w:val="0"/>
                <w:sz w:val="20"/>
                <w:szCs w:val="20"/>
              </w:rPr>
              <w:t>张燕生</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副组长</w:t>
            </w:r>
            <w:r>
              <w:rPr>
                <w:rFonts w:cs="宋体;SimSun" w:hint="eastAsia" w:ascii="宋体;SimSun" w:hAnsi="宋体;SimSun"/>
                <w:kern w:val="0"/>
                <w:sz w:val="20"/>
                <w:szCs w:val="20"/>
              </w:rPr>
              <w:t>-</w:t>
            </w:r>
            <w:r>
              <w:rPr>
                <w:rFonts w:ascii="宋体;SimSun" w:hAnsi="宋体;SimSun" w:cs="宋体;SimSun" w:hint="eastAsia"/>
                <w:kern w:val="0"/>
                <w:sz w:val="20"/>
                <w:szCs w:val="20"/>
              </w:rPr>
              <w:t>张立纯、何育松</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组员：权冬艳（负责财务</w:t>
            </w:r>
            <w:r>
              <w:rPr>
                <w:rFonts w:cs="宋体;SimSun" w:hint="eastAsia" w:ascii="宋体;SimSun" w:hAnsi="宋体;SimSun"/>
                <w:kern w:val="0"/>
                <w:sz w:val="20"/>
                <w:szCs w:val="20"/>
              </w:rPr>
              <w:t>/</w:t>
            </w:r>
            <w:r>
              <w:rPr>
                <w:rFonts w:ascii="宋体;SimSun" w:hAnsi="宋体;SimSun" w:cs="宋体;SimSun" w:hint="eastAsia"/>
                <w:kern w:val="0"/>
                <w:sz w:val="20"/>
                <w:szCs w:val="20"/>
              </w:rPr>
              <w:t>法律方面）、魏峰（公司上市）、周嘉嘉（质量、采购）、邹琳（人力资源</w:t>
            </w:r>
            <w:r>
              <w:rPr>
                <w:rFonts w:cs="宋体;SimSun" w:hint="eastAsia" w:ascii="宋体;SimSun" w:hAnsi="宋体;SimSun"/>
                <w:kern w:val="0"/>
                <w:sz w:val="20"/>
                <w:szCs w:val="20"/>
              </w:rPr>
              <w:t>/</w:t>
            </w:r>
            <w:r>
              <w:rPr>
                <w:rFonts w:ascii="宋体;SimSun" w:hAnsi="宋体;SimSun" w:cs="宋体;SimSun" w:hint="eastAsia"/>
                <w:kern w:val="0"/>
                <w:sz w:val="20"/>
                <w:szCs w:val="20"/>
              </w:rPr>
              <w:t>行政）、赵海涛（信息安全）、乔永明（邮储项目总体联络人）</w:t>
            </w:r>
          </w:p>
        </w:tc>
      </w:tr>
      <w:tr>
        <w:trPr>
          <w:trHeight w:val="659" w:hRule="atLeast"/>
        </w:trPr>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i/>
                <w:iCs/>
                <w:color w:val="0000FF"/>
                <w:kern w:val="0"/>
                <w:sz w:val="20"/>
                <w:szCs w:val="20"/>
              </w:rPr>
              <w:t>应急执行小组</w:t>
            </w:r>
          </w:p>
        </w:tc>
        <w:tc>
          <w:tcPr>
            <w:tcW w:w="34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乔永明、赵昕、王楠、白凌、蒋子龙、郝炳男</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组长</w:t>
            </w:r>
            <w:r>
              <w:rPr>
                <w:rFonts w:cs="宋体;SimSun" w:hint="eastAsia" w:ascii="宋体;SimSun" w:hAnsi="宋体;SimSun"/>
                <w:kern w:val="0"/>
                <w:sz w:val="20"/>
                <w:szCs w:val="20"/>
              </w:rPr>
              <w:t>-</w:t>
            </w:r>
            <w:r>
              <w:rPr>
                <w:rFonts w:ascii="宋体;SimSun" w:hAnsi="宋体;SimSun" w:cs="宋体;SimSun" w:hint="eastAsia"/>
                <w:kern w:val="0"/>
                <w:sz w:val="20"/>
                <w:szCs w:val="20"/>
              </w:rPr>
              <w:t>乔永明</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副组长</w:t>
            </w:r>
            <w:r>
              <w:rPr>
                <w:rFonts w:cs="宋体;SimSun" w:hint="eastAsia" w:ascii="宋体;SimSun" w:hAnsi="宋体;SimSun"/>
                <w:kern w:val="0"/>
                <w:sz w:val="20"/>
                <w:szCs w:val="20"/>
              </w:rPr>
              <w:t>-</w:t>
            </w:r>
            <w:r>
              <w:rPr>
                <w:rFonts w:ascii="宋体;SimSun" w:hAnsi="宋体;SimSun" w:cs="宋体;SimSun" w:hint="eastAsia"/>
                <w:kern w:val="0"/>
                <w:sz w:val="20"/>
                <w:szCs w:val="20"/>
              </w:rPr>
              <w:t>赵昕、王楠</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组员：白凌、蒋子龙、郝炳男</w:t>
            </w:r>
          </w:p>
        </w:tc>
      </w:tr>
      <w:tr>
        <w:trPr>
          <w:trHeight w:val="659" w:hRule="atLeast"/>
        </w:trPr>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 w:val="20"/>
                <w:szCs w:val="20"/>
              </w:rPr>
            </w:pPr>
            <w:r>
              <w:rPr>
                <w:rFonts w:ascii="宋体;SimSun" w:hAnsi="宋体;SimSun" w:cs="宋体;SimSun" w:hint="eastAsia"/>
                <w:i/>
                <w:iCs/>
                <w:color w:val="0000FF"/>
                <w:kern w:val="0"/>
                <w:sz w:val="20"/>
                <w:szCs w:val="20"/>
              </w:rPr>
              <w:t>应急保障小组</w:t>
            </w:r>
          </w:p>
        </w:tc>
        <w:tc>
          <w:tcPr>
            <w:tcW w:w="34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张立纯、何育松、乔永明、兰麟、解玄、郁会敏、曾艳、吴艳红、钮薇、高山、赵昕、王楠</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组长</w:t>
            </w:r>
            <w:r>
              <w:rPr>
                <w:rFonts w:cs="宋体;SimSun" w:hint="eastAsia" w:ascii="宋体;SimSun" w:hAnsi="宋体;SimSun"/>
                <w:kern w:val="0"/>
                <w:sz w:val="20"/>
                <w:szCs w:val="20"/>
              </w:rPr>
              <w:t>-</w:t>
            </w:r>
            <w:r>
              <w:rPr>
                <w:rFonts w:ascii="宋体;SimSun" w:hAnsi="宋体;SimSun" w:cs="宋体;SimSun" w:hint="eastAsia"/>
                <w:kern w:val="0"/>
                <w:sz w:val="20"/>
                <w:szCs w:val="20"/>
              </w:rPr>
              <w:t>张立纯、何育松</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副组长</w:t>
            </w:r>
            <w:r>
              <w:rPr>
                <w:rFonts w:cs="宋体;SimSun" w:hint="eastAsia" w:ascii="宋体;SimSun" w:hAnsi="宋体;SimSun"/>
                <w:kern w:val="0"/>
                <w:sz w:val="20"/>
                <w:szCs w:val="20"/>
              </w:rPr>
              <w:t>-</w:t>
            </w:r>
            <w:r>
              <w:rPr>
                <w:rFonts w:ascii="宋体;SimSun" w:hAnsi="宋体;SimSun" w:cs="宋体;SimSun" w:hint="eastAsia"/>
                <w:kern w:val="0"/>
                <w:sz w:val="20"/>
                <w:szCs w:val="20"/>
              </w:rPr>
              <w:t>乔永明、赵天奇</w:t>
            </w:r>
          </w:p>
          <w:p>
            <w:pPr>
              <w:pStyle w:val="Normal"/>
              <w:widowControl/>
              <w:jc w:val="start"/>
              <w:rPr>
                <w:rFonts w:ascii="宋体;SimSun" w:hAnsi="宋体;SimSun" w:cs="宋体;SimSun"/>
                <w:kern w:val="0"/>
                <w:sz w:val="20"/>
                <w:szCs w:val="20"/>
              </w:rPr>
            </w:pPr>
            <w:r>
              <w:rPr>
                <w:rFonts w:ascii="宋体;SimSun" w:hAnsi="宋体;SimSun" w:cs="宋体;SimSun" w:hint="eastAsia"/>
                <w:kern w:val="0"/>
                <w:sz w:val="20"/>
                <w:szCs w:val="20"/>
              </w:rPr>
              <w:t>组员：兰麟（财务</w:t>
            </w:r>
            <w:r>
              <w:rPr>
                <w:rFonts w:cs="宋体;SimSun" w:hint="eastAsia" w:ascii="宋体;SimSun" w:hAnsi="宋体;SimSun"/>
                <w:kern w:val="0"/>
                <w:sz w:val="20"/>
                <w:szCs w:val="20"/>
              </w:rPr>
              <w:t>/</w:t>
            </w:r>
            <w:r>
              <w:rPr>
                <w:rFonts w:ascii="宋体;SimSun" w:hAnsi="宋体;SimSun" w:cs="宋体;SimSun" w:hint="eastAsia"/>
                <w:kern w:val="0"/>
                <w:sz w:val="20"/>
                <w:szCs w:val="20"/>
              </w:rPr>
              <w:t>法律）、解玄（公司对外公告）、郁会敏（质量）、曾艳（采购）、吴艳红（人力）、钮薇（行政）、高山（信息安全）、赵昕和王楠（小组联络人）</w:t>
            </w:r>
          </w:p>
        </w:tc>
      </w:tr>
    </w:tbl>
    <w:p>
      <w:pPr>
        <w:pStyle w:val="index61"/>
        <w:ind w:startChars="0" w:start="0" w:endChars="0" w:end="0"/>
        <w:rPr>
          <w:rFonts w:hint="eastAsia"/>
          <w:lang w:val="zh-CN"/>
        </w:rPr>
      </w:pPr>
      <w:r>
        <w:rPr>
          <w:rFonts w:hint="eastAsia"/>
          <w:lang w:val="zh-CN"/>
        </w:rPr>
      </w:r>
    </w:p>
    <w:p>
      <w:pPr>
        <w:pStyle w:val="Heading2"/>
        <w:tabs>
          <w:tab w:val="clear" w:pos="420"/>
          <w:tab w:val="left" w:pos="576" w:leader="none"/>
        </w:tabs>
        <w:spacing w:lineRule="exact" w:line="600" w:before="0" w:after="0"/>
        <w:ind w:firstLineChars="200" w:startChars="0" w:start="0" w:endChars="0" w:end="0"/>
        <w:rPr>
          <w:rFonts w:eastAsia="楷体_GB2312;楷体" w:cs="楷体_GB2312;楷体" w:hint="eastAsia"/>
        </w:rPr>
      </w:pPr>
      <w:r>
        <w:rPr>
          <w:rFonts w:cs="楷体_GB2312;楷体" w:hint="eastAsia" w:eastAsia="楷体_GB2312;楷体"/>
        </w:rPr>
        <w:t>（三）应急人员联系方式</w:t>
      </w:r>
    </w:p>
    <w:tbl>
      <w:tblPr>
        <w:tblW w:w="8521" w:type="dxa"/>
        <w:jc w:val="center"/>
        <w:tblInd w:w="0" w:type="dxa"/>
        <w:tblLayout w:type="fixed"/>
        <w:tblCellMar>
          <w:top w:w="0" w:type="dxa"/>
          <w:start w:w="108" w:type="dxa"/>
          <w:bottom w:w="0" w:type="dxa"/>
          <w:end w:w="108" w:type="dxa"/>
        </w:tblCellMar>
      </w:tblPr>
      <w:tblGrid>
        <w:gridCol w:w="1897"/>
        <w:gridCol w:w="1662"/>
        <w:gridCol w:w="1662"/>
        <w:gridCol w:w="1654"/>
        <w:gridCol w:w="1646"/>
      </w:tblGrid>
      <w:tr>
        <w:trPr>
          <w:trHeight w:val="470" w:hRule="atLeast"/>
        </w:trPr>
        <w:tc>
          <w:tcPr>
            <w:tcW w:w="1897"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第一应急人员</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职务</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联系电话</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备份人员</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联系方式</w:t>
            </w:r>
          </w:p>
        </w:tc>
      </w:tr>
      <w:tr>
        <w:trPr>
          <w:trHeight w:val="470" w:hRule="atLeast"/>
        </w:trPr>
        <w:tc>
          <w:tcPr>
            <w:tcW w:w="1897"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何育松</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副总裁</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13501236795</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赵天奇</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13301306721</w:t>
            </w:r>
          </w:p>
        </w:tc>
      </w:tr>
      <w:tr>
        <w:trPr>
          <w:trHeight w:val="470" w:hRule="atLeast"/>
        </w:trPr>
        <w:tc>
          <w:tcPr>
            <w:tcW w:w="1897"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乔永明</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总经理</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13911783252</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赵昕</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13910472141</w:t>
            </w:r>
          </w:p>
        </w:tc>
      </w:tr>
      <w:tr>
        <w:trPr>
          <w:trHeight w:val="470" w:hRule="atLeast"/>
        </w:trPr>
        <w:tc>
          <w:tcPr>
            <w:tcW w:w="1897"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王楠</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技术总经理</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13552360958</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蒋子龙</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13331018023</w:t>
            </w:r>
          </w:p>
        </w:tc>
      </w:tr>
      <w:tr>
        <w:trPr>
          <w:trHeight w:val="470" w:hRule="atLeast"/>
        </w:trPr>
        <w:tc>
          <w:tcPr>
            <w:tcW w:w="1897"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赵昕</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销售总监</w:t>
            </w:r>
          </w:p>
        </w:tc>
        <w:tc>
          <w:tcPr>
            <w:tcW w:w="1662"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13910472141</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ascii="宋体;SimSun" w:hAnsi="宋体;SimSun" w:cs="宋体;SimSun" w:hint="eastAsia"/>
                <w:sz w:val="20"/>
                <w:szCs w:val="20"/>
              </w:rPr>
              <w:t>白凌</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UserStyle20"/>
              <w:jc w:val="center"/>
              <w:rPr>
                <w:rFonts w:ascii="宋体;SimSun" w:hAnsi="宋体;SimSun" w:cs="宋体;SimSun" w:hint="eastAsia"/>
                <w:sz w:val="20"/>
                <w:szCs w:val="20"/>
              </w:rPr>
            </w:pPr>
            <w:r>
              <w:rPr>
                <w:rFonts w:cs="宋体;SimSun" w:hint="eastAsia" w:ascii="宋体;SimSun" w:hAnsi="宋体;SimSun"/>
                <w:sz w:val="20"/>
                <w:szCs w:val="20"/>
              </w:rPr>
              <w:t>13651126409</w:t>
            </w:r>
          </w:p>
        </w:tc>
      </w:tr>
    </w:tbl>
    <w:p>
      <w:pPr>
        <w:pStyle w:val="Normal"/>
        <w:numPr>
          <w:ilvl w:val="0"/>
          <w:numId w:val="0"/>
        </w:numPr>
        <w:tabs>
          <w:tab w:val="clear" w:pos="420"/>
          <w:tab w:val="left" w:pos="1080" w:leader="none"/>
        </w:tabs>
        <w:ind w:firstLineChars="200" w:startChars="0" w:start="0" w:endChars="0" w:end="0"/>
        <w:outlineLvl w:val="0"/>
        <w:rPr>
          <w:rFonts w:ascii="仿宋_GB2312" w:hAnsi="仿宋_GB2312" w:eastAsia="仿宋_GB2312" w:cs="仿宋_GB2312" w:hint="eastAsia"/>
          <w:color w:val="0000FF"/>
          <w:kern w:val="0"/>
          <w:sz w:val="30"/>
          <w:szCs w:val="30"/>
        </w:rPr>
      </w:pPr>
      <w:r>
        <w:rPr>
          <w:rFonts w:cs="黑体;SimHei" w:hint="eastAsia" w:eastAsia="黑体;SimHei"/>
          <w:sz w:val="30"/>
          <w:szCs w:val="30"/>
        </w:rPr>
        <w:t>三、应急响应流程及措施</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根据突发事件影响，外包突发事件主要分为以下几种类型：</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（一）外包服务中断或终止。</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场景描述：由于不可抗力，服务提供商经营不善出现重大资源、财务受损、核心技术人员大量流失，或发生业务转型、主营业务偏离服务范围等，造成外包服务中断或终止。</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各场景应急响应流程及措施如下：</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场景描述</w:t>
      </w:r>
      <w:r>
        <w:rPr>
          <w:rFonts w:eastAsia="仿宋_GB2312" w:cs="仿宋_GB2312" w:hint="eastAsia" w:ascii="仿宋_GB2312" w:hAnsi="仿宋_GB2312"/>
          <w:iCs/>
          <w:color w:val="000000"/>
          <w:kern w:val="0"/>
          <w:sz w:val="30"/>
          <w:szCs w:val="30"/>
        </w:rPr>
        <w:t xml:space="preserve">1 </w:t>
      </w:r>
      <w:r>
        <w:rPr>
          <w:rFonts w:ascii="仿宋_GB2312" w:hAnsi="仿宋_GB2312" w:cs="仿宋_GB2312" w:hint="eastAsia" w:eastAsia="仿宋_GB2312"/>
          <w:iCs/>
          <w:color w:val="000000"/>
          <w:kern w:val="0"/>
          <w:sz w:val="30"/>
          <w:szCs w:val="30"/>
        </w:rPr>
        <w:t>：公司因不可抗力致使其</w:t>
      </w:r>
      <w:r>
        <w:rPr>
          <w:rFonts w:ascii="仿宋_GB2312" w:hAnsi="仿宋_GB2312" w:cs="微软雅黑" w:hint="eastAsia" w:eastAsia="仿宋_GB2312"/>
          <w:iCs/>
          <w:color w:val="000000"/>
          <w:kern w:val="0"/>
          <w:sz w:val="30"/>
          <w:szCs w:val="30"/>
        </w:rPr>
        <w:t>被</w:t>
      </w:r>
      <w:r>
        <w:rPr>
          <w:rFonts w:ascii="仿宋_GB2312" w:hAnsi="仿宋_GB2312" w:cs="___WRD_EMBED_SUB_44;苹方-简" w:hint="eastAsia" w:eastAsia="仿宋_GB2312"/>
          <w:iCs/>
          <w:color w:val="000000"/>
          <w:kern w:val="0"/>
          <w:sz w:val="30"/>
          <w:szCs w:val="30"/>
        </w:rPr>
        <w:t>动退出</w:t>
      </w:r>
      <w:r>
        <w:rPr>
          <w:rFonts w:eastAsia="仿宋_GB2312" w:cs="仿宋_GB2312" w:hint="eastAsia" w:ascii="仿宋_GB2312" w:hAnsi="仿宋_GB2312"/>
          <w:iCs/>
          <w:color w:val="000000"/>
          <w:kern w:val="0"/>
          <w:sz w:val="30"/>
          <w:szCs w:val="30"/>
        </w:rPr>
        <w:t>(</w:t>
      </w:r>
      <w:r>
        <w:rPr>
          <w:rFonts w:ascii="仿宋_GB2312" w:hAnsi="仿宋_GB2312" w:cs="仿宋_GB2312" w:hint="eastAsia" w:eastAsia="仿宋_GB2312"/>
          <w:iCs/>
          <w:color w:val="000000"/>
          <w:kern w:val="0"/>
          <w:sz w:val="30"/>
          <w:szCs w:val="30"/>
        </w:rPr>
        <w:t>国家有关政策法</w:t>
      </w:r>
      <w:r>
        <w:rPr>
          <w:rFonts w:ascii="仿宋_GB2312" w:hAnsi="仿宋_GB2312" w:cs="微软雅黑" w:hint="eastAsia" w:eastAsia="仿宋_GB2312"/>
          <w:iCs/>
          <w:color w:val="000000"/>
          <w:kern w:val="0"/>
          <w:sz w:val="30"/>
          <w:szCs w:val="30"/>
        </w:rPr>
        <w:t>律</w:t>
      </w:r>
      <w:r>
        <w:rPr>
          <w:rFonts w:ascii="仿宋_GB2312" w:hAnsi="仿宋_GB2312" w:cs="___WRD_EMBED_SUB_44;苹方-简" w:hint="eastAsia" w:eastAsia="仿宋_GB2312"/>
          <w:iCs/>
          <w:color w:val="000000"/>
          <w:kern w:val="0"/>
          <w:sz w:val="30"/>
          <w:szCs w:val="30"/>
        </w:rPr>
        <w:t>法规调整、遭受大规</w:t>
      </w:r>
      <w:r>
        <w:rPr>
          <w:rFonts w:ascii="仿宋_GB2312" w:hAnsi="仿宋_GB2312" w:cs="微软雅黑" w:hint="eastAsia" w:eastAsia="仿宋_GB2312"/>
          <w:iCs/>
          <w:color w:val="000000"/>
          <w:kern w:val="0"/>
          <w:sz w:val="30"/>
          <w:szCs w:val="30"/>
        </w:rPr>
        <w:t>模</w:t>
      </w:r>
      <w:r>
        <w:rPr>
          <w:rFonts w:ascii="仿宋_GB2312" w:hAnsi="仿宋_GB2312" w:cs="___WRD_EMBED_SUB_44;苹方-简" w:hint="eastAsia" w:eastAsia="仿宋_GB2312"/>
          <w:iCs/>
          <w:color w:val="000000"/>
          <w:kern w:val="0"/>
          <w:sz w:val="30"/>
          <w:szCs w:val="30"/>
        </w:rPr>
        <w:t>水灾、火灾、地震</w:t>
      </w:r>
      <w:r>
        <w:rPr>
          <w:rFonts w:eastAsia="仿宋_GB2312" w:cs="仿宋_GB2312" w:hint="eastAsia" w:ascii="仿宋_GB2312" w:hAnsi="仿宋_GB2312"/>
          <w:iCs/>
          <w:color w:val="000000"/>
          <w:kern w:val="0"/>
          <w:sz w:val="30"/>
          <w:szCs w:val="30"/>
        </w:rPr>
        <w:t>)</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hint="eastAsia" w:ascii="仿宋_GB2312" w:hAnsi="仿宋_GB2312"/>
          <w:iCs/>
          <w:color w:val="000000"/>
          <w:kern w:val="0"/>
          <w:sz w:val="30"/>
          <w:szCs w:val="30"/>
        </w:rPr>
        <w:t>1.</w:t>
      </w:r>
      <w:r>
        <w:rPr>
          <w:rFonts w:ascii="仿宋_GB2312" w:hAnsi="仿宋_GB2312" w:cs="仿宋_GB2312" w:hint="eastAsia" w:eastAsia="仿宋_GB2312"/>
          <w:iCs/>
          <w:color w:val="000000"/>
          <w:kern w:val="0"/>
          <w:sz w:val="30"/>
          <w:szCs w:val="30"/>
        </w:rPr>
        <w:t>应急处置流程</w:t>
      </w:r>
    </w:p>
    <w:p>
      <w:pPr>
        <w:pStyle w:val="Normal"/>
        <w:spacing w:lineRule="atLeast" w:line="450"/>
        <w:ind w:firstLine="567" w:end="0"/>
        <w:jc w:val="start"/>
        <w:rPr>
          <w:rFonts w:ascii="仿宋_GB2312" w:hAnsi="仿宋_GB2312" w:eastAsia="仿宋_GB2312" w:cs="仿宋_GB2312"/>
          <w:kern w:val="0"/>
          <w:sz w:val="30"/>
          <w:szCs w:val="30"/>
        </w:rPr>
      </w:pPr>
      <w:r>
        <w:rPr>
          <w:rFonts w:ascii="仿宋_GB2312" w:hAnsi="仿宋_GB2312" w:cs="仿宋_GB2312" w:hint="eastAsia" w:eastAsia="仿宋_GB2312"/>
          <w:iCs/>
          <w:color w:val="000000"/>
          <w:kern w:val="0"/>
          <w:sz w:val="30"/>
          <w:szCs w:val="30"/>
        </w:rPr>
        <w:t>最先获悉突发事件信息后，新晨科技第一时间报告至邮储银行相关项目组，为邮储银行提供必要的应急和灾备资源保障，提供应急响应和恢复级别为最高级，以及事件处置结果的报告。</w:t>
      </w:r>
      <w:r>
        <w:rPr>
          <w:rFonts w:ascii="仿宋_GB2312" w:hAnsi="仿宋_GB2312" w:cs="仿宋_GB2312" w:hint="eastAsia" w:eastAsia="仿宋_GB2312"/>
          <w:sz w:val="30"/>
          <w:szCs w:val="30"/>
        </w:rPr>
        <w:t xml:space="preserve">具体保障工作分类如下： </w:t>
      </w:r>
    </w:p>
    <w:p>
      <w:pPr>
        <w:pStyle w:val="Normal"/>
        <w:spacing w:lineRule="atLeast" w:line="450"/>
        <w:ind w:firstLine="567" w:end="0"/>
        <w:jc w:val="start"/>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1</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当遭受水灾时</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1</w:t>
      </w:r>
      <w:r>
        <w:rPr>
          <w:rFonts w:ascii="仿宋_GB2312" w:hAnsi="仿宋_GB2312" w:cs="仿宋_GB2312" w:hint="eastAsia" w:eastAsia="仿宋_GB2312"/>
          <w:kern w:val="0"/>
          <w:sz w:val="30"/>
          <w:szCs w:val="30"/>
        </w:rPr>
        <w:t>）应急执行小组成员应立即通知总值班室</w:t>
      </w:r>
      <w:r>
        <w:rPr>
          <w:rFonts w:ascii="仿宋_GB2312" w:hAnsi="仿宋_GB2312" w:cs="仿宋_GB2312" w:hint="eastAsia" w:eastAsia="仿宋_GB2312"/>
          <w:sz w:val="30"/>
          <w:szCs w:val="30"/>
        </w:rPr>
        <w:t>采取有效的应急措施，</w:t>
      </w:r>
      <w:r>
        <w:rPr>
          <w:rFonts w:ascii="仿宋_GB2312" w:hAnsi="仿宋_GB2312" w:cs="仿宋_GB2312" w:hint="eastAsia" w:eastAsia="仿宋_GB2312"/>
          <w:kern w:val="0"/>
          <w:sz w:val="30"/>
          <w:szCs w:val="30"/>
        </w:rPr>
        <w:t>公司应急保障小组，立即关闭电源、水阀开关。</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2</w:t>
      </w:r>
      <w:r>
        <w:rPr>
          <w:rFonts w:ascii="仿宋_GB2312" w:hAnsi="仿宋_GB2312" w:cs="仿宋_GB2312" w:hint="eastAsia" w:eastAsia="仿宋_GB2312"/>
          <w:kern w:val="0"/>
          <w:sz w:val="30"/>
          <w:szCs w:val="30"/>
        </w:rPr>
        <w:t>）应急执行小组和应急保障小组视水灾情况、如人员涉及生命危险、财产受到极大损失、对外业务连续性中断应立即通知应急指挥小组组长和全体成员，展开人员生命财产救援。</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3</w:t>
      </w:r>
      <w:r>
        <w:rPr>
          <w:rFonts w:ascii="仿宋_GB2312" w:hAnsi="仿宋_GB2312" w:cs="仿宋_GB2312" w:hint="eastAsia" w:eastAsia="仿宋_GB2312"/>
          <w:kern w:val="0"/>
          <w:sz w:val="30"/>
          <w:szCs w:val="30"/>
        </w:rPr>
        <w:t>）控制情况后、尽快恢复生产、报告应急指挥小组。</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4</w:t>
      </w:r>
      <w:r>
        <w:rPr>
          <w:rFonts w:ascii="仿宋_GB2312" w:hAnsi="仿宋_GB2312" w:cs="仿宋_GB2312" w:hint="eastAsia" w:eastAsia="仿宋_GB2312"/>
          <w:kern w:val="0"/>
          <w:sz w:val="30"/>
          <w:szCs w:val="30"/>
        </w:rPr>
        <w:t>）查明原因、上报事情经过、形成报告。</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5</w:t>
      </w:r>
      <w:r>
        <w:rPr>
          <w:rFonts w:ascii="仿宋_GB2312" w:hAnsi="仿宋_GB2312" w:cs="仿宋_GB2312" w:hint="eastAsia" w:eastAsia="仿宋_GB2312"/>
          <w:kern w:val="0"/>
          <w:sz w:val="30"/>
          <w:szCs w:val="30"/>
        </w:rPr>
        <w:t>）通知水暖维修、污水处理、保护</w:t>
      </w:r>
    </w:p>
    <w:p>
      <w:pPr>
        <w:pStyle w:val="Normal"/>
        <w:spacing w:lineRule="atLeast" w:line="450"/>
        <w:ind w:firstLineChars="150" w:startChars="0" w:start="0" w:endChars="0" w:end="0"/>
        <w:jc w:val="start"/>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2</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当遭受火灾时</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1</w:t>
      </w:r>
      <w:r>
        <w:rPr>
          <w:rFonts w:ascii="仿宋_GB2312" w:hAnsi="仿宋_GB2312" w:cs="仿宋_GB2312" w:hint="eastAsia" w:eastAsia="仿宋_GB2312"/>
          <w:kern w:val="0"/>
          <w:sz w:val="30"/>
          <w:szCs w:val="30"/>
        </w:rPr>
        <w:t>）应急执行小组当发现火灾时应立即通知周围人员组织灭火、并立即通知总值班室及报告行里领导、公司应急保障小组。</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2</w:t>
      </w:r>
      <w:r>
        <w:rPr>
          <w:rFonts w:ascii="仿宋_GB2312" w:hAnsi="仿宋_GB2312" w:cs="仿宋_GB2312" w:hint="eastAsia" w:eastAsia="仿宋_GB2312"/>
          <w:kern w:val="0"/>
          <w:sz w:val="30"/>
          <w:szCs w:val="30"/>
        </w:rPr>
        <w:t>）应急执行小组根据火势，应现有的灭火器材和组织人员积极补救。</w:t>
      </w:r>
    </w:p>
    <w:p>
      <w:pPr>
        <w:pStyle w:val="Normal"/>
        <w:spacing w:lineRule="atLeast" w:line="450"/>
        <w:ind w:firstLineChars="3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3</w:t>
      </w:r>
      <w:r>
        <w:rPr>
          <w:rFonts w:ascii="仿宋_GB2312" w:hAnsi="仿宋_GB2312" w:cs="仿宋_GB2312" w:hint="eastAsia" w:eastAsia="仿宋_GB2312"/>
          <w:kern w:val="0"/>
          <w:sz w:val="30"/>
          <w:szCs w:val="30"/>
        </w:rPr>
        <w:t>）应急执行小组根据火势无法补救灭火、如人员有可能涉及生命危险、财产受到极大损失、对外业务连续性中断应立即通知应急指挥小组组长和全体成员，应马上拨打</w:t>
      </w:r>
      <w:r>
        <w:rPr>
          <w:rFonts w:eastAsia="仿宋_GB2312" w:cs="仿宋_GB2312" w:hint="eastAsia" w:ascii="仿宋_GB2312" w:hAnsi="仿宋_GB2312"/>
          <w:kern w:val="0"/>
          <w:sz w:val="30"/>
          <w:szCs w:val="30"/>
        </w:rPr>
        <w:t>119</w:t>
      </w:r>
      <w:r>
        <w:rPr>
          <w:rFonts w:ascii="仿宋_GB2312" w:hAnsi="仿宋_GB2312" w:cs="仿宋_GB2312" w:hint="eastAsia" w:eastAsia="仿宋_GB2312"/>
          <w:kern w:val="0"/>
          <w:sz w:val="30"/>
          <w:szCs w:val="30"/>
        </w:rPr>
        <w:t>并展开人员生命财产救援。</w:t>
      </w:r>
    </w:p>
    <w:p>
      <w:pPr>
        <w:pStyle w:val="Normal"/>
        <w:spacing w:lineRule="atLeast" w:line="45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4</w:t>
      </w:r>
      <w:r>
        <w:rPr>
          <w:rFonts w:ascii="仿宋_GB2312" w:hAnsi="仿宋_GB2312" w:cs="仿宋_GB2312" w:hint="eastAsia" w:eastAsia="仿宋_GB2312"/>
          <w:kern w:val="0"/>
          <w:sz w:val="30"/>
          <w:szCs w:val="30"/>
        </w:rPr>
        <w:t>）应急执行小组指挥相关人员关好临近房间门窗、减少火势蔓延速度、尽可能切断电源。</w:t>
      </w:r>
    </w:p>
    <w:p>
      <w:pPr>
        <w:pStyle w:val="Normal"/>
        <w:spacing w:lineRule="atLeast" w:line="45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5</w:t>
      </w:r>
      <w:r>
        <w:rPr>
          <w:rFonts w:ascii="仿宋_GB2312" w:hAnsi="仿宋_GB2312" w:cs="仿宋_GB2312" w:hint="eastAsia" w:eastAsia="仿宋_GB2312"/>
          <w:kern w:val="0"/>
          <w:sz w:val="30"/>
          <w:szCs w:val="30"/>
        </w:rPr>
        <w:t xml:space="preserve">）应急执行小组指挥相关人员组织老幼妇女撤离时预备湿毛巾、竟可能走安全通道、不乘坐电梯。 </w:t>
      </w:r>
    </w:p>
    <w:p>
      <w:pPr>
        <w:pStyle w:val="Normal"/>
        <w:spacing w:lineRule="atLeast" w:line="45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6</w:t>
      </w:r>
      <w:r>
        <w:rPr>
          <w:rFonts w:ascii="仿宋_GB2312" w:hAnsi="仿宋_GB2312" w:cs="仿宋_GB2312" w:hint="eastAsia" w:eastAsia="仿宋_GB2312"/>
          <w:kern w:val="0"/>
          <w:sz w:val="30"/>
          <w:szCs w:val="30"/>
        </w:rPr>
        <w:t>）控制情况后，应急执行小组尽快恢复生产，并报告行里相关领导、应急指挥小组、应急保障小组。</w:t>
      </w:r>
    </w:p>
    <w:p>
      <w:pPr>
        <w:pStyle w:val="Normal"/>
        <w:spacing w:lineRule="atLeast" w:line="45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7</w:t>
      </w:r>
      <w:r>
        <w:rPr>
          <w:rFonts w:ascii="仿宋_GB2312" w:hAnsi="仿宋_GB2312" w:cs="仿宋_GB2312" w:hint="eastAsia" w:eastAsia="仿宋_GB2312"/>
          <w:kern w:val="0"/>
          <w:sz w:val="30"/>
          <w:szCs w:val="30"/>
        </w:rPr>
        <w:t>）查明原因，应急执行小组向行里相关领导、应急指挥小组、应急保障小组上报事情经过，形成报告。</w:t>
      </w:r>
    </w:p>
    <w:p>
      <w:pPr>
        <w:pStyle w:val="Normal"/>
        <w:spacing w:lineRule="atLeast" w:line="45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8</w:t>
      </w:r>
      <w:r>
        <w:rPr>
          <w:rFonts w:ascii="仿宋_GB2312" w:hAnsi="仿宋_GB2312" w:cs="仿宋_GB2312" w:hint="eastAsia" w:eastAsia="仿宋_GB2312"/>
          <w:kern w:val="0"/>
          <w:sz w:val="30"/>
          <w:szCs w:val="30"/>
        </w:rPr>
        <w:t>）通知后，应急执行小组请物业对事故现场做必要的维修。</w:t>
      </w:r>
    </w:p>
    <w:p>
      <w:pPr>
        <w:pStyle w:val="Normal"/>
        <w:spacing w:lineRule="atLeast" w:line="600"/>
        <w:ind w:firstLineChars="100" w:startChars="0" w:start="0" w:endChars="0" w:end="0"/>
        <w:jc w:val="start"/>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3</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当遭受地震时。</w:t>
      </w:r>
    </w:p>
    <w:p>
      <w:pPr>
        <w:pStyle w:val="Normal"/>
        <w:spacing w:lineRule="atLeast" w:line="600"/>
        <w:ind w:firstLine="567" w:end="0"/>
        <w:jc w:val="start"/>
        <w:rPr>
          <w:rFonts w:ascii="仿宋_GB2312" w:hAnsi="仿宋_GB2312" w:eastAsia="仿宋_GB2312" w:cs="仿宋_GB2312"/>
          <w:kern w:val="0"/>
          <w:sz w:val="30"/>
          <w:szCs w:val="30"/>
        </w:rPr>
      </w:pPr>
      <w:r>
        <w:rPr>
          <w:rFonts w:ascii="仿宋_GB2312" w:hAnsi="仿宋_GB2312" w:cs="仿宋_GB2312" w:hint="eastAsia" w:eastAsia="仿宋_GB2312"/>
          <w:kern w:val="0"/>
          <w:sz w:val="30"/>
          <w:szCs w:val="30"/>
        </w:rPr>
        <w:t>地震分由国家地震局提前预报、遇突发地震。就突发地震时按照以下预案进行。</w:t>
      </w:r>
    </w:p>
    <w:p>
      <w:pPr>
        <w:pStyle w:val="Normal"/>
        <w:spacing w:lineRule="atLeast" w:line="60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1</w:t>
      </w:r>
      <w:r>
        <w:rPr>
          <w:rFonts w:ascii="仿宋_GB2312" w:hAnsi="仿宋_GB2312" w:cs="仿宋_GB2312" w:hint="eastAsia" w:eastAsia="仿宋_GB2312"/>
          <w:kern w:val="0"/>
          <w:sz w:val="30"/>
          <w:szCs w:val="30"/>
        </w:rPr>
        <w:t>）应急执行小组指挥相关人员保持镇静、迅速撤离到开阔的广场区域并设法求救。</w:t>
      </w:r>
    </w:p>
    <w:p>
      <w:pPr>
        <w:pStyle w:val="Normal"/>
        <w:spacing w:lineRule="atLeast" w:line="60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2</w:t>
      </w:r>
      <w:r>
        <w:rPr>
          <w:rFonts w:ascii="仿宋_GB2312" w:hAnsi="仿宋_GB2312" w:cs="仿宋_GB2312" w:hint="eastAsia" w:eastAsia="仿宋_GB2312"/>
          <w:kern w:val="0"/>
          <w:sz w:val="30"/>
          <w:szCs w:val="30"/>
        </w:rPr>
        <w:t>）主震过后，应急执行小组视余震频率情况考虑相关人员转移安全的区域并通知主要领导。</w:t>
      </w:r>
    </w:p>
    <w:p>
      <w:pPr>
        <w:pStyle w:val="Normal"/>
        <w:spacing w:lineRule="atLeast" w:line="600"/>
        <w:ind w:firstLineChars="25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3</w:t>
      </w:r>
      <w:r>
        <w:rPr>
          <w:rFonts w:ascii="仿宋_GB2312" w:hAnsi="仿宋_GB2312" w:cs="仿宋_GB2312" w:hint="eastAsia" w:eastAsia="仿宋_GB2312"/>
          <w:kern w:val="0"/>
          <w:sz w:val="30"/>
          <w:szCs w:val="30"/>
        </w:rPr>
        <w:t>）应急执行小组稳住现场人员情绪、积极自救、等待救援；根据灾情，如人员有可能涉及生命危险、财产受到极大损失、对外业务连续性中断应立即通知应急指挥小组组长和全体成员，指挥相关人员展开人员生命财产救援。</w:t>
      </w:r>
    </w:p>
    <w:p>
      <w:pPr>
        <w:pStyle w:val="Normal"/>
        <w:spacing w:lineRule="atLeast" w:line="600"/>
        <w:ind w:firstLineChars="2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4</w:t>
      </w:r>
      <w:r>
        <w:rPr>
          <w:rFonts w:ascii="仿宋_GB2312" w:hAnsi="仿宋_GB2312" w:cs="仿宋_GB2312" w:hint="eastAsia" w:eastAsia="仿宋_GB2312"/>
          <w:kern w:val="0"/>
          <w:sz w:val="30"/>
          <w:szCs w:val="30"/>
        </w:rPr>
        <w:t>）余震消除后，应急执行小组指挥相关人员实施疏散抢救。</w:t>
      </w:r>
    </w:p>
    <w:p>
      <w:pPr>
        <w:pStyle w:val="Normal"/>
        <w:spacing w:lineRule="atLeast" w:line="600"/>
        <w:ind w:firstLineChars="200" w:startChars="0" w:start="0" w:endChars="0" w:end="0"/>
        <w:jc w:val="start"/>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5</w:t>
      </w:r>
      <w:r>
        <w:rPr>
          <w:rFonts w:ascii="仿宋_GB2312" w:hAnsi="仿宋_GB2312" w:cs="仿宋_GB2312" w:hint="eastAsia" w:eastAsia="仿宋_GB2312"/>
          <w:kern w:val="0"/>
          <w:sz w:val="30"/>
          <w:szCs w:val="30"/>
        </w:rPr>
        <w:t>）应急执行小组指挥相关人员配合政府做好救援与善后工作。</w:t>
      </w:r>
    </w:p>
    <w:p>
      <w:pPr>
        <w:pStyle w:val="Normal"/>
        <w:spacing w:lineRule="atLeast" w:line="600"/>
        <w:ind w:firstLineChars="200" w:startChars="0" w:start="0" w:endChars="0" w:end="0"/>
        <w:jc w:val="start"/>
        <w:rPr>
          <w:rFonts w:ascii="仿宋_GB2312" w:hAnsi="仿宋_GB2312" w:eastAsia="仿宋_GB2312" w:cs="仿宋_GB2312"/>
        </w:rPr>
      </w:pPr>
      <w:r>
        <w:rPr>
          <w:rFonts w:eastAsia="仿宋_GB2312" w:cs="仿宋_GB2312" w:hint="eastAsia" w:ascii="仿宋_GB2312" w:hAnsi="仿宋_GB2312"/>
          <w:kern w:val="0"/>
          <w:sz w:val="30"/>
          <w:szCs w:val="30"/>
        </w:rPr>
        <w:t>6</w:t>
      </w:r>
      <w:r>
        <w:rPr>
          <w:rFonts w:ascii="仿宋_GB2312" w:hAnsi="仿宋_GB2312" w:cs="仿宋_GB2312" w:hint="eastAsia" w:eastAsia="仿宋_GB2312"/>
          <w:kern w:val="0"/>
          <w:sz w:val="30"/>
          <w:szCs w:val="30"/>
        </w:rPr>
        <w:t>）控制情况后，应急执行小组指挥相关人员尽快恢复生产，报告行里相关领导、应急指挥小组、应急保障小组。</w:t>
      </w:r>
    </w:p>
    <w:p>
      <w:pPr>
        <w:pStyle w:val="Normal"/>
        <w:spacing w:lineRule="atLeast" w:line="450"/>
        <w:ind w:firstLine="567" w:end="0"/>
        <w:rPr>
          <w:rFonts w:ascii="仿宋_GB2312" w:hAnsi="仿宋_GB2312" w:eastAsia="仿宋_GB2312" w:cs="仿宋_GB2312"/>
          <w:kern w:val="0"/>
          <w:sz w:val="30"/>
          <w:szCs w:val="30"/>
        </w:rPr>
      </w:pPr>
      <w:r>
        <w:rPr>
          <w:rFonts w:eastAsia="仿宋_GB2312" w:cs="仿宋_GB2312" w:hint="eastAsia" w:ascii="仿宋_GB2312" w:hAnsi="仿宋_GB2312"/>
          <w:kern w:val="0"/>
          <w:sz w:val="30"/>
          <w:szCs w:val="30"/>
        </w:rPr>
        <w:t>2.</w:t>
      </w:r>
      <w:r>
        <w:rPr>
          <w:rFonts w:ascii="仿宋_GB2312" w:hAnsi="仿宋_GB2312" w:cs="仿宋_GB2312" w:hint="eastAsia" w:eastAsia="仿宋_GB2312"/>
          <w:kern w:val="0"/>
          <w:sz w:val="30"/>
          <w:szCs w:val="30"/>
        </w:rPr>
        <w:t>应急措施</w:t>
      </w:r>
    </w:p>
    <w:p>
      <w:pPr>
        <w:pStyle w:val="Normal"/>
        <w:spacing w:lineRule="exact" w:line="600"/>
        <w:ind w:firstLineChars="200" w:startChars="0" w:start="0" w:endChars="0" w:end="0"/>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1</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灾害发生后，成立的应急指挥小组，各部门要根据灾情，按要求分级管理、各司其责的原则，启动应急预案，做好员工和财产的紧急转移安置工作，做好抗灾救灾准备工作，做好灾情调查、评估和报告工作，最大程度的建设人员和财产的损失。</w:t>
      </w:r>
    </w:p>
    <w:p>
      <w:pPr>
        <w:pStyle w:val="Normal"/>
        <w:widowControl/>
        <w:spacing w:lineRule="exact" w:line="600"/>
        <w:ind w:firstLineChars="200" w:startChars="0" w:start="0" w:endChars="0" w:end="0"/>
        <w:rPr>
          <w:rFonts w:ascii="仿宋_GB2312" w:hAnsi="仿宋_GB2312" w:eastAsia="仿宋_GB2312" w:cs="仿宋_GB2312"/>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2</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成立的应急指挥小组组织核查灾情，开展灾情评估，知道恢复重建工作方案，启动异地灾备中心。及时总结灾情影响，并向上级报告。做好卫生防疫、消毒等工作，防止疾病的的蔓延，做好灾情保障工作。</w:t>
      </w:r>
    </w:p>
    <w:p>
      <w:pPr>
        <w:pStyle w:val="Normal"/>
        <w:spacing w:lineRule="exact" w:line="600"/>
        <w:ind w:firstLineChars="200" w:startChars="0" w:start="0" w:endChars="0" w:end="0"/>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3</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在公司面对遭受水灾、火灾、地震等灾难面前，提高紧急救援反应速度与协调水平，确保以人为本原则。把保障人员生命财产安全作为各项工作的出发点和落脚点，最大限度减少对人员生命财产的损害。应急指挥小组应各司其职听从统一指挥原则。在突发事件处置过程中，建立强有力的指挥体系，加强各部门间的组织协调工作，做到令行禁止。各部门、各机构应按照自身的权限和职责各司其职，服从上级指挥。应统筹外部机构配合力量。</w:t>
      </w:r>
    </w:p>
    <w:p>
      <w:pPr>
        <w:pStyle w:val="Normal"/>
        <w:spacing w:lineRule="exact" w:line="600"/>
        <w:ind w:firstLineChars="200" w:startChars="0" w:start="0" w:endChars="0" w:end="0"/>
        <w:rPr>
          <w:rFonts w:ascii="仿宋_GB2312" w:hAnsi="仿宋_GB2312" w:eastAsia="仿宋_GB2312" w:cs="仿宋_GB2312"/>
          <w:kern w:val="0"/>
          <w:sz w:val="30"/>
          <w:szCs w:val="30"/>
        </w:rPr>
      </w:pPr>
      <w:r>
        <w:rPr>
          <w:rFonts w:ascii="仿宋_GB2312" w:hAnsi="仿宋_GB2312" w:cs="仿宋_GB2312" w:hint="eastAsia" w:eastAsia="仿宋_GB2312"/>
          <w:sz w:val="30"/>
          <w:szCs w:val="30"/>
        </w:rPr>
        <w:t>（</w:t>
      </w:r>
      <w:r>
        <w:rPr>
          <w:rFonts w:eastAsia="仿宋_GB2312" w:cs="仿宋_GB2312" w:hint="eastAsia" w:ascii="仿宋_GB2312" w:hAnsi="仿宋_GB2312"/>
          <w:sz w:val="30"/>
          <w:szCs w:val="30"/>
        </w:rPr>
        <w:t>4</w:t>
      </w:r>
      <w:r>
        <w:rPr>
          <w:rFonts w:ascii="仿宋_GB2312" w:hAnsi="仿宋_GB2312" w:cs="仿宋_GB2312" w:hint="eastAsia" w:eastAsia="仿宋_GB2312"/>
          <w:sz w:val="30"/>
          <w:szCs w:val="30"/>
        </w:rPr>
        <w:t>）</w:t>
      </w:r>
      <w:r>
        <w:rPr>
          <w:rFonts w:ascii="仿宋_GB2312" w:hAnsi="仿宋_GB2312" w:cs="仿宋_GB2312" w:hint="eastAsia" w:eastAsia="仿宋_GB2312"/>
          <w:kern w:val="0"/>
          <w:sz w:val="30"/>
          <w:szCs w:val="30"/>
        </w:rPr>
        <w:t>快速反应、科学应对，所有应急的技术和业务处理的首要目标是尽最快的速度恢复生产，恢复对客户的服务，具体问题的分析可留在服务恢复之后再开展。及时对指挥部上级领导汇报，突发事件发生时，应第一时间按流程上报，明确通知到相关负责人，以保证尽快调集各方资源进行故障处理。</w:t>
      </w:r>
    </w:p>
    <w:p>
      <w:pPr>
        <w:pStyle w:val="Normal"/>
        <w:spacing w:lineRule="exact" w:line="600"/>
        <w:ind w:firstLineChars="200" w:startChars="0" w:start="0" w:endChars="0" w:end="0"/>
        <w:rPr>
          <w:rFonts w:ascii="仿宋_GB2312" w:hAnsi="仿宋_GB2312" w:eastAsia="仿宋_GB2312" w:cs="仿宋_GB2312"/>
          <w:kern w:val="0"/>
          <w:sz w:val="30"/>
          <w:szCs w:val="30"/>
        </w:rPr>
      </w:pPr>
      <w:r>
        <w:rPr>
          <w:rFonts w:ascii="仿宋_GB2312" w:hAnsi="仿宋_GB2312" w:cs="仿宋_GB2312" w:hint="eastAsia" w:eastAsia="仿宋_GB2312"/>
          <w:kern w:val="0"/>
          <w:sz w:val="30"/>
          <w:szCs w:val="30"/>
        </w:rPr>
        <w:t>突发事件解决后，对外服务恢复正常，由应急指挥小组组长或其授权人宣布应急处置工作结束，应急状态解除。</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ascii="仿宋_GB2312" w:hAnsi="仿宋_GB2312"/>
          <w:iCs/>
          <w:color w:val="000000"/>
          <w:kern w:val="0"/>
          <w:sz w:val="30"/>
          <w:szCs w:val="30"/>
        </w:rPr>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bCs/>
          <w:iCs/>
          <w:kern w:val="0"/>
          <w:sz w:val="30"/>
          <w:szCs w:val="30"/>
        </w:rPr>
        <w:t>场景描述</w:t>
      </w:r>
      <w:r>
        <w:rPr>
          <w:rFonts w:eastAsia="仿宋_GB2312" w:cs="仿宋_GB2312" w:hint="eastAsia" w:ascii="仿宋_GB2312" w:hAnsi="仿宋_GB2312"/>
          <w:bCs/>
          <w:iCs/>
          <w:kern w:val="0"/>
          <w:sz w:val="30"/>
          <w:szCs w:val="30"/>
        </w:rPr>
        <w:t>2</w:t>
      </w:r>
      <w:r>
        <w:rPr>
          <w:rFonts w:ascii="仿宋_GB2312" w:hAnsi="仿宋_GB2312" w:cs="仿宋_GB2312" w:hint="eastAsia" w:eastAsia="仿宋_GB2312"/>
          <w:bCs/>
          <w:iCs/>
          <w:kern w:val="0"/>
          <w:sz w:val="30"/>
          <w:szCs w:val="30"/>
        </w:rPr>
        <w:t>：</w:t>
      </w:r>
      <w:r>
        <w:rPr>
          <w:rFonts w:ascii="仿宋_GB2312" w:hAnsi="仿宋_GB2312" w:cs="仿宋_GB2312" w:hint="eastAsia" w:eastAsia="仿宋_GB2312"/>
          <w:iCs/>
          <w:color w:val="000000"/>
          <w:kern w:val="0"/>
          <w:sz w:val="30"/>
          <w:szCs w:val="30"/>
        </w:rPr>
        <w:t>服务提供商经营不善出现重大资源、财务受损、</w:t>
      </w:r>
      <w:r>
        <w:rPr>
          <w:rFonts w:ascii="仿宋_GB2312" w:hAnsi="仿宋_GB2312" w:cs="仿宋_GB2312" w:hint="eastAsia" w:eastAsia="仿宋_GB2312"/>
          <w:iCs/>
          <w:kern w:val="0"/>
          <w:sz w:val="30"/>
          <w:szCs w:val="30"/>
        </w:rPr>
        <w:t>信誉受损或涉及诉讼案。</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hint="eastAsia" w:ascii="仿宋_GB2312" w:hAnsi="仿宋_GB2312"/>
          <w:iCs/>
          <w:color w:val="000000"/>
          <w:kern w:val="0"/>
          <w:sz w:val="30"/>
          <w:szCs w:val="30"/>
        </w:rPr>
        <w:t>1</w:t>
      </w:r>
      <w:r>
        <w:rPr>
          <w:rFonts w:eastAsia="仿宋_GB2312" w:cs="仿宋_GB2312" w:ascii="仿宋_GB2312" w:hAnsi="仿宋_GB2312"/>
          <w:iCs/>
          <w:color w:val="000000"/>
          <w:kern w:val="0"/>
          <w:sz w:val="30"/>
          <w:szCs w:val="30"/>
        </w:rPr>
        <w:t>.</w:t>
      </w:r>
      <w:r>
        <w:rPr>
          <w:rFonts w:ascii="仿宋_GB2312" w:hAnsi="仿宋_GB2312" w:cs="仿宋_GB2312" w:hint="eastAsia" w:eastAsia="仿宋_GB2312"/>
          <w:iCs/>
          <w:color w:val="000000"/>
          <w:kern w:val="0"/>
          <w:sz w:val="30"/>
          <w:szCs w:val="30"/>
        </w:rPr>
        <w:t>应急处置流程</w:t>
      </w:r>
    </w:p>
    <w:p>
      <w:pPr>
        <w:pStyle w:val="Normal"/>
        <w:spacing w:lineRule="atLeast" w:line="450"/>
        <w:ind w:firstLine="567"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最先获悉突发事件信息后，新晨科技第一时间报告至邮储银行相关项目组，为邮储银行提供必要的应急和灾备资源保障，提供应急响应和恢复级别为最高级，以及事件处置结果的报告。</w:t>
      </w:r>
      <w:r>
        <w:rPr>
          <w:rFonts w:ascii="仿宋_GB2312" w:hAnsi="仿宋_GB2312" w:cs="仿宋_GB2312" w:hint="eastAsia" w:eastAsia="仿宋_GB2312"/>
          <w:iCs/>
          <w:sz w:val="30"/>
          <w:szCs w:val="30"/>
        </w:rPr>
        <w:t xml:space="preserve">具体保障工作分类如下： </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）决定启动和终止重大风险和突发事件处理系统；</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）与公司管理层保持通讯联系，与外部相关管理部门保持工作衔接；</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）收集、整理、分析突发事件相关信息资料及发生的原因；</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）协调和处理重大风险和突发事件处置过程中对外宣传报道工作；</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）及时赶赴事发现场，组织对事故现场的管理，并向公司管理层和邮储银行报告突发事件基本情况，不能瞒报、迟报和谎报情况。作好后勤保障，稳定现场情况，避免事态扩大；</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6</w:t>
      </w:r>
      <w:r>
        <w:rPr>
          <w:rFonts w:ascii="仿宋_GB2312" w:hAnsi="仿宋_GB2312" w:cs="仿宋_GB2312" w:hint="eastAsia" w:eastAsia="仿宋_GB2312"/>
          <w:iCs/>
          <w:kern w:val="0"/>
          <w:sz w:val="30"/>
          <w:szCs w:val="30"/>
        </w:rPr>
        <w:t>）定期或及时评估重大风险；</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7</w:t>
      </w:r>
      <w:r>
        <w:rPr>
          <w:rFonts w:ascii="仿宋_GB2312" w:hAnsi="仿宋_GB2312" w:cs="仿宋_GB2312" w:hint="eastAsia" w:eastAsia="仿宋_GB2312"/>
          <w:iCs/>
          <w:kern w:val="0"/>
          <w:sz w:val="30"/>
          <w:szCs w:val="30"/>
        </w:rPr>
        <w:t>）调查分析事故原因，编写事故报告，提出对相关责任人的处理建议，报公司管理层审议。</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应急措施</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）应急工作小组、公司各部门对日常工作中发现的有可能导致或转化为重大风险和突发事件的各类风险信息及时开展跟踪、分析、监测及评估，加强信息报告和预警。</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重大风险和突发事件发生后，公司所属应急保障小组成员，应在第一时间向应急指挥小组成员进行汇报并在第一线了解跟踪事件发生和变化的全过程，及时向公司应急指挥小组报告事件信息，并提供专业分析意见，采取有效的应急措施，防止事态发展，最大限度地减少损失和影响程度。</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应急执行小组应当迅速做出应急反应，研究并提出处置方案和建议，按照政府有关部门和证券监管部门的决策，具体组织应急保障小组和应急执行小组实施各项应急措施，并结合实际情况进行处置，完善应急手段和措施。</w:t>
      </w:r>
    </w:p>
    <w:p>
      <w:pPr>
        <w:pStyle w:val="Normal"/>
        <w:widowControl/>
        <w:shd w:fill="FFFFFF" w:val="clear"/>
        <w:spacing w:lineRule="auto" w:line="360" w:before="0" w:after="156"/>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重大风险和突发事件发生后，公司应急指挥小组根据要求和重要性，统一对外发布信息，未经核实和授权，任何人不得随意对外透露相关信息。重大风险和突发事件处理完毕后，公司应严格遵照相关规定，及时公平地向所有投资者披露公司的重大突发事件，有针对性的提供公司相关内容及情况，批驳谣言，报告真相。在投资者中树立公平、诚信的公司形象，切实保护投资者的合法权益。</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重大风险和突发事件发生后，公司在应急指挥小组的统一指挥下，按国家的有关部门和证券监管部门规定和要求，由应急保障小组和应急执行小组及时开展处置工作；在处置过程中，公司应对可能产生的连锁事件做出评估，采取相应措施。</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ascii="仿宋_GB2312" w:hAnsi="仿宋_GB2312"/>
          <w:iCs/>
          <w:color w:val="000000"/>
          <w:kern w:val="0"/>
          <w:sz w:val="30"/>
          <w:szCs w:val="30"/>
        </w:rPr>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场景描述</w:t>
      </w:r>
      <w:r>
        <w:rPr>
          <w:rFonts w:eastAsia="仿宋_GB2312" w:cs="仿宋_GB2312" w:hint="eastAsia" w:ascii="仿宋_GB2312" w:hAnsi="仿宋_GB2312"/>
          <w:iCs/>
          <w:color w:val="000000"/>
          <w:kern w:val="0"/>
          <w:sz w:val="30"/>
          <w:szCs w:val="30"/>
        </w:rPr>
        <w:t>3</w:t>
      </w:r>
      <w:r>
        <w:rPr>
          <w:rFonts w:ascii="仿宋_GB2312" w:hAnsi="仿宋_GB2312" w:cs="仿宋_GB2312" w:hint="eastAsia" w:eastAsia="仿宋_GB2312"/>
          <w:iCs/>
          <w:color w:val="000000"/>
          <w:kern w:val="0"/>
          <w:sz w:val="30"/>
          <w:szCs w:val="30"/>
        </w:rPr>
        <w:t>：核心技术人员大量流失等</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hint="eastAsia" w:ascii="仿宋_GB2312" w:hAnsi="仿宋_GB2312"/>
          <w:iCs/>
          <w:color w:val="000000"/>
          <w:kern w:val="0"/>
          <w:sz w:val="30"/>
          <w:szCs w:val="30"/>
        </w:rPr>
        <w:t>1.</w:t>
      </w:r>
      <w:r>
        <w:rPr>
          <w:rFonts w:ascii="仿宋_GB2312" w:hAnsi="仿宋_GB2312" w:cs="仿宋_GB2312" w:hint="eastAsia" w:eastAsia="仿宋_GB2312"/>
          <w:iCs/>
          <w:color w:val="000000"/>
          <w:kern w:val="0"/>
          <w:sz w:val="30"/>
          <w:szCs w:val="30"/>
        </w:rPr>
        <w:t>应急处置流程</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最先获悉突发事件信息后，新晨科技第一时间报告至邮储银行相关项目组，为邮储银行提供必要的应急和灾备资源保障，提供应急响应和恢复级别为最高级，以及事件处置结果的报告。接到相关部门反</w:t>
      </w:r>
      <w:r>
        <w:rPr>
          <w:rFonts w:ascii="仿宋_GB2312" w:hAnsi="仿宋_GB2312" w:cs="微软雅黑" w:hint="eastAsia" w:eastAsia="仿宋_GB2312"/>
          <w:iCs/>
          <w:color w:val="000000"/>
          <w:kern w:val="0"/>
          <w:sz w:val="30"/>
          <w:szCs w:val="30"/>
        </w:rPr>
        <w:t>馈</w:t>
      </w:r>
      <w:r>
        <w:rPr>
          <w:rFonts w:ascii="仿宋_GB2312" w:hAnsi="仿宋_GB2312" w:cs="___WRD_EMBED_SUB_44;苹方-简" w:hint="eastAsia" w:eastAsia="仿宋_GB2312"/>
          <w:iCs/>
          <w:color w:val="000000"/>
          <w:kern w:val="0"/>
          <w:sz w:val="30"/>
          <w:szCs w:val="30"/>
        </w:rPr>
        <w:t>人员短缺</w:t>
      </w:r>
      <w:r>
        <w:rPr>
          <w:rFonts w:eastAsia="仿宋_GB2312" w:cs="仿宋_GB2312" w:hint="eastAsia" w:ascii="仿宋_GB2312" w:hAnsi="仿宋_GB2312"/>
          <w:iCs/>
          <w:color w:val="000000"/>
          <w:kern w:val="0"/>
          <w:sz w:val="30"/>
          <w:szCs w:val="30"/>
        </w:rPr>
        <w:t>/</w:t>
      </w:r>
      <w:r>
        <w:rPr>
          <w:rFonts w:ascii="仿宋_GB2312" w:hAnsi="仿宋_GB2312" w:cs="仿宋_GB2312" w:hint="eastAsia" w:eastAsia="仿宋_GB2312"/>
          <w:iCs/>
          <w:color w:val="000000"/>
          <w:kern w:val="0"/>
          <w:sz w:val="30"/>
          <w:szCs w:val="30"/>
        </w:rPr>
        <w:t>关键岗位人员缺岗，应急保障小组报应急指挥小组批准后启动应急预案；应急指挥小组成员接到反</w:t>
      </w:r>
      <w:r>
        <w:rPr>
          <w:rFonts w:ascii="仿宋_GB2312" w:hAnsi="仿宋_GB2312" w:cs="微软雅黑" w:hint="eastAsia" w:eastAsia="仿宋_GB2312"/>
          <w:iCs/>
          <w:color w:val="000000"/>
          <w:kern w:val="0"/>
          <w:sz w:val="30"/>
          <w:szCs w:val="30"/>
        </w:rPr>
        <w:t>馈</w:t>
      </w:r>
      <w:r>
        <w:rPr>
          <w:rFonts w:ascii="仿宋_GB2312" w:hAnsi="仿宋_GB2312" w:cs="___WRD_EMBED_SUB_44;苹方-简" w:hint="eastAsia" w:eastAsia="仿宋_GB2312"/>
          <w:iCs/>
          <w:color w:val="000000"/>
          <w:kern w:val="0"/>
          <w:sz w:val="30"/>
          <w:szCs w:val="30"/>
        </w:rPr>
        <w:t>部门核实信息，根据核实的信息，采取</w:t>
      </w:r>
      <w:r>
        <w:rPr>
          <w:rFonts w:ascii="仿宋_GB2312" w:hAnsi="仿宋_GB2312" w:cs="微软雅黑" w:hint="eastAsia" w:eastAsia="仿宋_GB2312"/>
          <w:iCs/>
          <w:color w:val="000000"/>
          <w:kern w:val="0"/>
          <w:sz w:val="30"/>
          <w:szCs w:val="30"/>
        </w:rPr>
        <w:t>两</w:t>
      </w:r>
      <w:r>
        <w:rPr>
          <w:rFonts w:ascii="仿宋_GB2312" w:hAnsi="仿宋_GB2312" w:cs="___WRD_EMBED_SUB_44;苹方-简" w:hint="eastAsia" w:eastAsia="仿宋_GB2312"/>
          <w:iCs/>
          <w:color w:val="000000"/>
          <w:kern w:val="0"/>
          <w:sz w:val="30"/>
          <w:szCs w:val="30"/>
        </w:rPr>
        <w:t>种方法解决问题：第一种，内部调整（当内部可以解决时，</w:t>
      </w:r>
      <w:r>
        <w:rPr>
          <w:rFonts w:ascii="仿宋_GB2312" w:hAnsi="仿宋_GB2312" w:cs="微软雅黑" w:hint="eastAsia" w:eastAsia="仿宋_GB2312"/>
          <w:iCs/>
          <w:color w:val="000000"/>
          <w:kern w:val="0"/>
          <w:sz w:val="30"/>
          <w:szCs w:val="30"/>
        </w:rPr>
        <w:t>直</w:t>
      </w:r>
      <w:r>
        <w:rPr>
          <w:rFonts w:ascii="仿宋_GB2312" w:hAnsi="仿宋_GB2312" w:cs="___WRD_EMBED_SUB_44;苹方-简" w:hint="eastAsia" w:eastAsia="仿宋_GB2312"/>
          <w:iCs/>
          <w:color w:val="000000"/>
          <w:kern w:val="0"/>
          <w:sz w:val="30"/>
          <w:szCs w:val="30"/>
        </w:rPr>
        <w:t>接打</w:t>
      </w:r>
      <w:r>
        <w:rPr>
          <w:rFonts w:ascii="仿宋_GB2312" w:hAnsi="仿宋_GB2312" w:cs="微软雅黑" w:hint="eastAsia" w:eastAsia="仿宋_GB2312"/>
          <w:iCs/>
          <w:color w:val="000000"/>
          <w:kern w:val="0"/>
          <w:sz w:val="30"/>
          <w:szCs w:val="30"/>
        </w:rPr>
        <w:t>申</w:t>
      </w:r>
      <w:r>
        <w:rPr>
          <w:rFonts w:ascii="仿宋_GB2312" w:hAnsi="仿宋_GB2312" w:cs="___WRD_EMBED_SUB_44;苹方-简" w:hint="eastAsia" w:eastAsia="仿宋_GB2312"/>
          <w:iCs/>
          <w:color w:val="000000"/>
          <w:kern w:val="0"/>
          <w:sz w:val="30"/>
          <w:szCs w:val="30"/>
        </w:rPr>
        <w:t>请报告应急指挥小组批准）；第</w:t>
      </w:r>
      <w:r>
        <w:rPr>
          <w:rFonts w:ascii="仿宋_GB2312" w:hAnsi="仿宋_GB2312" w:cs="微软雅黑" w:hint="eastAsia" w:eastAsia="仿宋_GB2312"/>
          <w:iCs/>
          <w:color w:val="000000"/>
          <w:kern w:val="0"/>
          <w:sz w:val="30"/>
          <w:szCs w:val="30"/>
        </w:rPr>
        <w:t>二</w:t>
      </w:r>
      <w:r>
        <w:rPr>
          <w:rFonts w:ascii="仿宋_GB2312" w:hAnsi="仿宋_GB2312" w:cs="___WRD_EMBED_SUB_44;苹方-简" w:hint="eastAsia" w:eastAsia="仿宋_GB2312"/>
          <w:iCs/>
          <w:color w:val="000000"/>
          <w:kern w:val="0"/>
          <w:sz w:val="30"/>
          <w:szCs w:val="30"/>
        </w:rPr>
        <w:t>种，外部调整（当内部无法解决时，应急执行小组相关成员形成《人员需求表》，必要时协</w:t>
      </w:r>
      <w:r>
        <w:rPr>
          <w:rFonts w:ascii="仿宋_GB2312" w:hAnsi="仿宋_GB2312" w:cs="微软雅黑" w:hint="eastAsia" w:eastAsia="仿宋_GB2312"/>
          <w:iCs/>
          <w:color w:val="000000"/>
          <w:kern w:val="0"/>
          <w:sz w:val="30"/>
          <w:szCs w:val="30"/>
        </w:rPr>
        <w:t>助</w:t>
      </w:r>
      <w:r>
        <w:rPr>
          <w:rFonts w:ascii="仿宋_GB2312" w:hAnsi="仿宋_GB2312" w:cs="___WRD_EMBED_SUB_44;苹方-简" w:hint="eastAsia" w:eastAsia="仿宋_GB2312"/>
          <w:iCs/>
          <w:color w:val="000000"/>
          <w:kern w:val="0"/>
          <w:sz w:val="30"/>
          <w:szCs w:val="30"/>
        </w:rPr>
        <w:t>应急保障小组）。无</w:t>
      </w:r>
      <w:r>
        <w:rPr>
          <w:rFonts w:ascii="仿宋_GB2312" w:hAnsi="仿宋_GB2312" w:cs="微软雅黑" w:hint="eastAsia" w:eastAsia="仿宋_GB2312"/>
          <w:iCs/>
          <w:color w:val="000000"/>
          <w:kern w:val="0"/>
          <w:sz w:val="30"/>
          <w:szCs w:val="30"/>
        </w:rPr>
        <w:t>论</w:t>
      </w:r>
      <w:r>
        <w:rPr>
          <w:rFonts w:ascii="仿宋_GB2312" w:hAnsi="仿宋_GB2312" w:cs="___WRD_EMBED_SUB_44;苹方-简" w:hint="eastAsia" w:eastAsia="仿宋_GB2312"/>
          <w:iCs/>
          <w:color w:val="000000"/>
          <w:kern w:val="0"/>
          <w:sz w:val="30"/>
          <w:szCs w:val="30"/>
        </w:rPr>
        <w:t>采取内部调整或外部调整，都需要确</w:t>
      </w:r>
      <w:r>
        <w:rPr>
          <w:rFonts w:ascii="仿宋_GB2312" w:hAnsi="仿宋_GB2312" w:cs="微软雅黑" w:hint="eastAsia" w:eastAsia="仿宋_GB2312"/>
          <w:iCs/>
          <w:color w:val="000000"/>
          <w:kern w:val="0"/>
          <w:sz w:val="30"/>
          <w:szCs w:val="30"/>
        </w:rPr>
        <w:t>认</w:t>
      </w:r>
      <w:r>
        <w:rPr>
          <w:rFonts w:ascii="仿宋_GB2312" w:hAnsi="仿宋_GB2312" w:cs="___WRD_EMBED_SUB_44;苹方-简" w:hint="eastAsia" w:eastAsia="仿宋_GB2312"/>
          <w:iCs/>
          <w:color w:val="000000"/>
          <w:kern w:val="0"/>
          <w:sz w:val="30"/>
          <w:szCs w:val="30"/>
        </w:rPr>
        <w:t>人员岗位技能是</w:t>
      </w:r>
      <w:r>
        <w:rPr>
          <w:rFonts w:ascii="仿宋_GB2312" w:hAnsi="仿宋_GB2312" w:cs="微软雅黑" w:hint="eastAsia" w:eastAsia="仿宋_GB2312"/>
          <w:iCs/>
          <w:color w:val="000000"/>
          <w:kern w:val="0"/>
          <w:sz w:val="30"/>
          <w:szCs w:val="30"/>
        </w:rPr>
        <w:t>否符</w:t>
      </w:r>
      <w:r>
        <w:rPr>
          <w:rFonts w:ascii="仿宋_GB2312" w:hAnsi="仿宋_GB2312" w:cs="___WRD_EMBED_SUB_44;苹方-简" w:hint="eastAsia" w:eastAsia="仿宋_GB2312"/>
          <w:iCs/>
          <w:color w:val="000000"/>
          <w:kern w:val="0"/>
          <w:sz w:val="30"/>
          <w:szCs w:val="30"/>
        </w:rPr>
        <w:t>合要求，</w:t>
      </w:r>
      <w:r>
        <w:rPr>
          <w:rFonts w:ascii="仿宋_GB2312" w:hAnsi="仿宋_GB2312" w:cs="微软雅黑" w:hint="eastAsia" w:eastAsia="仿宋_GB2312"/>
          <w:iCs/>
          <w:color w:val="000000"/>
          <w:kern w:val="0"/>
          <w:sz w:val="30"/>
          <w:szCs w:val="30"/>
        </w:rPr>
        <w:t>只</w:t>
      </w:r>
      <w:r>
        <w:rPr>
          <w:rFonts w:ascii="仿宋_GB2312" w:hAnsi="仿宋_GB2312" w:cs="___WRD_EMBED_SUB_44;苹方-简" w:hint="eastAsia" w:eastAsia="仿宋_GB2312"/>
          <w:iCs/>
          <w:color w:val="000000"/>
          <w:kern w:val="0"/>
          <w:sz w:val="30"/>
          <w:szCs w:val="30"/>
        </w:rPr>
        <w:t>有</w:t>
      </w:r>
      <w:r>
        <w:rPr>
          <w:rFonts w:ascii="仿宋_GB2312" w:hAnsi="仿宋_GB2312" w:cs="微软雅黑" w:hint="eastAsia" w:eastAsia="仿宋_GB2312"/>
          <w:iCs/>
          <w:color w:val="000000"/>
          <w:kern w:val="0"/>
          <w:sz w:val="30"/>
          <w:szCs w:val="30"/>
        </w:rPr>
        <w:t>符</w:t>
      </w:r>
      <w:r>
        <w:rPr>
          <w:rFonts w:ascii="仿宋_GB2312" w:hAnsi="仿宋_GB2312" w:cs="___WRD_EMBED_SUB_44;苹方-简" w:hint="eastAsia" w:eastAsia="仿宋_GB2312"/>
          <w:iCs/>
          <w:color w:val="000000"/>
          <w:kern w:val="0"/>
          <w:sz w:val="30"/>
          <w:szCs w:val="30"/>
        </w:rPr>
        <w:t>合要求的人员才能进行上岗；当确</w:t>
      </w:r>
      <w:r>
        <w:rPr>
          <w:rFonts w:ascii="仿宋_GB2312" w:hAnsi="仿宋_GB2312" w:cs="微软雅黑" w:hint="eastAsia" w:eastAsia="仿宋_GB2312"/>
          <w:iCs/>
          <w:color w:val="000000"/>
          <w:kern w:val="0"/>
          <w:sz w:val="30"/>
          <w:szCs w:val="30"/>
        </w:rPr>
        <w:t>认</w:t>
      </w:r>
      <w:r>
        <w:rPr>
          <w:rFonts w:ascii="仿宋_GB2312" w:hAnsi="仿宋_GB2312" w:cs="___WRD_EMBED_SUB_44;苹方-简" w:hint="eastAsia" w:eastAsia="仿宋_GB2312"/>
          <w:iCs/>
          <w:color w:val="000000"/>
          <w:kern w:val="0"/>
          <w:sz w:val="30"/>
          <w:szCs w:val="30"/>
        </w:rPr>
        <w:t>不</w:t>
      </w:r>
      <w:r>
        <w:rPr>
          <w:rFonts w:ascii="仿宋_GB2312" w:hAnsi="仿宋_GB2312" w:cs="微软雅黑" w:hint="eastAsia" w:eastAsia="仿宋_GB2312"/>
          <w:iCs/>
          <w:color w:val="000000"/>
          <w:kern w:val="0"/>
          <w:sz w:val="30"/>
          <w:szCs w:val="30"/>
        </w:rPr>
        <w:t>符</w:t>
      </w:r>
      <w:r>
        <w:rPr>
          <w:rFonts w:ascii="仿宋_GB2312" w:hAnsi="仿宋_GB2312" w:cs="___WRD_EMBED_SUB_44;苹方-简" w:hint="eastAsia" w:eastAsia="仿宋_GB2312"/>
          <w:iCs/>
          <w:color w:val="000000"/>
          <w:kern w:val="0"/>
          <w:sz w:val="30"/>
          <w:szCs w:val="30"/>
        </w:rPr>
        <w:t>合要求时，用人部门（应急执行小组相关成员）需对其进行培训指导，</w:t>
      </w:r>
      <w:r>
        <w:rPr>
          <w:rFonts w:ascii="仿宋_GB2312" w:hAnsi="仿宋_GB2312" w:cs="微软雅黑" w:hint="eastAsia" w:eastAsia="仿宋_GB2312"/>
          <w:iCs/>
          <w:color w:val="000000"/>
          <w:kern w:val="0"/>
          <w:sz w:val="30"/>
          <w:szCs w:val="30"/>
        </w:rPr>
        <w:t>直</w:t>
      </w:r>
      <w:r>
        <w:rPr>
          <w:rFonts w:ascii="仿宋_GB2312" w:hAnsi="仿宋_GB2312" w:cs="___WRD_EMBED_SUB_44;苹方-简" w:hint="eastAsia" w:eastAsia="仿宋_GB2312"/>
          <w:iCs/>
          <w:color w:val="000000"/>
          <w:kern w:val="0"/>
          <w:sz w:val="30"/>
          <w:szCs w:val="30"/>
        </w:rPr>
        <w:t>至具备上岗能力为止，</w:t>
      </w:r>
      <w:r>
        <w:rPr>
          <w:rFonts w:ascii="仿宋_GB2312" w:hAnsi="仿宋_GB2312" w:cs="微软雅黑" w:hint="eastAsia" w:eastAsia="仿宋_GB2312"/>
          <w:iCs/>
          <w:color w:val="000000"/>
          <w:kern w:val="0"/>
          <w:sz w:val="30"/>
          <w:szCs w:val="30"/>
        </w:rPr>
        <w:t>若</w:t>
      </w:r>
      <w:r>
        <w:rPr>
          <w:rFonts w:ascii="仿宋_GB2312" w:hAnsi="仿宋_GB2312" w:cs="___WRD_EMBED_SUB_44;苹方-简" w:hint="eastAsia" w:eastAsia="仿宋_GB2312"/>
          <w:iCs/>
          <w:color w:val="000000"/>
          <w:kern w:val="0"/>
          <w:sz w:val="30"/>
          <w:szCs w:val="30"/>
        </w:rPr>
        <w:t>人员培训指导</w:t>
      </w:r>
      <w:r>
        <w:rPr>
          <w:rFonts w:ascii="仿宋_GB2312" w:hAnsi="仿宋_GB2312" w:cs="微软雅黑" w:hint="eastAsia" w:eastAsia="仿宋_GB2312"/>
          <w:iCs/>
          <w:color w:val="000000"/>
          <w:kern w:val="0"/>
          <w:sz w:val="30"/>
          <w:szCs w:val="30"/>
        </w:rPr>
        <w:t>始</w:t>
      </w:r>
      <w:r>
        <w:rPr>
          <w:rFonts w:ascii="仿宋_GB2312" w:hAnsi="仿宋_GB2312" w:cs="___WRD_EMBED_SUB_44;苹方-简" w:hint="eastAsia" w:eastAsia="仿宋_GB2312"/>
          <w:iCs/>
          <w:color w:val="000000"/>
          <w:kern w:val="0"/>
          <w:sz w:val="30"/>
          <w:szCs w:val="30"/>
        </w:rPr>
        <w:t>终不行，立即反</w:t>
      </w:r>
      <w:r>
        <w:rPr>
          <w:rFonts w:ascii="仿宋_GB2312" w:hAnsi="仿宋_GB2312" w:cs="微软雅黑" w:hint="eastAsia" w:eastAsia="仿宋_GB2312"/>
          <w:iCs/>
          <w:color w:val="000000"/>
          <w:kern w:val="0"/>
          <w:sz w:val="30"/>
          <w:szCs w:val="30"/>
        </w:rPr>
        <w:t>馈</w:t>
      </w:r>
      <w:r>
        <w:rPr>
          <w:rFonts w:ascii="仿宋_GB2312" w:hAnsi="仿宋_GB2312" w:cs="___WRD_EMBED_SUB_44;苹方-简" w:hint="eastAsia" w:eastAsia="仿宋_GB2312"/>
          <w:iCs/>
          <w:color w:val="000000"/>
          <w:kern w:val="0"/>
          <w:sz w:val="30"/>
          <w:szCs w:val="30"/>
        </w:rPr>
        <w:t>应急保障小组，由应急保障小组重新安排。相关岗位人员及时到岗，并达到岗位能力要求，可正常</w:t>
      </w:r>
      <w:r>
        <w:rPr>
          <w:rFonts w:ascii="仿宋_GB2312" w:hAnsi="仿宋_GB2312" w:cs="微软雅黑" w:hint="eastAsia" w:eastAsia="仿宋_GB2312"/>
          <w:iCs/>
          <w:color w:val="000000"/>
          <w:kern w:val="0"/>
          <w:sz w:val="30"/>
          <w:szCs w:val="30"/>
        </w:rPr>
        <w:t>交付</w:t>
      </w:r>
      <w:r>
        <w:rPr>
          <w:rFonts w:ascii="仿宋_GB2312" w:hAnsi="仿宋_GB2312" w:cs="___WRD_EMBED_SUB_44;苹方-简" w:hint="eastAsia" w:eastAsia="仿宋_GB2312"/>
          <w:iCs/>
          <w:color w:val="000000"/>
          <w:kern w:val="0"/>
          <w:sz w:val="30"/>
          <w:szCs w:val="30"/>
        </w:rPr>
        <w:t>产</w:t>
      </w:r>
      <w:r>
        <w:rPr>
          <w:rFonts w:ascii="仿宋_GB2312" w:hAnsi="仿宋_GB2312" w:cs="微软雅黑" w:hint="eastAsia" w:eastAsia="仿宋_GB2312"/>
          <w:iCs/>
          <w:color w:val="000000"/>
          <w:kern w:val="0"/>
          <w:sz w:val="30"/>
          <w:szCs w:val="30"/>
        </w:rPr>
        <w:t>品</w:t>
      </w:r>
      <w:r>
        <w:rPr>
          <w:rFonts w:ascii="仿宋_GB2312" w:hAnsi="仿宋_GB2312" w:cs="___WRD_EMBED_SUB_44;苹方-简" w:hint="eastAsia" w:eastAsia="仿宋_GB2312"/>
          <w:iCs/>
          <w:color w:val="000000"/>
          <w:kern w:val="0"/>
          <w:sz w:val="30"/>
          <w:szCs w:val="30"/>
        </w:rPr>
        <w:t>；由于相关人员到位不及时或操作不</w:t>
      </w:r>
      <w:r>
        <w:rPr>
          <w:rFonts w:ascii="仿宋_GB2312" w:hAnsi="仿宋_GB2312" w:cs="微软雅黑" w:hint="eastAsia" w:eastAsia="仿宋_GB2312"/>
          <w:iCs/>
          <w:color w:val="000000"/>
          <w:kern w:val="0"/>
          <w:sz w:val="30"/>
          <w:szCs w:val="30"/>
        </w:rPr>
        <w:t>熟</w:t>
      </w:r>
      <w:r>
        <w:rPr>
          <w:rFonts w:ascii="仿宋_GB2312" w:hAnsi="仿宋_GB2312" w:cs="___WRD_EMBED_SUB_44;苹方-简" w:hint="eastAsia" w:eastAsia="仿宋_GB2312"/>
          <w:iCs/>
          <w:color w:val="000000"/>
          <w:kern w:val="0"/>
          <w:sz w:val="30"/>
          <w:szCs w:val="30"/>
        </w:rPr>
        <w:t>练，当恢复生产时，</w:t>
      </w:r>
      <w:r>
        <w:rPr>
          <w:rFonts w:ascii="仿宋_GB2312" w:hAnsi="仿宋_GB2312" w:cs="微软雅黑" w:hint="eastAsia" w:eastAsia="仿宋_GB2312"/>
          <w:iCs/>
          <w:color w:val="000000"/>
          <w:kern w:val="0"/>
          <w:sz w:val="30"/>
          <w:szCs w:val="30"/>
        </w:rPr>
        <w:t>已</w:t>
      </w:r>
      <w:r>
        <w:rPr>
          <w:rFonts w:ascii="仿宋_GB2312" w:hAnsi="仿宋_GB2312" w:cs="___WRD_EMBED_SUB_44;苹方-简" w:hint="eastAsia" w:eastAsia="仿宋_GB2312"/>
          <w:iCs/>
          <w:color w:val="000000"/>
          <w:kern w:val="0"/>
          <w:sz w:val="30"/>
          <w:szCs w:val="30"/>
        </w:rPr>
        <w:t>影响到生产进度，应急保障小组及时和客户沟通，并按沟通后的结果执行。</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hint="eastAsia" w:ascii="仿宋_GB2312" w:hAnsi="仿宋_GB2312"/>
          <w:iCs/>
          <w:color w:val="000000"/>
          <w:kern w:val="0"/>
          <w:sz w:val="30"/>
          <w:szCs w:val="30"/>
        </w:rPr>
        <w:t>2.</w:t>
      </w:r>
      <w:r>
        <w:rPr>
          <w:rFonts w:ascii="仿宋_GB2312" w:hAnsi="仿宋_GB2312" w:cs="仿宋_GB2312" w:hint="eastAsia" w:eastAsia="仿宋_GB2312"/>
          <w:iCs/>
          <w:color w:val="000000"/>
          <w:kern w:val="0"/>
          <w:sz w:val="30"/>
          <w:szCs w:val="30"/>
        </w:rPr>
        <w:t>应急措施</w:t>
      </w:r>
    </w:p>
    <w:p>
      <w:pPr>
        <w:pStyle w:val="Normal"/>
        <w:numPr>
          <w:ilvl w:val="0"/>
          <w:numId w:val="7"/>
        </w:numPr>
        <w:spacing w:lineRule="exact" w:line="600"/>
        <w:ind w:firstLine="600" w:start="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部门内部配置平</w:t>
      </w:r>
      <w:r>
        <w:rPr>
          <w:rFonts w:ascii="仿宋_GB2312" w:hAnsi="仿宋_GB2312" w:cs="微软雅黑" w:hint="eastAsia" w:eastAsia="仿宋_GB2312"/>
          <w:iCs/>
          <w:color w:val="000000"/>
          <w:kern w:val="0"/>
          <w:sz w:val="30"/>
          <w:szCs w:val="30"/>
        </w:rPr>
        <w:t>衡</w:t>
      </w:r>
      <w:r>
        <w:rPr>
          <w:rFonts w:ascii="仿宋_GB2312" w:hAnsi="仿宋_GB2312" w:cs="___WRD_EMBED_SUB_44;苹方-简" w:hint="eastAsia" w:eastAsia="仿宋_GB2312"/>
          <w:iCs/>
          <w:color w:val="000000"/>
          <w:kern w:val="0"/>
          <w:sz w:val="30"/>
          <w:szCs w:val="30"/>
        </w:rPr>
        <w:t>：根据计划安排，按岗位、定员编制，部门内有</w:t>
      </w:r>
      <w:r>
        <w:rPr>
          <w:rFonts w:ascii="仿宋_GB2312" w:hAnsi="仿宋_GB2312" w:cs="微软雅黑" w:hint="eastAsia" w:eastAsia="仿宋_GB2312"/>
          <w:iCs/>
          <w:color w:val="000000"/>
          <w:kern w:val="0"/>
          <w:sz w:val="30"/>
          <w:szCs w:val="30"/>
        </w:rPr>
        <w:t>冗</w:t>
      </w:r>
      <w:r>
        <w:rPr>
          <w:rFonts w:ascii="仿宋_GB2312" w:hAnsi="仿宋_GB2312" w:cs="___WRD_EMBED_SUB_44;苹方-简" w:hint="eastAsia" w:eastAsia="仿宋_GB2312"/>
          <w:iCs/>
          <w:color w:val="000000"/>
          <w:kern w:val="0"/>
          <w:sz w:val="30"/>
          <w:szCs w:val="30"/>
        </w:rPr>
        <w:t>员或其他</w:t>
      </w:r>
      <w:r>
        <w:rPr>
          <w:rFonts w:ascii="仿宋_GB2312" w:hAnsi="仿宋_GB2312" w:cs="微软雅黑" w:hint="eastAsia" w:eastAsia="仿宋_GB2312"/>
          <w:iCs/>
          <w:color w:val="000000"/>
          <w:kern w:val="0"/>
          <w:sz w:val="30"/>
          <w:szCs w:val="30"/>
        </w:rPr>
        <w:t>团</w:t>
      </w:r>
      <w:r>
        <w:rPr>
          <w:rFonts w:ascii="仿宋_GB2312" w:hAnsi="仿宋_GB2312" w:cs="___WRD_EMBED_SUB_44;苹方-简" w:hint="eastAsia" w:eastAsia="仿宋_GB2312"/>
          <w:iCs/>
          <w:color w:val="000000"/>
          <w:kern w:val="0"/>
          <w:sz w:val="30"/>
          <w:szCs w:val="30"/>
        </w:rPr>
        <w:t>队任务不</w:t>
      </w:r>
      <w:r>
        <w:rPr>
          <w:rFonts w:ascii="仿宋_GB2312" w:hAnsi="仿宋_GB2312" w:cs="微软雅黑" w:hint="eastAsia" w:eastAsia="仿宋_GB2312"/>
          <w:iCs/>
          <w:color w:val="000000"/>
          <w:kern w:val="0"/>
          <w:sz w:val="30"/>
          <w:szCs w:val="30"/>
        </w:rPr>
        <w:t>足</w:t>
      </w:r>
      <w:r>
        <w:rPr>
          <w:rFonts w:ascii="仿宋_GB2312" w:hAnsi="仿宋_GB2312" w:cs="___WRD_EMBED_SUB_44;苹方-简" w:hint="eastAsia" w:eastAsia="仿宋_GB2312"/>
          <w:iCs/>
          <w:color w:val="000000"/>
          <w:kern w:val="0"/>
          <w:sz w:val="30"/>
          <w:szCs w:val="30"/>
        </w:rPr>
        <w:t>的，可实施部门内部岗位紧急调配；</w:t>
      </w:r>
    </w:p>
    <w:p>
      <w:pPr>
        <w:pStyle w:val="Normal"/>
        <w:numPr>
          <w:ilvl w:val="0"/>
          <w:numId w:val="7"/>
        </w:numPr>
        <w:spacing w:lineRule="exact" w:line="600"/>
        <w:ind w:firstLine="600" w:start="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公司内部配置平</w:t>
      </w:r>
      <w:r>
        <w:rPr>
          <w:rFonts w:ascii="仿宋_GB2312" w:hAnsi="仿宋_GB2312" w:cs="微软雅黑" w:hint="eastAsia" w:eastAsia="仿宋_GB2312"/>
          <w:iCs/>
          <w:color w:val="000000"/>
          <w:kern w:val="0"/>
          <w:sz w:val="30"/>
          <w:szCs w:val="30"/>
        </w:rPr>
        <w:t>衡</w:t>
      </w:r>
      <w:r>
        <w:rPr>
          <w:rFonts w:ascii="仿宋_GB2312" w:hAnsi="仿宋_GB2312" w:cs="___WRD_EMBED_SUB_44;苹方-简" w:hint="eastAsia" w:eastAsia="仿宋_GB2312"/>
          <w:iCs/>
          <w:color w:val="000000"/>
          <w:kern w:val="0"/>
          <w:sz w:val="30"/>
          <w:szCs w:val="30"/>
        </w:rPr>
        <w:t>：部门内部无法实施配置平</w:t>
      </w:r>
      <w:r>
        <w:rPr>
          <w:rFonts w:ascii="仿宋_GB2312" w:hAnsi="仿宋_GB2312" w:cs="微软雅黑" w:hint="eastAsia" w:eastAsia="仿宋_GB2312"/>
          <w:iCs/>
          <w:color w:val="000000"/>
          <w:kern w:val="0"/>
          <w:sz w:val="30"/>
          <w:szCs w:val="30"/>
        </w:rPr>
        <w:t>衡</w:t>
      </w:r>
      <w:r>
        <w:rPr>
          <w:rFonts w:ascii="仿宋_GB2312" w:hAnsi="仿宋_GB2312" w:cs="___WRD_EMBED_SUB_44;苹方-简" w:hint="eastAsia" w:eastAsia="仿宋_GB2312"/>
          <w:iCs/>
          <w:color w:val="000000"/>
          <w:kern w:val="0"/>
          <w:sz w:val="30"/>
          <w:szCs w:val="30"/>
        </w:rPr>
        <w:t>，由部门经理向人力资源部提报公司内部</w:t>
      </w:r>
      <w:r>
        <w:rPr>
          <w:rFonts w:ascii="仿宋_GB2312" w:hAnsi="仿宋_GB2312" w:cs="微软雅黑" w:hint="eastAsia" w:eastAsia="仿宋_GB2312"/>
          <w:iCs/>
          <w:color w:val="000000"/>
          <w:kern w:val="0"/>
          <w:sz w:val="30"/>
          <w:szCs w:val="30"/>
        </w:rPr>
        <w:t>招聘申</w:t>
      </w:r>
      <w:r>
        <w:rPr>
          <w:rFonts w:ascii="仿宋_GB2312" w:hAnsi="仿宋_GB2312" w:cs="___WRD_EMBED_SUB_44;苹方-简" w:hint="eastAsia" w:eastAsia="仿宋_GB2312"/>
          <w:iCs/>
          <w:color w:val="000000"/>
          <w:kern w:val="0"/>
          <w:sz w:val="30"/>
          <w:szCs w:val="30"/>
        </w:rPr>
        <w:t>请（具体岗位、要求、定员等信息），人力资源部组织实施内部</w:t>
      </w:r>
      <w:r>
        <w:rPr>
          <w:rFonts w:ascii="仿宋_GB2312" w:hAnsi="仿宋_GB2312" w:cs="微软雅黑" w:hint="eastAsia" w:eastAsia="仿宋_GB2312"/>
          <w:iCs/>
          <w:color w:val="000000"/>
          <w:kern w:val="0"/>
          <w:sz w:val="30"/>
          <w:szCs w:val="30"/>
        </w:rPr>
        <w:t>招聘</w:t>
      </w:r>
      <w:r>
        <w:rPr>
          <w:rFonts w:ascii="仿宋_GB2312" w:hAnsi="仿宋_GB2312" w:cs="___WRD_EMBED_SUB_44;苹方-简" w:hint="eastAsia" w:eastAsia="仿宋_GB2312"/>
          <w:iCs/>
          <w:color w:val="000000"/>
          <w:kern w:val="0"/>
          <w:sz w:val="30"/>
          <w:szCs w:val="30"/>
        </w:rPr>
        <w:t>；</w:t>
      </w:r>
    </w:p>
    <w:p>
      <w:pPr>
        <w:pStyle w:val="Normal"/>
        <w:numPr>
          <w:ilvl w:val="0"/>
          <w:numId w:val="7"/>
        </w:numPr>
        <w:spacing w:lineRule="exact" w:line="600"/>
        <w:ind w:firstLine="600" w:start="0" w:end="0"/>
        <w:jc w:val="start"/>
        <w:rPr>
          <w:rFonts w:ascii="仿宋_GB2312" w:hAnsi="仿宋_GB2312" w:eastAsia="仿宋_GB2312" w:cs="仿宋_GB2312"/>
          <w:iCs/>
          <w:color w:val="000000"/>
          <w:kern w:val="0"/>
          <w:sz w:val="30"/>
          <w:szCs w:val="30"/>
        </w:rPr>
      </w:pPr>
      <w:r>
        <w:rPr>
          <w:rFonts w:ascii="仿宋_GB2312" w:hAnsi="仿宋_GB2312" w:cs="微软雅黑" w:hint="eastAsia" w:eastAsia="仿宋_GB2312"/>
          <w:iCs/>
          <w:color w:val="000000"/>
          <w:kern w:val="0"/>
          <w:sz w:val="30"/>
          <w:szCs w:val="30"/>
        </w:rPr>
        <w:t>劳</w:t>
      </w:r>
      <w:r>
        <w:rPr>
          <w:rFonts w:ascii="仿宋_GB2312" w:hAnsi="仿宋_GB2312" w:cs="___WRD_EMBED_SUB_44;苹方-简" w:hint="eastAsia" w:eastAsia="仿宋_GB2312"/>
          <w:iCs/>
          <w:color w:val="000000"/>
          <w:kern w:val="0"/>
          <w:sz w:val="30"/>
          <w:szCs w:val="30"/>
        </w:rPr>
        <w:t>务</w:t>
      </w:r>
      <w:r>
        <w:rPr>
          <w:rFonts w:ascii="仿宋_GB2312" w:hAnsi="仿宋_GB2312" w:cs="微软雅黑" w:hint="eastAsia" w:eastAsia="仿宋_GB2312"/>
          <w:iCs/>
          <w:color w:val="000000"/>
          <w:kern w:val="0"/>
          <w:sz w:val="30"/>
          <w:szCs w:val="30"/>
        </w:rPr>
        <w:t>派遣</w:t>
      </w:r>
      <w:r>
        <w:rPr>
          <w:rFonts w:ascii="仿宋_GB2312" w:hAnsi="仿宋_GB2312" w:cs="___WRD_EMBED_SUB_44;苹方-简" w:hint="eastAsia" w:eastAsia="仿宋_GB2312"/>
          <w:iCs/>
          <w:color w:val="000000"/>
          <w:kern w:val="0"/>
          <w:sz w:val="30"/>
          <w:szCs w:val="30"/>
        </w:rPr>
        <w:t>或</w:t>
      </w:r>
      <w:r>
        <w:rPr>
          <w:rFonts w:ascii="仿宋_GB2312" w:hAnsi="仿宋_GB2312" w:cs="微软雅黑" w:hint="eastAsia" w:eastAsia="仿宋_GB2312"/>
          <w:iCs/>
          <w:color w:val="000000"/>
          <w:kern w:val="0"/>
          <w:sz w:val="30"/>
          <w:szCs w:val="30"/>
        </w:rPr>
        <w:t>猎头招聘</w:t>
      </w:r>
      <w:r>
        <w:rPr>
          <w:rFonts w:ascii="仿宋_GB2312" w:hAnsi="仿宋_GB2312" w:cs="___WRD_EMBED_SUB_44;苹方-简" w:hint="eastAsia" w:eastAsia="仿宋_GB2312"/>
          <w:iCs/>
          <w:color w:val="000000"/>
          <w:kern w:val="0"/>
          <w:sz w:val="30"/>
          <w:szCs w:val="30"/>
        </w:rPr>
        <w:t>：由人力资源部发</w:t>
      </w:r>
      <w:r>
        <w:rPr>
          <w:rFonts w:ascii="仿宋_GB2312" w:hAnsi="仿宋_GB2312" w:cs="微软雅黑" w:hint="eastAsia" w:eastAsia="仿宋_GB2312"/>
          <w:iCs/>
          <w:color w:val="000000"/>
          <w:kern w:val="0"/>
          <w:sz w:val="30"/>
          <w:szCs w:val="30"/>
        </w:rPr>
        <w:t>起</w:t>
      </w:r>
      <w:r>
        <w:rPr>
          <w:rFonts w:ascii="仿宋_GB2312" w:hAnsi="仿宋_GB2312" w:cs="___WRD_EMBED_SUB_44;苹方-简" w:hint="eastAsia" w:eastAsia="仿宋_GB2312"/>
          <w:iCs/>
          <w:color w:val="000000"/>
          <w:kern w:val="0"/>
          <w:sz w:val="30"/>
          <w:szCs w:val="30"/>
        </w:rPr>
        <w:t>“</w:t>
      </w:r>
      <w:r>
        <w:rPr>
          <w:rFonts w:ascii="仿宋_GB2312" w:hAnsi="仿宋_GB2312" w:cs="微软雅黑" w:hint="eastAsia" w:eastAsia="仿宋_GB2312"/>
          <w:iCs/>
          <w:color w:val="000000"/>
          <w:kern w:val="0"/>
          <w:sz w:val="30"/>
          <w:szCs w:val="30"/>
        </w:rPr>
        <w:t>劳</w:t>
      </w:r>
      <w:r>
        <w:rPr>
          <w:rFonts w:ascii="仿宋_GB2312" w:hAnsi="仿宋_GB2312" w:cs="___WRD_EMBED_SUB_44;苹方-简" w:hint="eastAsia" w:eastAsia="仿宋_GB2312"/>
          <w:iCs/>
          <w:color w:val="000000"/>
          <w:kern w:val="0"/>
          <w:sz w:val="30"/>
          <w:szCs w:val="30"/>
        </w:rPr>
        <w:t>务</w:t>
      </w:r>
      <w:r>
        <w:rPr>
          <w:rFonts w:ascii="仿宋_GB2312" w:hAnsi="仿宋_GB2312" w:cs="微软雅黑" w:hint="eastAsia" w:eastAsia="仿宋_GB2312"/>
          <w:iCs/>
          <w:color w:val="000000"/>
          <w:kern w:val="0"/>
          <w:sz w:val="30"/>
          <w:szCs w:val="30"/>
        </w:rPr>
        <w:t>派遣</w:t>
      </w:r>
      <w:r>
        <w:rPr>
          <w:rFonts w:eastAsia="仿宋_GB2312" w:cs="仿宋_GB2312" w:hint="eastAsia" w:ascii="仿宋_GB2312" w:hAnsi="仿宋_GB2312"/>
          <w:iCs/>
          <w:color w:val="000000"/>
          <w:kern w:val="0"/>
          <w:sz w:val="30"/>
          <w:szCs w:val="30"/>
        </w:rPr>
        <w:t>/</w:t>
      </w:r>
      <w:r>
        <w:rPr>
          <w:rFonts w:ascii="仿宋_GB2312" w:hAnsi="仿宋_GB2312" w:cs="微软雅黑" w:hint="eastAsia" w:eastAsia="仿宋_GB2312"/>
          <w:iCs/>
          <w:color w:val="000000"/>
          <w:kern w:val="0"/>
          <w:sz w:val="30"/>
          <w:szCs w:val="30"/>
        </w:rPr>
        <w:t>猎头招聘</w:t>
      </w:r>
      <w:r>
        <w:rPr>
          <w:rFonts w:ascii="仿宋_GB2312" w:hAnsi="仿宋_GB2312" w:cs="___WRD_EMBED_SUB_44;苹方-简" w:hint="eastAsia" w:eastAsia="仿宋_GB2312"/>
          <w:iCs/>
          <w:color w:val="000000"/>
          <w:kern w:val="0"/>
          <w:sz w:val="30"/>
          <w:szCs w:val="30"/>
        </w:rPr>
        <w:t>用人</w:t>
      </w:r>
      <w:r>
        <w:rPr>
          <w:rFonts w:ascii="仿宋_GB2312" w:hAnsi="仿宋_GB2312" w:cs="微软雅黑" w:hint="eastAsia" w:eastAsia="仿宋_GB2312"/>
          <w:iCs/>
          <w:color w:val="000000"/>
          <w:kern w:val="0"/>
          <w:sz w:val="30"/>
          <w:szCs w:val="30"/>
        </w:rPr>
        <w:t>申</w:t>
      </w:r>
      <w:r>
        <w:rPr>
          <w:rFonts w:ascii="仿宋_GB2312" w:hAnsi="仿宋_GB2312" w:cs="___WRD_EMBED_SUB_44;苹方-简" w:hint="eastAsia" w:eastAsia="仿宋_GB2312"/>
          <w:iCs/>
          <w:color w:val="000000"/>
          <w:kern w:val="0"/>
          <w:sz w:val="30"/>
          <w:szCs w:val="30"/>
        </w:rPr>
        <w:t>请”，经公司总经理审核通过后，人力资源部负责联系</w:t>
      </w:r>
      <w:r>
        <w:rPr>
          <w:rFonts w:ascii="仿宋_GB2312" w:hAnsi="仿宋_GB2312" w:cs="微软雅黑" w:hint="eastAsia" w:eastAsia="仿宋_GB2312"/>
          <w:iCs/>
          <w:color w:val="000000"/>
          <w:kern w:val="0"/>
          <w:sz w:val="30"/>
          <w:szCs w:val="30"/>
        </w:rPr>
        <w:t>劳</w:t>
      </w:r>
      <w:r>
        <w:rPr>
          <w:rFonts w:ascii="仿宋_GB2312" w:hAnsi="仿宋_GB2312" w:cs="___WRD_EMBED_SUB_44;苹方-简" w:hint="eastAsia" w:eastAsia="仿宋_GB2312"/>
          <w:iCs/>
          <w:color w:val="000000"/>
          <w:kern w:val="0"/>
          <w:sz w:val="30"/>
          <w:szCs w:val="30"/>
        </w:rPr>
        <w:t>务</w:t>
      </w:r>
      <w:r>
        <w:rPr>
          <w:rFonts w:ascii="仿宋_GB2312" w:hAnsi="仿宋_GB2312" w:cs="微软雅黑" w:hint="eastAsia" w:eastAsia="仿宋_GB2312"/>
          <w:iCs/>
          <w:color w:val="000000"/>
          <w:kern w:val="0"/>
          <w:sz w:val="30"/>
          <w:szCs w:val="30"/>
        </w:rPr>
        <w:t>派遣</w:t>
      </w:r>
      <w:r>
        <w:rPr>
          <w:rFonts w:ascii="仿宋_GB2312" w:hAnsi="仿宋_GB2312" w:cs="___WRD_EMBED_SUB_44;苹方-简" w:hint="eastAsia" w:eastAsia="仿宋_GB2312"/>
          <w:iCs/>
          <w:color w:val="000000"/>
          <w:kern w:val="0"/>
          <w:sz w:val="30"/>
          <w:szCs w:val="30"/>
        </w:rPr>
        <w:t>公司，紧急外调人员到岗，组织快速培训</w:t>
      </w:r>
      <w:r>
        <w:rPr>
          <w:rFonts w:ascii="仿宋_GB2312" w:hAnsi="仿宋_GB2312" w:cs="微软雅黑" w:hint="eastAsia" w:eastAsia="仿宋_GB2312"/>
          <w:iCs/>
          <w:color w:val="000000"/>
          <w:kern w:val="0"/>
          <w:sz w:val="30"/>
          <w:szCs w:val="30"/>
        </w:rPr>
        <w:t>顶</w:t>
      </w:r>
      <w:r>
        <w:rPr>
          <w:rFonts w:ascii="仿宋_GB2312" w:hAnsi="仿宋_GB2312" w:cs="___WRD_EMBED_SUB_44;苹方-简" w:hint="eastAsia" w:eastAsia="仿宋_GB2312"/>
          <w:iCs/>
          <w:color w:val="000000"/>
          <w:kern w:val="0"/>
          <w:sz w:val="30"/>
          <w:szCs w:val="30"/>
        </w:rPr>
        <w:t>岗；</w:t>
      </w:r>
    </w:p>
    <w:p>
      <w:pPr>
        <w:pStyle w:val="Normal"/>
        <w:numPr>
          <w:ilvl w:val="0"/>
          <w:numId w:val="7"/>
        </w:numPr>
        <w:spacing w:lineRule="exact" w:line="600"/>
        <w:ind w:firstLine="600" w:start="0" w:end="0"/>
        <w:jc w:val="start"/>
        <w:rPr>
          <w:rFonts w:ascii="仿宋_GB2312" w:hAnsi="仿宋_GB2312" w:eastAsia="仿宋_GB2312" w:cs="仿宋_GB2312"/>
          <w:iCs/>
          <w:color w:val="000000"/>
          <w:kern w:val="0"/>
          <w:sz w:val="30"/>
          <w:szCs w:val="30"/>
        </w:rPr>
      </w:pPr>
      <w:r>
        <w:rPr>
          <w:rFonts w:ascii="仿宋_GB2312" w:hAnsi="仿宋_GB2312" w:cs="仿宋_GB2312" w:hint="eastAsia" w:eastAsia="仿宋_GB2312"/>
          <w:iCs/>
          <w:color w:val="000000"/>
          <w:kern w:val="0"/>
          <w:sz w:val="30"/>
          <w:szCs w:val="30"/>
        </w:rPr>
        <w:t>高</w:t>
      </w:r>
      <w:r>
        <w:rPr>
          <w:rFonts w:ascii="仿宋_GB2312" w:hAnsi="仿宋_GB2312" w:cs="微软雅黑" w:hint="eastAsia" w:eastAsia="仿宋_GB2312"/>
          <w:iCs/>
          <w:color w:val="000000"/>
          <w:kern w:val="0"/>
          <w:sz w:val="30"/>
          <w:szCs w:val="30"/>
        </w:rPr>
        <w:t>薪招聘社</w:t>
      </w:r>
      <w:r>
        <w:rPr>
          <w:rFonts w:ascii="仿宋_GB2312" w:hAnsi="仿宋_GB2312" w:cs="___WRD_EMBED_SUB_44;苹方-简" w:hint="eastAsia" w:eastAsia="仿宋_GB2312"/>
          <w:iCs/>
          <w:color w:val="000000"/>
          <w:kern w:val="0"/>
          <w:sz w:val="30"/>
          <w:szCs w:val="30"/>
        </w:rPr>
        <w:t>会务工人员：由人力资源部发</w:t>
      </w:r>
      <w:r>
        <w:rPr>
          <w:rFonts w:ascii="仿宋_GB2312" w:hAnsi="仿宋_GB2312" w:cs="微软雅黑" w:hint="eastAsia" w:eastAsia="仿宋_GB2312"/>
          <w:iCs/>
          <w:color w:val="000000"/>
          <w:kern w:val="0"/>
          <w:sz w:val="30"/>
          <w:szCs w:val="30"/>
        </w:rPr>
        <w:t>起</w:t>
      </w:r>
      <w:r>
        <w:rPr>
          <w:rFonts w:ascii="仿宋_GB2312" w:hAnsi="仿宋_GB2312" w:cs="___WRD_EMBED_SUB_44;苹方-简" w:hint="eastAsia" w:eastAsia="仿宋_GB2312"/>
          <w:iCs/>
          <w:color w:val="000000"/>
          <w:kern w:val="0"/>
          <w:sz w:val="30"/>
          <w:szCs w:val="30"/>
        </w:rPr>
        <w:t>“高</w:t>
      </w:r>
      <w:r>
        <w:rPr>
          <w:rFonts w:ascii="仿宋_GB2312" w:hAnsi="仿宋_GB2312" w:cs="微软雅黑" w:hint="eastAsia" w:eastAsia="仿宋_GB2312"/>
          <w:iCs/>
          <w:color w:val="000000"/>
          <w:kern w:val="0"/>
          <w:sz w:val="30"/>
          <w:szCs w:val="30"/>
        </w:rPr>
        <w:t>薪招聘社</w:t>
      </w:r>
      <w:r>
        <w:rPr>
          <w:rFonts w:ascii="仿宋_GB2312" w:hAnsi="仿宋_GB2312" w:cs="___WRD_EMBED_SUB_44;苹方-简" w:hint="eastAsia" w:eastAsia="仿宋_GB2312"/>
          <w:iCs/>
          <w:color w:val="000000"/>
          <w:kern w:val="0"/>
          <w:sz w:val="30"/>
          <w:szCs w:val="30"/>
        </w:rPr>
        <w:t>会务工人员</w:t>
      </w:r>
      <w:r>
        <w:rPr>
          <w:rFonts w:ascii="仿宋_GB2312" w:hAnsi="仿宋_GB2312" w:cs="微软雅黑" w:hint="eastAsia" w:eastAsia="仿宋_GB2312"/>
          <w:iCs/>
          <w:color w:val="000000"/>
          <w:kern w:val="0"/>
          <w:sz w:val="30"/>
          <w:szCs w:val="30"/>
        </w:rPr>
        <w:t>申</w:t>
      </w:r>
      <w:r>
        <w:rPr>
          <w:rFonts w:ascii="仿宋_GB2312" w:hAnsi="仿宋_GB2312" w:cs="___WRD_EMBED_SUB_44;苹方-简" w:hint="eastAsia" w:eastAsia="仿宋_GB2312"/>
          <w:iCs/>
          <w:color w:val="000000"/>
          <w:kern w:val="0"/>
          <w:sz w:val="30"/>
          <w:szCs w:val="30"/>
        </w:rPr>
        <w:t>请”，经公司总经理审核通过后，人力资源部负责联系</w:t>
      </w:r>
      <w:r>
        <w:rPr>
          <w:rFonts w:ascii="仿宋_GB2312" w:hAnsi="仿宋_GB2312" w:cs="微软雅黑" w:hint="eastAsia" w:eastAsia="仿宋_GB2312"/>
          <w:iCs/>
          <w:color w:val="000000"/>
          <w:kern w:val="0"/>
          <w:sz w:val="30"/>
          <w:szCs w:val="30"/>
        </w:rPr>
        <w:t>劳</w:t>
      </w:r>
      <w:r>
        <w:rPr>
          <w:rFonts w:ascii="仿宋_GB2312" w:hAnsi="仿宋_GB2312" w:cs="___WRD_EMBED_SUB_44;苹方-简" w:hint="eastAsia" w:eastAsia="仿宋_GB2312"/>
          <w:iCs/>
          <w:color w:val="000000"/>
          <w:kern w:val="0"/>
          <w:sz w:val="30"/>
          <w:szCs w:val="30"/>
        </w:rPr>
        <w:t>务</w:t>
      </w:r>
      <w:r>
        <w:rPr>
          <w:rFonts w:ascii="仿宋_GB2312" w:hAnsi="仿宋_GB2312" w:cs="微软雅黑" w:hint="eastAsia" w:eastAsia="仿宋_GB2312"/>
          <w:iCs/>
          <w:color w:val="000000"/>
          <w:kern w:val="0"/>
          <w:sz w:val="30"/>
          <w:szCs w:val="30"/>
        </w:rPr>
        <w:t>派遣</w:t>
      </w:r>
      <w:r>
        <w:rPr>
          <w:rFonts w:ascii="仿宋_GB2312" w:hAnsi="仿宋_GB2312" w:cs="___WRD_EMBED_SUB_44;苹方-简" w:hint="eastAsia" w:eastAsia="仿宋_GB2312"/>
          <w:iCs/>
          <w:color w:val="000000"/>
          <w:kern w:val="0"/>
          <w:sz w:val="30"/>
          <w:szCs w:val="30"/>
        </w:rPr>
        <w:t>公司，紧急外调人员到岗，组织快速培训</w:t>
      </w:r>
      <w:r>
        <w:rPr>
          <w:rFonts w:ascii="仿宋_GB2312" w:hAnsi="仿宋_GB2312" w:cs="微软雅黑" w:hint="eastAsia" w:eastAsia="仿宋_GB2312"/>
          <w:iCs/>
          <w:color w:val="000000"/>
          <w:kern w:val="0"/>
          <w:sz w:val="30"/>
          <w:szCs w:val="30"/>
        </w:rPr>
        <w:t>顶</w:t>
      </w:r>
      <w:r>
        <w:rPr>
          <w:rFonts w:ascii="仿宋_GB2312" w:hAnsi="仿宋_GB2312" w:cs="___WRD_EMBED_SUB_44;苹方-简" w:hint="eastAsia" w:eastAsia="仿宋_GB2312"/>
          <w:iCs/>
          <w:color w:val="000000"/>
          <w:kern w:val="0"/>
          <w:sz w:val="30"/>
          <w:szCs w:val="30"/>
        </w:rPr>
        <w:t>岗。</w:t>
      </w:r>
    </w:p>
    <w:p>
      <w:pPr>
        <w:pStyle w:val="Normal"/>
        <w:spacing w:lineRule="exact" w:line="600"/>
        <w:ind w:firstLineChars="200" w:startChars="0" w:start="0" w:endChars="0" w:end="0"/>
        <w:jc w:val="start"/>
        <w:rPr>
          <w:rFonts w:ascii="仿宋_GB2312" w:hAnsi="仿宋_GB2312" w:eastAsia="仿宋_GB2312" w:cs="仿宋_GB2312"/>
          <w:iCs/>
          <w:color w:val="000000"/>
          <w:kern w:val="0"/>
          <w:sz w:val="30"/>
          <w:szCs w:val="30"/>
        </w:rPr>
      </w:pPr>
      <w:r>
        <w:rPr>
          <w:rFonts w:eastAsia="仿宋_GB2312" w:cs="仿宋_GB2312" w:ascii="仿宋_GB2312" w:hAnsi="仿宋_GB2312"/>
          <w:iCs/>
          <w:color w:val="000000"/>
          <w:kern w:val="0"/>
          <w:sz w:val="30"/>
          <w:szCs w:val="30"/>
        </w:rPr>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bCs/>
          <w:iCs/>
          <w:kern w:val="0"/>
          <w:sz w:val="30"/>
          <w:szCs w:val="30"/>
        </w:rPr>
        <w:t>场景描述</w:t>
      </w:r>
      <w:r>
        <w:rPr>
          <w:rFonts w:eastAsia="仿宋_GB2312" w:cs="仿宋_GB2312" w:hint="eastAsia" w:ascii="仿宋_GB2312" w:hAnsi="仿宋_GB2312"/>
          <w:bCs/>
          <w:iCs/>
          <w:kern w:val="0"/>
          <w:sz w:val="30"/>
          <w:szCs w:val="30"/>
        </w:rPr>
        <w:t>4</w:t>
      </w:r>
      <w:r>
        <w:rPr>
          <w:rFonts w:ascii="仿宋_GB2312" w:hAnsi="仿宋_GB2312" w:cs="仿宋_GB2312" w:hint="eastAsia" w:eastAsia="仿宋_GB2312"/>
          <w:bCs/>
          <w:iCs/>
          <w:kern w:val="0"/>
          <w:sz w:val="30"/>
          <w:szCs w:val="30"/>
        </w:rPr>
        <w:t>：</w:t>
      </w:r>
      <w:r>
        <w:rPr>
          <w:rFonts w:ascii="仿宋_GB2312" w:hAnsi="仿宋_GB2312" w:cs="仿宋_GB2312" w:hint="eastAsia" w:eastAsia="仿宋_GB2312"/>
          <w:iCs/>
          <w:color w:val="000000"/>
          <w:kern w:val="0"/>
          <w:sz w:val="30"/>
          <w:szCs w:val="30"/>
        </w:rPr>
        <w:t>发生业务转</w:t>
      </w:r>
      <w:r>
        <w:rPr>
          <w:rFonts w:ascii="仿宋_GB2312" w:hAnsi="仿宋_GB2312" w:cs="微软雅黑" w:hint="eastAsia" w:eastAsia="仿宋_GB2312"/>
          <w:iCs/>
          <w:color w:val="000000"/>
          <w:kern w:val="0"/>
          <w:sz w:val="30"/>
          <w:szCs w:val="30"/>
        </w:rPr>
        <w:t>型</w:t>
      </w:r>
      <w:r>
        <w:rPr>
          <w:rFonts w:ascii="仿宋_GB2312" w:hAnsi="仿宋_GB2312" w:cs="___WRD_EMBED_SUB_44;苹方-简" w:hint="eastAsia" w:eastAsia="仿宋_GB2312"/>
          <w:iCs/>
          <w:color w:val="000000"/>
          <w:kern w:val="0"/>
          <w:sz w:val="30"/>
          <w:szCs w:val="30"/>
        </w:rPr>
        <w:t>、主营业务</w:t>
      </w:r>
      <w:r>
        <w:rPr>
          <w:rFonts w:ascii="仿宋_GB2312" w:hAnsi="仿宋_GB2312" w:cs="微软雅黑" w:hint="eastAsia" w:eastAsia="仿宋_GB2312"/>
          <w:iCs/>
          <w:color w:val="000000"/>
          <w:kern w:val="0"/>
          <w:sz w:val="30"/>
          <w:szCs w:val="30"/>
        </w:rPr>
        <w:t>偏</w:t>
      </w:r>
      <w:r>
        <w:rPr>
          <w:rFonts w:ascii="仿宋_GB2312" w:hAnsi="仿宋_GB2312" w:cs="___WRD_EMBED_SUB_44;苹方-简" w:hint="eastAsia" w:eastAsia="仿宋_GB2312"/>
          <w:iCs/>
          <w:color w:val="000000"/>
          <w:kern w:val="0"/>
          <w:sz w:val="30"/>
          <w:szCs w:val="30"/>
        </w:rPr>
        <w:t>离服务范围等</w:t>
      </w:r>
    </w:p>
    <w:p>
      <w:pPr>
        <w:pStyle w:val="Normal"/>
        <w:numPr>
          <w:ilvl w:val="0"/>
          <w:numId w:val="8"/>
        </w:numPr>
        <w:spacing w:lineRule="exact" w:line="60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应急处置流程</w:t>
      </w:r>
    </w:p>
    <w:p>
      <w:pPr>
        <w:pStyle w:val="Normal"/>
        <w:spacing w:lineRule="atLeast" w:line="450"/>
        <w:ind w:firstLine="567"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最先获悉突发事件信息后，新晨科技第一时间报告至邮储银行相关项目组，为邮储银行提供必要的应急和灾备资源保障，提供应急响应和恢复级别为最高级，以及事件处置结果的报告。</w:t>
      </w:r>
      <w:r>
        <w:rPr>
          <w:rFonts w:ascii="仿宋_GB2312" w:hAnsi="仿宋_GB2312" w:cs="仿宋_GB2312" w:hint="eastAsia" w:eastAsia="仿宋_GB2312"/>
          <w:iCs/>
          <w:sz w:val="30"/>
          <w:szCs w:val="30"/>
        </w:rPr>
        <w:t xml:space="preserve">具体保障工作分类如下： </w:t>
      </w:r>
    </w:p>
    <w:p>
      <w:pPr>
        <w:pStyle w:val="Normal"/>
        <w:numPr>
          <w:ilvl w:val="0"/>
          <w:numId w:val="2"/>
        </w:numPr>
        <w:spacing w:lineRule="exact" w:line="600"/>
        <w:ind w:firstLine="600" w:start="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决定启动和终止重大风险和突发事件处理系统；</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）与应急指挥小组保持通讯联系，与外部相关管理部门保持工作衔接；</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）收集、整理、分析突发事件相关信息资料及发生的原因；</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）协调和处理重大风险和突发事件处置过程中对外宣传报道工作；</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6</w:t>
      </w:r>
      <w:r>
        <w:rPr>
          <w:rFonts w:ascii="仿宋_GB2312" w:hAnsi="仿宋_GB2312" w:cs="仿宋_GB2312" w:hint="eastAsia" w:eastAsia="仿宋_GB2312"/>
          <w:iCs/>
          <w:kern w:val="0"/>
          <w:sz w:val="30"/>
          <w:szCs w:val="30"/>
        </w:rPr>
        <w:t>）及时赶赴事发现场，组织对事故现场的管理，并向公司管理层和邮储银行报告突发事件基本情况，不能瞒报、迟报和谎报情况。作好后勤保障，稳定现场情况，避免事态扩大；</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7</w:t>
      </w:r>
      <w:r>
        <w:rPr>
          <w:rFonts w:ascii="仿宋_GB2312" w:hAnsi="仿宋_GB2312" w:cs="仿宋_GB2312" w:hint="eastAsia" w:eastAsia="仿宋_GB2312"/>
          <w:iCs/>
          <w:kern w:val="0"/>
          <w:sz w:val="30"/>
          <w:szCs w:val="30"/>
        </w:rPr>
        <w:t>）定期或及时评估重大风险；</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8</w:t>
      </w:r>
      <w:r>
        <w:rPr>
          <w:rFonts w:ascii="仿宋_GB2312" w:hAnsi="仿宋_GB2312" w:cs="仿宋_GB2312" w:hint="eastAsia" w:eastAsia="仿宋_GB2312"/>
          <w:iCs/>
          <w:kern w:val="0"/>
          <w:sz w:val="30"/>
          <w:szCs w:val="30"/>
        </w:rPr>
        <w:t>）调查分析事故原因，编写事故报告，提出对相关责任人的处理建议，报公司管理层审议。</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应急措施</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应急指挥小组、应急保障小组对“公司主动或因兼并、收购被动发生业务转型，主营业务偏离服务范围”事件中发现的有可能导致或转化为重大风险和突发事件的各类风险信息及时开展跟踪、分析、监测及评估，加强信息报告和预警。</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重大风险和突发事件发生后，公司所属应急保障小组，应在第一时间向应急指挥小组成员进行汇报并在第一线了解跟踪事件发生和变化的全过程，及时向公司应急指挥小组报告事件信息，并提供专业分析意见，采取有效的应急措施，防止事态发展，最大限度地减少损失和影响程度。</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应急指挥小组应当迅速做出应急反应，研究并提出处置方案和建议，按照政府有关部门和证券监管部门的决策，具体组织应急保障小组和应急执行小组实施各项应急措施，并结合实际情况进行处置，完善应急手段和措施。</w:t>
      </w:r>
    </w:p>
    <w:p>
      <w:pPr>
        <w:pStyle w:val="Normal"/>
        <w:spacing w:lineRule="exact" w:line="600"/>
        <w:ind w:firstLineChars="200" w:startChars="0" w:start="0" w:endChars="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重大风险和突发事件发生后，公司应急指挥小组根据要求和重要性，统一对外发布信息，未经核实和授权，任何人不得随意对外透露相关信息。重大风险和突发事件处理完毕后，公司应严格遵照相关规定，及时公平地向所有投资者披露公司的重大突发事件，有针对性的提供公司相关内容及情况，批驳谣言，报告真相。在投资者中树立公平、诚信的公司形象，切实保护投资者的合法权益。</w:t>
      </w:r>
    </w:p>
    <w:p>
      <w:pPr>
        <w:pStyle w:val="Normal"/>
        <w:spacing w:lineRule="exact" w:line="600"/>
        <w:ind w:firstLineChars="200" w:startChars="0" w:start="0" w:endChars="0" w:end="0"/>
        <w:jc w:val="start"/>
        <w:rPr>
          <w:rFonts w:ascii="仿宋_GB2312" w:hAnsi="仿宋_GB2312" w:eastAsia="仿宋_GB2312" w:cs="仿宋_GB2312" w:hint="eastAsia"/>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重大风险和突发事件发生后，公司在应急指挥小组的统一指挥下，按国家的有关部门和监管部门规定和要求，由应急保障小组和应急执行小组及时开展处置工作；在处置过程中，公司应对可能产生的连锁事件做出评估，采取相应措施。</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（二）服务水平下降。</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场景描述：由于外包服务质量问题或内外部协作效率低下，使得信息科技服务水平下降。</w:t>
      </w:r>
    </w:p>
    <w:p>
      <w:pPr>
        <w:pStyle w:val="2"/>
        <w:numPr>
          <w:ilvl w:val="0"/>
          <w:numId w:val="6"/>
        </w:numPr>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应急处置流程</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信息报告：最先获悉突发事件的人员或部门，即刻向应急执行小组报告。应急执行小组在接到消息后，迅速将服务水平下降的详细情况第一时间报告至给邮储银行相关项目组，同时汇报给应急指挥小组和应急保障小组，确保为邮储银行提供必要的应急和灾备资源保障，明确应急响应和恢复级别为最高级，并及时反馈事件处置结果。</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启动应急：应急指挥小组在收到报告后，立即组织召开会议，依据服务水平下降的实际情况，精准判断事件级别。若出现批量员工流失或关键人员流失等导致服务严重下滑的状况，判定为一级或二级事件；若因一般性因素致使服务水平下降，则判定为三级或四级事件。随后，按照相应级别启动应急处理流程。</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任务分配与执行：应急指挥小组依据预先制定的应急方案，将各项任务合理分解并下达给应急执行小组和应急保障小组。应急执行小组负责统筹协调现场处置工作，迅速组织相关人员和技术专家成立应急响应团队，明确各成员职责，针对应急事件展开快速响应。应急保障小组则负责提供全方位的资源支持与技术支撑，涵盖人力、物力、财力等资源的调配，以及技术难题的解决和设备设施的维护等工作，确保应急执行小组的处置工作顺利进行。</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进度跟踪与汇报：应急执行小组指定专人负责进度跟踪，定期向应急指挥小组、应急保障小组以及邮储银行相关项目组详细报告事件的进展情况，包括已采取的措施、取得的阶段性成果以及遇到的问题等。同时，应急执行小组和应急保障小组的各成员及时向负责跟踪的人员反馈各自工作的进展动态，以便及时调整应急策略。</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结果报告：在事件处置完毕后，由应急执行小组牵头，汇总整理整个应急处置过程的详细信息，撰写事件处置结果报告。报告经应急指挥小组审核通过后，正式提交给邮储银行相关项目组，确保信息的准确性和完整性。</w:t>
      </w:r>
    </w:p>
    <w:p>
      <w:pPr>
        <w:pStyle w:val="2"/>
        <w:numPr>
          <w:ilvl w:val="0"/>
          <w:numId w:val="6"/>
        </w:numPr>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应急措施：</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人员补充与培训：一旦确定服务水平下降是由人员不足或技能问题导致，应急保障小组中的人力资源部门迅速行动。一方面，从公司内部的人力资源储备池中筛选合适人员进行调配；另一方面，启动应急招聘程序，积极寻找外部符合要求的人才。同时，组织公司内部的技术专家团队，针对服务所需的关键技能，为新调配或招聘的人员开展有针对性的专项培训，提升其业务能力，使其能够尽快适应岗位要求，投入到服务工作中。</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优化协作流程：针对内外部协作效率低下的问题，应急指挥小组组织相关部门召开协调会议。召集涉及内外部协作的所有部门负责人，共同对现有协作流程进行全面梳理和深入分析，找出流程中存在的问题和阻碍。在此基础上，明确各部门在协作过程中的具体职责和工作范围，简化不必要的繁琐环节，建立高效、畅通的沟通机制，确保信息能够及时、准确地传递，各项工作能够无缝衔接，从而有效提高协作效率。</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技术支持与优化：由应急保障小组中的技术部门牵头，组织专业的技术专家团队，对服务水平下降的技术原因进行深入剖析。从系统性能、网络状况、软件功能等多个方面进行全面检测和分析，找出问题的根源所在。根据分析结果，制定详细的技术支持和优化方案，由应急执行小组负责具体实施。实施内容可能包括系统升级、网络配置调整、软件漏洞修复等，以提升服务的技术水平，保障服务的稳定性和高效性。</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监督与评估：在应急处理过程中，应急保障小组中的质量监督部门负责对服务进行全程监督与评估。制定科学合理的监督评估指标体系，定期对服务进行全面检查和评估，及时发现应急处理过程中存在的问题和不足之处。将监督评估结果及时反馈给应急指挥小组，应急指挥小组根据反馈信息，迅速调整应急措施，确保服务水平能够尽快恢复并达到正常标准。</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（三）网络和数据安全事件。</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场景描述：由于服务提供商操作不当、安全管理不到位、信息系统存在漏洞或其他原因，导致网络和系统可用性受到影响，数据泄露、丢失或篡改。</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各场景应急响应流程及措施如下：</w:t>
      </w:r>
    </w:p>
    <w:p>
      <w:pPr>
        <w:pStyle w:val="Normal"/>
        <w:spacing w:lineRule="exact" w:line="600"/>
        <w:ind w:firstLineChars="200" w:startChars="0" w:start="0" w:endChars="0" w:end="0"/>
        <w:jc w:val="start"/>
        <w:rPr>
          <w:rFonts w:ascii="仿宋_GB2312" w:hAnsi="仿宋_GB2312" w:eastAsia="仿宋_GB2312" w:cs="仿宋_GB2312" w:hint="eastAsia"/>
          <w:bCs/>
          <w:iCs/>
          <w:kern w:val="0"/>
          <w:sz w:val="30"/>
          <w:szCs w:val="30"/>
        </w:rPr>
      </w:pPr>
      <w:r>
        <w:rPr>
          <w:rFonts w:ascii="仿宋_GB2312" w:hAnsi="仿宋_GB2312" w:cs="仿宋_GB2312" w:hint="eastAsia" w:eastAsia="仿宋_GB2312"/>
          <w:bCs/>
          <w:iCs/>
          <w:kern w:val="0"/>
          <w:sz w:val="30"/>
          <w:szCs w:val="30"/>
        </w:rPr>
        <w:t>场景一：服务提供商操作不当导致网络和系统可用性受到影响</w:t>
      </w:r>
    </w:p>
    <w:p>
      <w:pPr>
        <w:pStyle w:val="2"/>
        <w:numPr>
          <w:ilvl w:val="0"/>
          <w:numId w:val="4"/>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应急处置流程：</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信息报告与通报：服务提供商内部一旦发现操作不当致使网络和系统可用性受影响，相关人员需立刻向新晨科技应急执行小组报告。应急执行小组在获取信息后，第一时间将详细情况报告给邮储银行相关项目组，为邮储银行提供必要的应急和灾备资源保障，提供应急响应和恢复级别为最高级</w:t>
      </w:r>
      <w:r>
        <w:rPr>
          <w:rFonts w:eastAsia="仿宋_GB2312" w:cs="仿宋_GB2312" w:hint="eastAsia" w:ascii="仿宋_GB2312" w:hAnsi="仿宋_GB2312"/>
          <w:iCs/>
          <w:kern w:val="0"/>
          <w:sz w:val="30"/>
          <w:szCs w:val="30"/>
        </w:rPr>
        <w:t>,</w:t>
      </w:r>
      <w:r>
        <w:rPr>
          <w:rFonts w:ascii="仿宋_GB2312" w:hAnsi="仿宋_GB2312" w:cs="仿宋_GB2312" w:hint="eastAsia" w:eastAsia="仿宋_GB2312"/>
          <w:iCs/>
          <w:kern w:val="0"/>
          <w:sz w:val="30"/>
          <w:szCs w:val="30"/>
        </w:rPr>
        <w:t>同时通报给应急指挥小组和应急保障小组，确保信息及时传递，为后续应急处理提供依据，并及时反馈事件处置结果。</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启动应急：应急指挥小组收到报告后，迅速组织成员召开紧急会议。依据事件的严重程度和影响范围，判定该事件为一级事件，并即刻启动一级事件应急处理流程。下达指令，通知应急保障小组和应急执行小组进入应急状态，明确各小组在应急处理中的职责和任务，确保应急工作有条不紊地开展。</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任务分配：应急指挥小组根据预先制定的应急方案，合理分解任务并下达。安排应急执行小组迅速赶赴受影响的网络和系统现场，负责现场应急处理工作，包括初步判断故障范围和影响程度、采取紧急措施防止问题恶化等；要求应急保障小组提供专业技术支持，协调各类物资保障，积极联系外部资源，为应急执行小组提供有力支撑。</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应急处理：应急执行小组到达现场后，立即关闭可能受影响的非关键服务，防止风险进一步扩散。随后，对网络和系统进行全面细致的检查，确定操作不当的具体行为和造成的损害。应急保障小组安排技术专家远程或现场协助应急执行小组，对受损的网络配置、系统参数进行修复。在修复过程中，技术专家与应急执行小组成员紧密配合，逐步恢复网络和系统的可用性，并对修复后的系统进行初步测试，确保系统恢复正常运行。</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舆情管理与沟通：应急执行小组安排专人密切关注事件舆情发展情况，收集各方反馈信息，及时向应急指挥小组汇报。应急指挥小组负责与邮储银行保持密切沟通，将事件处置进展及时反馈给邮储银行，避免事件舆情对邮储银行客户造成声誉等方面的不良影响，维护邮储银行的良好形象。</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6</w:t>
      </w:r>
      <w:r>
        <w:rPr>
          <w:rFonts w:ascii="仿宋_GB2312" w:hAnsi="仿宋_GB2312" w:cs="仿宋_GB2312" w:hint="eastAsia" w:eastAsia="仿宋_GB2312"/>
          <w:iCs/>
          <w:kern w:val="0"/>
          <w:sz w:val="30"/>
          <w:szCs w:val="30"/>
        </w:rPr>
        <w:t>）自查与整改：事件处理完成后，应急执行小组制定详细的服务提供商内部自查方案，对操作流程、人员培训等方面进行全面深入的自查。自查结束后，将自查结果上报应急指挥小组，经应急指挥小组审核通过后，通报给邮储银行相关项目组。应急指挥小组牵头制定针对服务提供商的信息安全整改方案，明确整改目标、具体措施、责任部门和整改期限，汇报给邮储银行相关项目组并监督整改工作的实施，确保类似问题不再发生。</w:t>
      </w:r>
    </w:p>
    <w:p>
      <w:pPr>
        <w:pStyle w:val="2"/>
        <w:numPr>
          <w:ilvl w:val="0"/>
          <w:numId w:val="4"/>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应急措施：</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系统恢复：应急执行小组在应急保障小组技术专家的指导下，依据系统备份数据和网络配置文件，对受损的网络和系统进行恢复操作。在恢复过程中，严格按照技术规范进行操作，对关键数据进行多次验证，确保数据的完整性和准确性。恢复完成后，对系统进行全面测试，包括功能测试、性能测试和安全测试，确保系统恢复正常运行且满足业务需求。</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操作规范培训：组织服务提供商相关操作人员参加网络和系统操作规范培训，邀请行业内资深专家进行授课。培训内容涵盖正确的操作流程、常见错误及应对方法、安全操作注意事项等。培训结束后，对应操作人员进行严格考核，确保其熟练掌握正确的操作流程和规范。同时，建立操作规范考核长效机制，定期对操作人员进行考核，不断强化其操作规范意识，避免类似操作不当问题再次发生。</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建立监督机制：在服务提供商内部建立完善的操作监督机制，安排专人负责对日常操作进行实时监控和定期审查。制定详细的操作日志规范，要求操作人员详细记录每一步操作的时间、目的、操作内容及结果等信息，便于后续追溯和审查。利用技术手段建立操作异常预警机制，一旦发现异常操作行为，系统立即发出警报并通知相关管理人员，及时进行处理，防范安全风险。</w:t>
      </w:r>
    </w:p>
    <w:p>
      <w:pPr>
        <w:pStyle w:val="Normal"/>
        <w:spacing w:lineRule="exact" w:line="600"/>
        <w:ind w:firstLineChars="200" w:startChars="0" w:start="0" w:endChars="0" w:end="0"/>
        <w:jc w:val="start"/>
        <w:rPr>
          <w:rFonts w:ascii="仿宋_GB2312" w:hAnsi="仿宋_GB2312" w:eastAsia="仿宋_GB2312" w:cs="仿宋_GB2312" w:hint="eastAsia"/>
          <w:bCs/>
          <w:iCs/>
          <w:kern w:val="0"/>
          <w:sz w:val="30"/>
          <w:szCs w:val="30"/>
        </w:rPr>
      </w:pPr>
      <w:r>
        <w:rPr>
          <w:rFonts w:ascii="仿宋_GB2312" w:hAnsi="仿宋_GB2312" w:cs="仿宋_GB2312" w:hint="eastAsia" w:eastAsia="仿宋_GB2312"/>
          <w:bCs/>
          <w:iCs/>
          <w:kern w:val="0"/>
          <w:sz w:val="30"/>
          <w:szCs w:val="30"/>
        </w:rPr>
        <w:t>场景二：安全管理不到位导致数据泄露</w:t>
      </w:r>
    </w:p>
    <w:p>
      <w:pPr>
        <w:pStyle w:val="2"/>
        <w:numPr>
          <w:ilvl w:val="0"/>
          <w:numId w:val="3"/>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应急处置流程：</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信息报告与通报：新晨科技内部发现因安全管理不到位导致数据泄露事件后，发现问题的人员应迅速向应急执行小组报告。应急执行小组核实情况后，第一时间将事件报告至邮储银行相关项目组，为邮储银行提供必要的应急和灾备资源保障，提供应急响应和恢复级别为最高级，并通报给应急指挥小组和应急保障小组，同时启动应急响应机制，确保各方迅速行动起来并及时反馈事件处置结果。</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启动应急：应急指挥小组接到报告后，立即召开紧急会议，对事件进行全面评估，判定该事件为一级事件，启动一级应急处理流程。成立专门的数据泄露应急处理小组，由应急指挥小组副组长担任组长，负责统筹协调各方面资源进行应急处理。明确各应急小组在数据泄露应急处理过程中的职责，确保分工明确、协同高效。</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任务分配：应急指挥小组根据应急方案，将任务合理分配给各小组。应急执行小组负责对数据泄露现场进行封锁和保护，防止数据进一步泄露；对泄露数据的源头进行排查，确定泄露的途径和范围。应急保障小组负责提供专业技术支持，协助应急执行小组进行数据追踪和溯源；调配各类应急物资，确保应急处理工作的物资需求。</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应急处理：应急执行小组迅速对数据泄露的源头进行全面排查，确定泄露的途径和范围。如果是系统漏洞导致的数据泄露，应急保障小组的技术人员立即对系统进行修复，并采取临时防护措施，如限制网络访问、关闭相关端口等，防止数据进一步泄露。同时，对泄露的数据进行评估，判断数据的敏感性和重要性。对于涉及客户隐私和重要业务的数据，及时通知邮储银行采取相应的措施，如客户信息保护、业务调整等，降低数据泄露对邮储银行和客户的影响。</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舆情管理与沟通：应急执行小组安排专人密切关注舆情动态，及时收集和整理相关信息，向应急指挥小组汇报。应急指挥小组负责及时发布准确的信息，回应公众关切，避免不实信息传播对邮储银行造成声誉损害。定期向邮储银行相关项目组汇报事件处理进展情况，保持沟通渠道畅通，让邮储银行随时了解事件处理的最新情况。</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6</w:t>
      </w:r>
      <w:r>
        <w:rPr>
          <w:rFonts w:ascii="仿宋_GB2312" w:hAnsi="仿宋_GB2312" w:cs="仿宋_GB2312" w:hint="eastAsia" w:eastAsia="仿宋_GB2312"/>
          <w:iCs/>
          <w:kern w:val="0"/>
          <w:sz w:val="30"/>
          <w:szCs w:val="30"/>
        </w:rPr>
        <w:t>）自查与整改：事件处理结束后，应急执行小组和应急保障小组共同制定信息安全自查方案，对公司的安全管理制度、流程和技术措施进行全面审查。自查结束后，将自查结果上报应急指挥小组，经应急指挥小组审核通过后，通报给邮储银行相关项目组。应急指挥小组根据自查结果，制定详细的信息安全整改方案，包括完善安全管理制度、加强人员安全培训、升级安全技术防护措施等内容，确保类似事件不再发生。同时，加强对整改工作的监督和检查，确保整改措施落实到位。</w:t>
      </w:r>
    </w:p>
    <w:p>
      <w:pPr>
        <w:pStyle w:val="2"/>
        <w:numPr>
          <w:ilvl w:val="0"/>
          <w:numId w:val="3"/>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应急措施：</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数据恢复与备份：应急保障小组利用数据备份系统，对泄露前的关键数据进行恢复操作。在恢复过程中，对数据进行完整性和准确性校验，确保恢复的数据可用。同时，加强数据备份管理，增加备份频率，采用异地多副本存储方式，提高数据的安全性和可靠性，防止因数据丢失或损坏给业务带来严重影响。</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安全加固：应急保障小组对公司的信息系统进行全面安全加固，修复存在的安全漏洞，升级安全防护软件和设备。加强网络访问控制，设置严格的用户权限管理，对敏感数据进行加密存储和传输。定期进行安全漏洞扫描和风险评估，及时发现和解决潜在的安全问题，提高信息系统的整体安全性。</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安全管理强化：完善安全管理制度，明确各部门和人员在信息安全管理中的职责，建立健全信息安全责任体系。加强安全培训，针对不同岗位的人员制定个性化的培训内容，提高员工的安全意识和操作技能。定期组织安全演练，模拟各种数据泄露场景，让员工熟悉应急处理流程，确保在面对安全事件时能够迅速响应和正确处理。建立安全事件举报机制，鼓励员工及时发现和报告安全隐患，形成全员参与的信息安全管理氛围。</w:t>
      </w:r>
    </w:p>
    <w:p>
      <w:pPr>
        <w:pStyle w:val="Normal"/>
        <w:spacing w:lineRule="exact" w:line="600"/>
        <w:ind w:firstLineChars="200" w:startChars="0" w:start="0" w:endChars="0" w:end="0"/>
        <w:jc w:val="start"/>
        <w:rPr>
          <w:rFonts w:ascii="仿宋_GB2312" w:hAnsi="仿宋_GB2312" w:eastAsia="仿宋_GB2312" w:cs="仿宋_GB2312" w:hint="eastAsia"/>
          <w:bCs/>
          <w:iCs/>
          <w:kern w:val="0"/>
          <w:sz w:val="30"/>
          <w:szCs w:val="30"/>
        </w:rPr>
      </w:pPr>
      <w:r>
        <w:rPr>
          <w:rFonts w:ascii="仿宋_GB2312" w:hAnsi="仿宋_GB2312" w:cs="仿宋_GB2312" w:hint="eastAsia" w:eastAsia="仿宋_GB2312"/>
          <w:bCs/>
          <w:iCs/>
          <w:kern w:val="0"/>
          <w:sz w:val="30"/>
          <w:szCs w:val="30"/>
        </w:rPr>
        <w:t>场景三：信息系统存在漏洞导致数据丢失或篡改</w:t>
      </w:r>
    </w:p>
    <w:p>
      <w:pPr>
        <w:pStyle w:val="2"/>
        <w:numPr>
          <w:ilvl w:val="0"/>
          <w:numId w:val="5"/>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应急处置流程：</w:t>
      </w:r>
    </w:p>
    <w:p>
      <w:pPr>
        <w:pStyle w:val="Normal"/>
        <w:spacing w:lineRule="exact" w:line="600"/>
        <w:ind w:firstLineChars="200" w:startChars="0" w:start="0" w:endChars="0" w:end="0"/>
        <w:jc w:val="start"/>
        <w:rPr>
          <w:rFonts w:ascii="仿宋_GB2312" w:hAnsi="仿宋_GB2312" w:eastAsia="仿宋_GB2312" w:cs="仿宋_GB2312" w:hint="eastAsia"/>
          <w:iCs/>
          <w:kern w:val="0"/>
          <w:sz w:val="30"/>
          <w:szCs w:val="30"/>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信息报告与通报：信息系统运维人员在发现系统存在漏洞并导致数据丢失或篡改后，应立即向应急执行小组报告。应急执行小组核实情况后，第一时间将事件报告至邮储银行相关项目组，为邮储银行提供必要的应急和灾备资源保障，提供应急响应和恢复级别为最高级，并通报给应急指挥小组和应急保障小组，确保各方及时掌握事件信息，为应急处理做好准备并及时反馈事件处置结果。</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启动应急：应急指挥小组接到报告后，立即启动应急流程，对事件进行评估，判定该事件为一级事件，按照一级事件应急处理流程执行。通知各应急小组迅速开展工作，明确各小组的任务和职责，确保应急处理工作有序推进。</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任务分配：应急指挥小组根据应急方案，将任务分解下达。应急执行小组负责对受影响的信息系统进行紧急处理，包括停止相关系统服务、备份剩余数据等，防止数据进一步丢失或被篡改；应急保障小组负责提供技术支持，组织专家对漏洞进行分析和修复。</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4</w:t>
      </w:r>
      <w:r>
        <w:rPr>
          <w:rFonts w:ascii="仿宋_GB2312" w:hAnsi="仿宋_GB2312" w:cs="仿宋_GB2312" w:hint="eastAsia" w:eastAsia="仿宋_GB2312"/>
          <w:iCs/>
          <w:kern w:val="0"/>
          <w:sz w:val="30"/>
          <w:szCs w:val="30"/>
        </w:rPr>
        <w:t>）应急处理：应急执行小组在保障数据安全的前提下，对信息系统进行全面检查，确定漏洞的具体位置和影响范围。应急保障小组的技术专家根据漏洞情况，制定修复方案并迅速实施。在修复漏洞的同时，利用数据备份尝试恢复丢失的数据，并对被篡改的数据进行核实和修正。修复完成后，对系统进行全面测试，包括功能测试、性能测试和安全测试，确保系统恢复正常运行且数据完整准确。</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5</w:t>
      </w:r>
      <w:r>
        <w:rPr>
          <w:rFonts w:ascii="仿宋_GB2312" w:hAnsi="仿宋_GB2312" w:cs="仿宋_GB2312" w:hint="eastAsia" w:eastAsia="仿宋_GB2312"/>
          <w:iCs/>
          <w:kern w:val="0"/>
          <w:sz w:val="30"/>
          <w:szCs w:val="30"/>
        </w:rPr>
        <w:t>）舆情管理与沟通：应急执行小组安排专人密切关注舆情发展，及时收集和整理相关信息，向应急指挥小组汇报。应急指挥小组负责及时向邮储银行和公众发布准确信息，避免因舆情发酵对邮储银行造成不良影响。定期向邮储银行相关项目组汇报事件处置进展情况，让邮储银行及时了解处理情况，增强其对新晨科技应急处理工作的信心。</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6</w:t>
      </w:r>
      <w:r>
        <w:rPr>
          <w:rFonts w:ascii="仿宋_GB2312" w:hAnsi="仿宋_GB2312" w:cs="仿宋_GB2312" w:hint="eastAsia" w:eastAsia="仿宋_GB2312"/>
          <w:iCs/>
          <w:kern w:val="0"/>
          <w:sz w:val="30"/>
          <w:szCs w:val="30"/>
        </w:rPr>
        <w:t>）自查与整改：事件处理完成后，应急执行小组和应急保障小组联合制定信息系统自查方案，对系统的设计、开发、运维等环节进行全面审查。将自查结果上报应急指挥小组，经审核后通报给邮储银行相关项目组。应急指挥小组根据自查结果，制定信息系统整改方案，包括完善系统开发规范、加强系统测试、建立漏洞监测和修复机制等，防止类似漏洞再次出现。同时，加强对整改工作的监督和检查，确保整改措施落实到位。</w:t>
      </w:r>
    </w:p>
    <w:p>
      <w:pPr>
        <w:pStyle w:val="2"/>
        <w:numPr>
          <w:ilvl w:val="0"/>
          <w:numId w:val="5"/>
        </w:numPr>
        <w:tabs>
          <w:tab w:val="clear" w:pos="420"/>
          <w:tab w:val="left" w:pos="312" w:leader="none"/>
        </w:tabs>
        <w:spacing w:lineRule="exact" w:line="600" w:before="0" w:after="0"/>
        <w:ind w:firstLineChars="0" w:firstLine="0" w:startChars="0" w:start="0" w:endChars="0" w:end="0"/>
        <w:rPr>
          <w:rFonts w:ascii="仿宋_GB2312" w:hAnsi="仿宋_GB2312" w:eastAsia="仿宋_GB2312" w:cs="仿宋_GB2312" w:hint="eastAsia"/>
          <w:iCs/>
          <w:color w:val="000000"/>
          <w:kern w:val="0"/>
          <w:sz w:val="30"/>
          <w:szCs w:val="30"/>
        </w:rPr>
      </w:pPr>
      <w:r>
        <w:rPr>
          <w:rFonts w:ascii="仿宋_GB2312" w:hAnsi="仿宋_GB2312" w:cs="仿宋_GB2312" w:hint="eastAsia" w:eastAsia="仿宋_GB2312"/>
          <w:iCs/>
          <w:color w:val="000000"/>
          <w:kern w:val="0"/>
          <w:sz w:val="30"/>
          <w:szCs w:val="30"/>
        </w:rPr>
        <w:t>应急措施：</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1</w:t>
      </w:r>
      <w:r>
        <w:rPr>
          <w:rFonts w:ascii="仿宋_GB2312" w:hAnsi="仿宋_GB2312" w:cs="仿宋_GB2312" w:hint="eastAsia" w:eastAsia="仿宋_GB2312"/>
          <w:iCs/>
          <w:kern w:val="0"/>
          <w:sz w:val="30"/>
          <w:szCs w:val="30"/>
        </w:rPr>
        <w:t>）漏洞修复与系统升级：应急保障小组组织技术力量对发现的漏洞进行修复，并对信息系统进行全面升级，确保系统的安全性和稳定性。在修复和升级过程中，对系统的关键功能和数据进行备份，防止操作失误导致数据丢失或损坏。修复完成后，进行严格的系统测试，确保漏洞得到有效修复，系统能够正常运行。</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2</w:t>
      </w:r>
      <w:r>
        <w:rPr>
          <w:rFonts w:ascii="仿宋_GB2312" w:hAnsi="仿宋_GB2312" w:cs="仿宋_GB2312" w:hint="eastAsia" w:eastAsia="仿宋_GB2312"/>
          <w:iCs/>
          <w:kern w:val="0"/>
          <w:sz w:val="30"/>
          <w:szCs w:val="30"/>
        </w:rPr>
        <w:t>）数据验证与恢复：对恢复的数据进行全面验证，确保数据的准确性和完整性。对于无法完全恢复的数据，根据业务需求和数据重要性，制定相应的解决方案，如人工补录、数据重建等。同时，加强数据管理，建立数据质量监控机制，定期对数据进行检查和维护。</w:t>
      </w:r>
    </w:p>
    <w:p>
      <w:pPr>
        <w:pStyle w:val="Normal"/>
        <w:spacing w:lineRule="exact" w:line="600"/>
        <w:ind w:firstLineChars="200" w:startChars="0" w:start="0" w:endChars="0" w:end="0"/>
        <w:jc w:val="start"/>
        <w:rPr/>
      </w:pPr>
      <w:r>
        <w:rPr>
          <w:rFonts w:ascii="仿宋_GB2312" w:hAnsi="仿宋_GB2312" w:cs="仿宋_GB2312" w:hint="eastAsia" w:eastAsia="仿宋_GB2312"/>
          <w:iCs/>
          <w:kern w:val="0"/>
          <w:sz w:val="30"/>
          <w:szCs w:val="30"/>
        </w:rPr>
        <w:t>（</w:t>
      </w:r>
      <w:r>
        <w:rPr>
          <w:rFonts w:eastAsia="仿宋_GB2312" w:cs="仿宋_GB2312" w:hint="eastAsia" w:ascii="仿宋_GB2312" w:hAnsi="仿宋_GB2312"/>
          <w:iCs/>
          <w:kern w:val="0"/>
          <w:sz w:val="30"/>
          <w:szCs w:val="30"/>
        </w:rPr>
        <w:t>3</w:t>
      </w:r>
      <w:r>
        <w:rPr>
          <w:rFonts w:ascii="仿宋_GB2312" w:hAnsi="仿宋_GB2312" w:cs="仿宋_GB2312" w:hint="eastAsia" w:eastAsia="仿宋_GB2312"/>
          <w:iCs/>
          <w:kern w:val="0"/>
          <w:sz w:val="30"/>
          <w:szCs w:val="30"/>
        </w:rPr>
        <w:t>）安全培训与意识提升：组织信息系统开发、运维和使用人员参加安全培训，重点培训漏洞防范、数据保护等方面的知识和技能。通过案例分析、安全讲座等形式，提高员工的安全意识，使其认识到信息安全的重要性，掌握基本的安全操作规范，减少因人为因素导致的安全问题。</w:t>
      </w:r>
    </w:p>
    <w:p>
      <w:pPr>
        <w:pStyle w:val="2"/>
        <w:spacing w:lineRule="exact" w:line="600" w:before="0" w:after="0"/>
        <w:ind w:startChars="0" w:start="0" w:endChars="0" w:end="0"/>
        <w:rPr>
          <w:rFonts w:ascii="仿宋_GB2312" w:hAnsi="仿宋_GB2312" w:eastAsia="仿宋_GB2312" w:cs="仿宋_GB2312" w:hint="eastAsia"/>
          <w:iCs/>
          <w:color w:val="000000"/>
          <w:kern w:val="0"/>
          <w:sz w:val="30"/>
          <w:szCs w:val="30"/>
        </w:rPr>
      </w:pPr>
      <w:r>
        <w:rPr>
          <w:rFonts w:eastAsia="仿宋_GB2312" w:cs="仿宋_GB2312" w:hint="eastAsia" w:ascii="仿宋_GB2312" w:hAnsi="仿宋_GB2312"/>
          <w:iCs/>
          <w:color w:val="000000"/>
          <w:kern w:val="0"/>
          <w:sz w:val="30"/>
          <w:szCs w:val="30"/>
        </w:rPr>
      </w:r>
    </w:p>
    <w:p>
      <w:pPr>
        <w:pStyle w:val="Heading1"/>
        <w:spacing w:lineRule="exact" w:line="600" w:before="0" w:after="0"/>
        <w:ind w:firstLineChars="200" w:startChars="0" w:start="0" w:endChars="0" w:end="0"/>
        <w:rPr>
          <w:rFonts w:eastAsia="黑体;SimHei" w:cs="黑体;SimHei"/>
          <w:b w:val="false"/>
          <w:sz w:val="30"/>
          <w:szCs w:val="30"/>
        </w:rPr>
      </w:pPr>
      <w:r>
        <w:rPr>
          <w:rFonts w:cs="黑体;SimHei" w:hint="eastAsia" w:eastAsia="黑体;SimHei"/>
          <w:b w:val="false"/>
          <w:sz w:val="30"/>
          <w:szCs w:val="30"/>
        </w:rPr>
        <w:t>四、非驻场重要外包</w:t>
      </w:r>
    </w:p>
    <w:p>
      <w:pPr>
        <w:pStyle w:val="Normal"/>
        <w:tabs>
          <w:tab w:val="clear" w:pos="420"/>
          <w:tab w:val="left" w:pos="1080" w:leader="none"/>
        </w:tabs>
        <w:spacing w:lineRule="exact" w:line="600"/>
        <w:ind w:firstLine="600" w:end="0"/>
        <w:rPr>
          <w:rFonts w:ascii="仿宋_GB2312" w:hAnsi="仿宋_GB2312" w:eastAsia="仿宋_GB2312" w:cs="仿宋_GB2312" w:hint="eastAsia"/>
          <w:i/>
          <w:iCs/>
          <w:color w:val="0000FF"/>
          <w:sz w:val="30"/>
          <w:szCs w:val="30"/>
        </w:rPr>
      </w:pPr>
      <w:r>
        <w:rPr>
          <w:rFonts w:ascii="仿宋_GB2312" w:hAnsi="仿宋_GB2312" w:cs="仿宋_GB2312" w:hint="eastAsia" w:eastAsia="仿宋_GB2312"/>
          <w:iCs/>
          <w:sz w:val="30"/>
          <w:szCs w:val="30"/>
        </w:rPr>
        <w:t>不涉及。</w:t>
      </w:r>
    </w:p>
    <w:p>
      <w:pPr>
        <w:pStyle w:val="Heading1"/>
        <w:spacing w:lineRule="exact" w:line="600" w:before="0" w:after="0"/>
        <w:ind w:firstLineChars="200" w:startChars="0" w:start="0" w:endChars="0" w:end="0"/>
        <w:rPr>
          <w:rFonts w:ascii="仿宋_GB2312" w:hAnsi="仿宋_GB2312" w:eastAsia="仿宋_GB2312" w:cs="仿宋_GB2312" w:hint="eastAsia"/>
          <w:color w:val="0000FF"/>
          <w:kern w:val="0"/>
          <w:sz w:val="30"/>
          <w:szCs w:val="30"/>
        </w:rPr>
      </w:pPr>
      <w:r>
        <w:rPr>
          <w:rFonts w:cs="黑体;SimHei" w:hint="eastAsia" w:eastAsia="黑体;SimHei"/>
          <w:b w:val="false"/>
          <w:sz w:val="30"/>
          <w:szCs w:val="30"/>
        </w:rPr>
        <w:t>五、应急保障</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color w:val="000000"/>
          <w:kern w:val="0"/>
          <w:sz w:val="30"/>
          <w:szCs w:val="30"/>
        </w:rPr>
      </w:pPr>
      <w:r>
        <w:rPr>
          <w:rFonts w:ascii="仿宋_GB2312" w:hAnsi="仿宋_GB2312" w:cs="仿宋_GB2312" w:hint="eastAsia" w:eastAsia="仿宋_GB2312"/>
          <w:color w:val="000000"/>
          <w:kern w:val="0"/>
          <w:sz w:val="30"/>
          <w:szCs w:val="30"/>
        </w:rPr>
        <w:t>（一）人力资源保障</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通过各种应急管理及应急技术的培训和应急演练不断提高应急人员的业务素质、技术水平和应急处置能力，以保证在启动专项应急预案时，各岗位环节均有相关人员保障应急工作完成。</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为保证人员出现短缺时能尽快补充人员，并能保证公司的正常运行，确保公司可持续发展的长久保障，特制定应急计划。</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人力资源职责： 人力资源部负责应急计划的启动和组织</w:t>
      </w:r>
      <w:r>
        <w:rPr>
          <w:rFonts w:eastAsia="仿宋_GB2312" w:cs="仿宋_GB2312" w:hint="eastAsia" w:ascii="仿宋_GB2312" w:hAnsi="仿宋_GB2312"/>
          <w:iCs/>
          <w:sz w:val="30"/>
          <w:szCs w:val="30"/>
        </w:rPr>
        <w:t xml:space="preserve">; </w:t>
      </w:r>
      <w:r>
        <w:rPr>
          <w:rFonts w:ascii="仿宋_GB2312" w:hAnsi="仿宋_GB2312" w:cs="仿宋_GB2312" w:hint="eastAsia" w:eastAsia="仿宋_GB2312"/>
          <w:iCs/>
          <w:sz w:val="30"/>
          <w:szCs w:val="30"/>
        </w:rPr>
        <w:t>人力资源部招聘培训组负责岗位分析、招聘、培训工作</w:t>
      </w:r>
      <w:r>
        <w:rPr>
          <w:rFonts w:eastAsia="仿宋_GB2312" w:cs="仿宋_GB2312" w:hint="eastAsia" w:ascii="仿宋_GB2312" w:hAnsi="仿宋_GB2312"/>
          <w:iCs/>
          <w:sz w:val="30"/>
          <w:szCs w:val="30"/>
        </w:rPr>
        <w:t>;</w:t>
      </w:r>
      <w:r>
        <w:rPr>
          <w:rFonts w:ascii="仿宋_GB2312" w:hAnsi="仿宋_GB2312" w:cs="仿宋_GB2312" w:hint="eastAsia" w:eastAsia="仿宋_GB2312"/>
          <w:iCs/>
          <w:sz w:val="30"/>
          <w:szCs w:val="30"/>
        </w:rPr>
        <w:t>人力资源部人事基础组负责人员的绩效考评工作</w:t>
      </w:r>
      <w:r>
        <w:rPr>
          <w:rFonts w:eastAsia="仿宋_GB2312" w:cs="仿宋_GB2312" w:hint="eastAsia" w:ascii="仿宋_GB2312" w:hAnsi="仿宋_GB2312"/>
          <w:iCs/>
          <w:sz w:val="30"/>
          <w:szCs w:val="30"/>
        </w:rPr>
        <w:t>;</w:t>
      </w:r>
      <w:r>
        <w:rPr>
          <w:rFonts w:ascii="仿宋_GB2312" w:hAnsi="仿宋_GB2312" w:cs="仿宋_GB2312" w:hint="eastAsia" w:eastAsia="仿宋_GB2312"/>
          <w:iCs/>
          <w:sz w:val="30"/>
          <w:szCs w:val="30"/>
        </w:rPr>
        <w:t>用人部门负责人员需求及补充计划的提报</w:t>
      </w:r>
      <w:r>
        <w:rPr>
          <w:rFonts w:eastAsia="仿宋_GB2312" w:cs="仿宋_GB2312" w:hint="eastAsia" w:ascii="仿宋_GB2312" w:hAnsi="仿宋_GB2312"/>
          <w:iCs/>
          <w:sz w:val="30"/>
          <w:szCs w:val="30"/>
        </w:rPr>
        <w:t>;</w:t>
      </w:r>
      <w:r>
        <w:rPr>
          <w:rFonts w:ascii="仿宋_GB2312" w:hAnsi="仿宋_GB2312" w:cs="仿宋_GB2312" w:hint="eastAsia" w:eastAsia="仿宋_GB2312"/>
          <w:iCs/>
          <w:sz w:val="30"/>
          <w:szCs w:val="30"/>
        </w:rPr>
        <w:t>用人部门负责人员的盘点、储备及人员的落实情况，并提供人员的相关资料</w:t>
      </w:r>
      <w:r>
        <w:rPr>
          <w:rFonts w:eastAsia="仿宋_GB2312" w:cs="仿宋_GB2312" w:hint="eastAsia" w:ascii="仿宋_GB2312" w:hAnsi="仿宋_GB2312"/>
          <w:iCs/>
          <w:sz w:val="30"/>
          <w:szCs w:val="30"/>
        </w:rPr>
        <w:t>:</w:t>
      </w:r>
      <w:r>
        <w:rPr>
          <w:rFonts w:ascii="仿宋_GB2312" w:hAnsi="仿宋_GB2312" w:cs="仿宋_GB2312" w:hint="eastAsia" w:eastAsia="仿宋_GB2312"/>
          <w:iCs/>
          <w:sz w:val="30"/>
          <w:szCs w:val="30"/>
        </w:rPr>
        <w:t>用人部门负责人员绩效评估及各项技能培训</w:t>
      </w:r>
      <w:r>
        <w:rPr>
          <w:rFonts w:eastAsia="仿宋_GB2312" w:cs="仿宋_GB2312" w:hint="eastAsia" w:ascii="仿宋_GB2312" w:hAnsi="仿宋_GB2312"/>
          <w:iCs/>
          <w:sz w:val="30"/>
          <w:szCs w:val="30"/>
        </w:rPr>
        <w:t>;</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工作内容：建立人才需求系统。通过建立职位分析系统，</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对现有人员的盘点，分析人员的素质与数量是否与业务量相匹配，人才供给的内部开发及外部聘用比例。建立人员数据库，分析现有员工的技能，根据员工的实际情况、工作能力建立公司人员储备表，具体包括以前的经历、培训背景、技能证书、职业兴趣、主管的评价等内容。反映员工的竞争力，通过它可以判断哪些员工会被提升或调配。这样可以保证空缺的岗位有相应数量的员工来填补，而且有合适的人来填补。建立人员晋升方案，对各岗位的工作范围、每个关键职位的可能接替人选、接替人选目前绩效、提升潜力以及需要培训的内容，来决定公司重要职位空缺的人选。优先提拔培养内部人员，使人才有发展的平台。</w:t>
      </w:r>
    </w:p>
    <w:p>
      <w:pPr>
        <w:pStyle w:val="Normal"/>
        <w:tabs>
          <w:tab w:val="clear" w:pos="420"/>
          <w:tab w:val="left" w:pos="1080" w:leader="none"/>
        </w:tabs>
        <w:spacing w:lineRule="exact" w:line="600"/>
        <w:ind w:firstLine="600" w:end="0"/>
        <w:jc w:val="start"/>
        <w:rPr>
          <w:rFonts w:ascii="仿宋_GB2312" w:hAnsi="仿宋_GB2312" w:eastAsia="仿宋_GB2312" w:cs="仿宋_GB2312"/>
          <w:iCs/>
          <w:kern w:val="0"/>
          <w:sz w:val="30"/>
          <w:szCs w:val="30"/>
        </w:rPr>
      </w:pPr>
      <w:r>
        <w:rPr>
          <w:rFonts w:ascii="仿宋_GB2312" w:hAnsi="仿宋_GB2312" w:cs="仿宋_GB2312" w:hint="eastAsia" w:eastAsia="仿宋_GB2312"/>
          <w:iCs/>
          <w:sz w:val="30"/>
          <w:szCs w:val="30"/>
        </w:rPr>
        <w:t>建立培训开发系统，进行岗前培训、在职培训、工作技能培</w:t>
      </w:r>
      <w:r>
        <w:rPr>
          <w:rFonts w:ascii="仿宋_GB2312" w:hAnsi="仿宋_GB2312" w:cs="仿宋_GB2312" w:hint="eastAsia" w:eastAsia="仿宋_GB2312"/>
          <w:iCs/>
          <w:kern w:val="0"/>
          <w:sz w:val="30"/>
          <w:szCs w:val="30"/>
        </w:rPr>
        <w:t>训、岗位调配、工作丰富化培训，使人员胜任现在及未来的工作要求</w:t>
      </w:r>
      <w:r>
        <w:rPr>
          <w:rFonts w:eastAsia="仿宋_GB2312" w:cs="仿宋_GB2312" w:hint="eastAsia" w:ascii="仿宋_GB2312" w:hAnsi="仿宋_GB2312"/>
          <w:iCs/>
          <w:kern w:val="0"/>
          <w:sz w:val="30"/>
          <w:szCs w:val="30"/>
        </w:rPr>
        <w:t>;</w:t>
      </w:r>
      <w:r>
        <w:rPr>
          <w:rFonts w:ascii="仿宋_GB2312" w:hAnsi="仿宋_GB2312" w:cs="仿宋_GB2312" w:hint="eastAsia" w:eastAsia="仿宋_GB2312"/>
          <w:iCs/>
          <w:kern w:val="0"/>
          <w:sz w:val="30"/>
          <w:szCs w:val="30"/>
        </w:rPr>
        <w:t>同时，建立人员晋升通道，使员工看到努力的方向，提升其工作价值。通过绩效评估，可以提早发现优秀人才和不合格人员，从而可以确定合理的人员安排，对优秀人才选拔晋升，对绩效欠佳者及早培训，对不合格员工调岗或辞退。</w:t>
      </w:r>
    </w:p>
    <w:p>
      <w:pPr>
        <w:pStyle w:val="Normal"/>
        <w:tabs>
          <w:tab w:val="clear" w:pos="420"/>
          <w:tab w:val="left" w:pos="1080" w:leader="none"/>
        </w:tabs>
        <w:spacing w:lineRule="exact" w:line="600"/>
        <w:ind w:firstLine="600" w:end="0"/>
        <w:rPr>
          <w:rFonts w:ascii="仿宋_GB2312" w:hAnsi="仿宋_GB2312" w:eastAsia="仿宋_GB2312" w:cs="仿宋_GB2312" w:hint="eastAsia"/>
          <w:color w:val="000000"/>
          <w:sz w:val="30"/>
          <w:szCs w:val="30"/>
        </w:rPr>
      </w:pPr>
      <w:r>
        <w:rPr>
          <w:rFonts w:ascii="仿宋_GB2312" w:hAnsi="仿宋_GB2312" w:cs="仿宋_GB2312" w:hint="eastAsia" w:eastAsia="仿宋_GB2312"/>
          <w:iCs/>
          <w:kern w:val="0"/>
          <w:sz w:val="30"/>
          <w:szCs w:val="30"/>
        </w:rPr>
        <w:t>建立人员资质考核标准，对于一些在本岗位工作能力达不到的员工，可以依据公司目前的岗位需要和个人都额实际胜任能力进行调岗、进修，如果实在不能胜任本职位或者其它岗位，没有通过考核的员工，可以依据公司的相关规定进行辞退。建立人才预警系统，对流动性较大的关键岗位及早做好补充计划</w:t>
      </w:r>
      <w:r>
        <w:rPr>
          <w:rFonts w:eastAsia="仿宋_GB2312" w:cs="仿宋_GB2312" w:hint="eastAsia" w:ascii="仿宋_GB2312" w:hAnsi="仿宋_GB2312"/>
          <w:iCs/>
          <w:kern w:val="0"/>
          <w:sz w:val="30"/>
          <w:szCs w:val="30"/>
        </w:rPr>
        <w:t>;</w:t>
      </w:r>
      <w:r>
        <w:rPr>
          <w:rFonts w:ascii="仿宋_GB2312" w:hAnsi="仿宋_GB2312" w:cs="仿宋_GB2312" w:hint="eastAsia" w:eastAsia="仿宋_GB2312"/>
          <w:iCs/>
          <w:kern w:val="0"/>
          <w:sz w:val="30"/>
          <w:szCs w:val="30"/>
        </w:rPr>
        <w:t>针对关键岗位要进行业务分解</w:t>
      </w:r>
      <w:r>
        <w:rPr>
          <w:rFonts w:eastAsia="仿宋_GB2312" w:cs="仿宋_GB2312" w:hint="eastAsia" w:ascii="仿宋_GB2312" w:hAnsi="仿宋_GB2312"/>
          <w:iCs/>
          <w:kern w:val="0"/>
          <w:sz w:val="30"/>
          <w:szCs w:val="30"/>
        </w:rPr>
        <w:t>;</w:t>
      </w:r>
      <w:r>
        <w:rPr>
          <w:rFonts w:ascii="仿宋_GB2312" w:hAnsi="仿宋_GB2312" w:cs="仿宋_GB2312" w:hint="eastAsia" w:eastAsia="仿宋_GB2312"/>
          <w:iCs/>
          <w:kern w:val="0"/>
          <w:sz w:val="30"/>
          <w:szCs w:val="30"/>
        </w:rPr>
        <w:t>同时要建立后备人员，以避免人员流失尤其是关键人员的流失。根据职务分析，确定岗位需求的人数，并把未来的人才流入、晋升、辞职等流动率情况用图表显示出来，然后确定合适的人员补充。岗位人员应急分为“四步走”，即“事前预防、事发应对、事中处置、善后恢复”。对于办公室管理人员，我们通过建立长期的人员预警方式及时补充人员缺口。</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color w:val="000000"/>
          <w:kern w:val="0"/>
          <w:sz w:val="30"/>
          <w:szCs w:val="30"/>
        </w:rPr>
      </w:pPr>
      <w:r>
        <w:rPr>
          <w:rFonts w:ascii="仿宋_GB2312" w:hAnsi="仿宋_GB2312" w:cs="仿宋_GB2312" w:hint="eastAsia" w:eastAsia="仿宋_GB2312"/>
          <w:color w:val="000000"/>
          <w:kern w:val="0"/>
          <w:sz w:val="30"/>
          <w:szCs w:val="30"/>
        </w:rPr>
        <w:t>（二）通讯保障</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应急期间，指挥、通信联络和信息减缓的渠道应该得到保证，主要通信方式包括但不限于电话、手机、传真、电子邮件等，有关应急联系的手机应保持</w:t>
      </w:r>
      <w:r>
        <w:rPr>
          <w:rFonts w:eastAsia="仿宋_GB2312" w:cs="仿宋_GB2312" w:hint="eastAsia" w:ascii="仿宋_GB2312" w:hAnsi="仿宋_GB2312"/>
          <w:iCs/>
          <w:sz w:val="30"/>
          <w:szCs w:val="30"/>
        </w:rPr>
        <w:t>24</w:t>
      </w:r>
      <w:r>
        <w:rPr>
          <w:rFonts w:ascii="仿宋_GB2312" w:hAnsi="仿宋_GB2312" w:cs="仿宋_GB2312" w:hint="eastAsia" w:eastAsia="仿宋_GB2312"/>
          <w:iCs/>
          <w:sz w:val="30"/>
          <w:szCs w:val="30"/>
        </w:rPr>
        <w:t>小时开机状态。</w:t>
      </w:r>
    </w:p>
    <w:p>
      <w:pPr>
        <w:pStyle w:val="Normal"/>
        <w:tabs>
          <w:tab w:val="clear" w:pos="420"/>
          <w:tab w:val="left" w:pos="1080" w:leader="none"/>
        </w:tabs>
        <w:spacing w:lineRule="exact" w:line="600"/>
        <w:ind w:firstLine="600" w:end="0"/>
        <w:jc w:val="start"/>
        <w:rPr>
          <w:rFonts w:ascii="仿宋_GB2312" w:hAnsi="仿宋_GB2312" w:eastAsia="仿宋_GB2312" w:cs="仿宋_GB2312"/>
          <w:iCs/>
          <w:sz w:val="30"/>
          <w:szCs w:val="30"/>
        </w:rPr>
      </w:pPr>
      <w:r>
        <w:rPr>
          <w:rFonts w:ascii="仿宋_GB2312" w:hAnsi="仿宋_GB2312" w:cs="仿宋_GB2312" w:hint="eastAsia" w:eastAsia="仿宋_GB2312"/>
          <w:iCs/>
          <w:sz w:val="30"/>
          <w:szCs w:val="30"/>
        </w:rPr>
        <w:t>应急期间，需要按照规定的沟通路径在应急响应组织成员之间进行沟通，以保证通信渠道畅通，避免信息通道拥堵。</w:t>
      </w:r>
      <w:r>
        <w:rPr>
          <w:rFonts w:eastAsia="仿宋_GB2312" w:cs="仿宋_GB2312" w:hint="eastAsia" w:ascii="仿宋_GB2312" w:hAnsi="仿宋_GB2312"/>
          <w:iCs/>
          <w:sz w:val="30"/>
          <w:szCs w:val="30"/>
        </w:rPr>
        <w:br/>
      </w:r>
      <w:r>
        <w:rPr>
          <w:rFonts w:ascii="仿宋_GB2312" w:hAnsi="仿宋_GB2312" w:cs="仿宋_GB2312" w:hint="eastAsia" w:eastAsia="仿宋_GB2312"/>
          <w:iCs/>
          <w:sz w:val="30"/>
          <w:szCs w:val="30"/>
        </w:rPr>
        <w:t>应急期间，保证指挥、通信联络和信息减缓的渠道会得到保障，主要通信方式包括但不限于电话、手机、传真、电子邮件等，有关应急联系的手机应保持</w:t>
      </w:r>
      <w:r>
        <w:rPr>
          <w:rFonts w:eastAsia="仿宋_GB2312" w:cs="仿宋_GB2312" w:hint="eastAsia" w:ascii="仿宋_GB2312" w:hAnsi="仿宋_GB2312"/>
          <w:iCs/>
          <w:sz w:val="30"/>
          <w:szCs w:val="30"/>
        </w:rPr>
        <w:t>24</w:t>
      </w:r>
      <w:r>
        <w:rPr>
          <w:rFonts w:ascii="仿宋_GB2312" w:hAnsi="仿宋_GB2312" w:cs="仿宋_GB2312" w:hint="eastAsia" w:eastAsia="仿宋_GB2312"/>
          <w:iCs/>
          <w:sz w:val="30"/>
          <w:szCs w:val="30"/>
        </w:rPr>
        <w:t>小时开机状态、确保可以随时保持沟通。</w:t>
      </w:r>
    </w:p>
    <w:p>
      <w:pPr>
        <w:pStyle w:val="index61"/>
        <w:ind w:firstLineChars="200" w:startChars="0" w:start="0" w:endChars="0" w:end="0"/>
        <w:rPr>
          <w:rFonts w:ascii="仿宋_GB2312" w:hAnsi="仿宋_GB2312" w:eastAsia="仿宋_GB2312" w:cs="仿宋_GB2312" w:hint="eastAsia"/>
          <w:i/>
          <w:iCs/>
          <w:color w:val="0000FF"/>
          <w:sz w:val="30"/>
          <w:szCs w:val="30"/>
        </w:rPr>
      </w:pPr>
      <w:r>
        <w:rPr>
          <w:rFonts w:ascii="仿宋_GB2312" w:hAnsi="仿宋_GB2312" w:cs="仿宋_GB2312" w:hint="eastAsia" w:eastAsia="仿宋_GB2312"/>
          <w:iCs/>
          <w:sz w:val="30"/>
          <w:szCs w:val="30"/>
        </w:rPr>
        <w:t>应急期间，需要按照规定的沟通路径在应急响应组织成员之间进行沟通，以保证通信渠道畅通，避免信息通道拥堵。</w:t>
      </w:r>
    </w:p>
    <w:p>
      <w:pPr>
        <w:pStyle w:val="2"/>
        <w:numPr>
          <w:ilvl w:val="0"/>
          <w:numId w:val="0"/>
        </w:numPr>
        <w:spacing w:lineRule="exact" w:line="600" w:before="0" w:after="0"/>
        <w:ind w:firstLineChars="200" w:startChars="0" w:start="0" w:endChars="0" w:end="0"/>
        <w:outlineLvl w:val="1"/>
        <w:rPr>
          <w:rFonts w:ascii="仿宋_GB2312" w:hAnsi="仿宋_GB2312" w:eastAsia="仿宋_GB2312" w:cs="仿宋_GB2312" w:hint="eastAsia"/>
          <w:color w:val="000000"/>
          <w:kern w:val="0"/>
          <w:sz w:val="30"/>
          <w:szCs w:val="30"/>
        </w:rPr>
      </w:pPr>
      <w:r>
        <w:rPr>
          <w:rFonts w:ascii="仿宋_GB2312" w:hAnsi="仿宋_GB2312" w:cs="仿宋_GB2312" w:hint="eastAsia" w:eastAsia="仿宋_GB2312"/>
          <w:color w:val="000000"/>
          <w:kern w:val="0"/>
          <w:sz w:val="30"/>
          <w:szCs w:val="30"/>
        </w:rPr>
        <w:t>（三）专项应急预案保障</w:t>
      </w:r>
    </w:p>
    <w:p>
      <w:pPr>
        <w:pStyle w:val="Normal"/>
        <w:tabs>
          <w:tab w:val="clear" w:pos="420"/>
          <w:tab w:val="left" w:pos="1080" w:leader="none"/>
        </w:tabs>
        <w:spacing w:lineRule="exact" w:line="600"/>
        <w:ind w:firstLine="600" w:end="0"/>
        <w:rPr>
          <w:rFonts w:ascii="仿宋_GB2312" w:hAnsi="仿宋_GB2312" w:eastAsia="仿宋_GB2312" w:cs="仿宋_GB2312" w:hint="eastAsia"/>
          <w:iCs/>
          <w:sz w:val="30"/>
          <w:szCs w:val="30"/>
        </w:rPr>
      </w:pPr>
      <w:r>
        <w:rPr>
          <w:rFonts w:ascii="仿宋_GB2312" w:hAnsi="仿宋_GB2312" w:cs="仿宋_GB2312" w:hint="eastAsia" w:eastAsia="仿宋_GB2312"/>
          <w:iCs/>
          <w:sz w:val="30"/>
          <w:szCs w:val="30"/>
        </w:rPr>
        <w:t>本应急预案应定期更新并在相关部门留存，确保出现突发事件时能够及时查阅。</w:t>
      </w:r>
    </w:p>
    <w:p>
      <w:pPr>
        <w:pStyle w:val="Heading2"/>
      </w:pPr>
      <w:r>
        <w:t>附录A：应急演练示意图</w:t>
      </w:r>
    </w:p>
    <w:p>
      <w:r>
        <w:drawing>
          <wp:inline xmlns:a="http://schemas.openxmlformats.org/drawingml/2006/main">
            <wp:extent cx="4572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2286000"/>
                    </a:xfrm>
                    <a:prstGeom prst="rect"/>
                  </pic:spPr>
                </pic:pic>
              </a:graphicData>
            </a:graphic>
          </wp:inline>
        </w:drawing>
      </w:r>
    </w:p>
    <w:p>
      <w:r>
        <w:t>上图展示了应急演练的三个阶段示意图。</w:t>
      </w:r>
    </w:p>
    <w:p>
      <w:pPr>
        <w:pStyle w:val="Heading2"/>
      </w:pPr>
      <w:r>
        <w:t>附录B：应急物资清单</w:t>
      </w:r>
    </w:p>
    <w:tbl>
      <w:tblPr>
        <w:tblW w:type="auto" w:w="0"/>
        <w:tblLook w:firstColumn="1" w:firstRow="1" w:lastColumn="0" w:lastRow="0" w:noHBand="0" w:noVBand="1" w:val="04A0"/>
      </w:tblPr>
      <w:tblGrid>
        <w:gridCol w:w="2769"/>
        <w:gridCol w:w="2769"/>
        <w:gridCol w:w="2769"/>
      </w:tblGrid>
      <w:tr>
        <w:tc>
          <w:tcPr>
            <w:tcW w:type="dxa" w:w="2769"/>
          </w:tcPr>
          <w:p>
            <w:r>
              <w:t>物资名称</w:t>
            </w:r>
          </w:p>
        </w:tc>
        <w:tc>
          <w:tcPr>
            <w:tcW w:type="dxa" w:w="2769"/>
          </w:tcPr>
          <w:p>
            <w:r>
              <w:t>数量</w:t>
            </w:r>
          </w:p>
        </w:tc>
        <w:tc>
          <w:tcPr>
            <w:tcW w:type="dxa" w:w="2769"/>
          </w:tcPr>
          <w:p>
            <w:r>
              <w:t>存放位置</w:t>
            </w:r>
          </w:p>
        </w:tc>
      </w:tr>
      <w:tr>
        <w:tc>
          <w:tcPr>
            <w:tcW w:type="dxa" w:w="2769"/>
          </w:tcPr>
          <w:p>
            <w:r>
              <w:t>灭火器</w:t>
            </w:r>
          </w:p>
        </w:tc>
        <w:tc>
          <w:tcPr>
            <w:tcW w:type="dxa" w:w="2769"/>
          </w:tcPr>
          <w:p>
            <w:r>
              <w:t>50</w:t>
            </w:r>
          </w:p>
        </w:tc>
        <w:tc>
          <w:tcPr>
            <w:tcW w:type="dxa" w:w="2769"/>
          </w:tcPr>
          <w:p>
            <w:r>
              <w:t>各楼层消防通道</w:t>
            </w:r>
          </w:p>
        </w:tc>
      </w:tr>
      <w:tr>
        <w:tc>
          <w:tcPr>
            <w:tcW w:type="dxa" w:w="2769"/>
          </w:tcPr>
          <w:p>
            <w:r>
              <w:t>急救箱</w:t>
            </w:r>
          </w:p>
        </w:tc>
        <w:tc>
          <w:tcPr>
            <w:tcW w:type="dxa" w:w="2769"/>
          </w:tcPr>
          <w:p>
            <w:r>
              <w:t>20</w:t>
            </w:r>
          </w:p>
        </w:tc>
        <w:tc>
          <w:tcPr>
            <w:tcW w:type="dxa" w:w="2769"/>
          </w:tcPr>
          <w:p>
            <w:r>
              <w:t>医务室</w:t>
            </w:r>
          </w:p>
        </w:tc>
      </w:tr>
      <w:tr>
        <w:tc>
          <w:tcPr>
            <w:tcW w:type="dxa" w:w="2769"/>
          </w:tcPr>
          <w:p>
            <w:r>
              <w:t>应急照明灯</w:t>
            </w:r>
          </w:p>
        </w:tc>
        <w:tc>
          <w:tcPr>
            <w:tcW w:type="dxa" w:w="2769"/>
          </w:tcPr>
          <w:p>
            <w:r>
              <w:t>30</w:t>
            </w:r>
          </w:p>
        </w:tc>
        <w:tc>
          <w:tcPr>
            <w:tcW w:type="dxa" w:w="2769"/>
          </w:tcPr>
          <w:p>
            <w:r>
              <w:t>走廊及楼梯间</w:t>
            </w:r>
          </w:p>
        </w:tc>
      </w:tr>
    </w:tbl>
    <w:p>
      <w:pPr>
        <w:pStyle w:val="Heading2"/>
      </w:pPr>
      <w:r>
        <w:t>附录C：人员分工表（复杂表格）</w:t>
      </w:r>
    </w:p>
    <w:tbl>
      <w:tblPr>
        <w:tblW w:type="auto" w:w="0"/>
        <w:tblLook w:firstColumn="1" w:firstRow="1" w:lastColumn="0" w:lastRow="0" w:noHBand="0" w:noVBand="1" w:val="04A0"/>
      </w:tblPr>
      <w:tblGrid>
        <w:gridCol w:w="2076"/>
        <w:gridCol w:w="2076"/>
        <w:gridCol w:w="2076"/>
        <w:gridCol w:w="2076"/>
      </w:tblGrid>
      <w:tr>
        <w:tc>
          <w:tcPr>
            <w:tcW w:type="dxa" w:w="8304"/>
            <w:gridSpan w:val="4"/>
          </w:tcPr>
          <w:p>
            <w:r>
              <w:t>应急指挥部人员分工</w:t>
            </w:r>
          </w:p>
        </w:tc>
      </w:tr>
      <w:tr>
        <w:tc>
          <w:tcPr>
            <w:tcW w:type="dxa" w:w="2076"/>
            <w:vMerge w:val="restart"/>
          </w:tcPr>
          <w:p>
            <w:r>
              <w:t>指挥组</w:t>
            </w:r>
          </w:p>
        </w:tc>
        <w:tc>
          <w:tcPr>
            <w:tcW w:type="dxa" w:w="2076"/>
          </w:tcPr>
          <w:p>
            <w:r>
              <w:t>总指挥</w:t>
            </w:r>
          </w:p>
        </w:tc>
        <w:tc>
          <w:tcPr>
            <w:tcW w:type="dxa" w:w="2076"/>
          </w:tcPr>
          <w:p>
            <w:r>
              <w:t>张三</w:t>
            </w:r>
          </w:p>
        </w:tc>
        <w:tc>
          <w:tcPr>
            <w:tcW w:type="dxa" w:w="2076"/>
          </w:tcPr>
          <w:p>
            <w:r>
              <w:t>13900001111</w:t>
            </w:r>
          </w:p>
        </w:tc>
      </w:tr>
      <w:tr>
        <w:tc>
          <w:tcPr>
            <w:tcW w:type="dxa" w:w="2076"/>
            <w:vMerge/>
          </w:tcPr>
          <w:p/>
        </w:tc>
        <w:tc>
          <w:tcPr>
            <w:tcW w:type="dxa" w:w="2076"/>
          </w:tcPr>
          <w:p>
            <w:r>
              <w:t>副总指挥</w:t>
            </w:r>
          </w:p>
        </w:tc>
        <w:tc>
          <w:tcPr>
            <w:tcW w:type="dxa" w:w="2076"/>
          </w:tcPr>
          <w:p>
            <w:r>
              <w:t>李四</w:t>
            </w:r>
          </w:p>
        </w:tc>
        <w:tc>
          <w:tcPr>
            <w:tcW w:type="dxa" w:w="2076"/>
          </w:tcPr>
          <w:p>
            <w:r>
              <w:t>13900002222</w:t>
            </w:r>
          </w:p>
        </w:tc>
      </w:tr>
      <w:tr>
        <w:tc>
          <w:tcPr>
            <w:tcW w:type="dxa" w:w="2076"/>
            <w:vMerge w:val="restart"/>
          </w:tcPr>
          <w:p>
            <w:r>
              <w:t>救援组</w:t>
            </w:r>
          </w:p>
        </w:tc>
        <w:tc>
          <w:tcPr>
            <w:tcW w:type="dxa" w:w="2076"/>
          </w:tcPr>
          <w:p>
            <w:r>
              <w:t>组长</w:t>
            </w:r>
          </w:p>
        </w:tc>
        <w:tc>
          <w:tcPr>
            <w:tcW w:type="dxa" w:w="2076"/>
          </w:tcPr>
          <w:p>
            <w:r>
              <w:t>王五</w:t>
            </w:r>
          </w:p>
        </w:tc>
        <w:tc>
          <w:tcPr>
            <w:tcW w:type="dxa" w:w="2076"/>
          </w:tcPr>
          <w:p>
            <w:r>
              <w:t>13900003333</w:t>
            </w:r>
          </w:p>
        </w:tc>
      </w:tr>
      <w:tr>
        <w:tc>
          <w:tcPr>
            <w:tcW w:type="dxa" w:w="2076"/>
            <w:vMerge/>
          </w:tcPr>
          <w:p/>
        </w:tc>
        <w:tc>
          <w:tcPr>
            <w:tcW w:type="dxa" w:w="2076"/>
          </w:tcPr>
          <w:p>
            <w:r>
              <w:t>组员</w:t>
            </w:r>
          </w:p>
        </w:tc>
        <w:tc>
          <w:tcPr>
            <w:tcW w:type="dxa" w:w="2076"/>
          </w:tcPr>
          <w:p>
            <w:r>
              <w:t>赵六</w:t>
            </w:r>
          </w:p>
        </w:tc>
        <w:tc>
          <w:tcPr>
            <w:tcW w:type="dxa" w:w="2076"/>
          </w:tcPr>
          <w:p>
            <w:r>
              <w:t>13900004444</w:t>
            </w:r>
          </w:p>
        </w:tc>
      </w:tr>
      <w:tr>
        <w:tc>
          <w:tcPr>
            <w:tcW w:type="dxa" w:w="2076"/>
          </w:tcPr>
          <w:p>
            <w:r>
              <w:t>后勤组</w:t>
            </w:r>
          </w:p>
        </w:tc>
        <w:tc>
          <w:tcPr>
            <w:tcW w:type="dxa" w:w="2076"/>
          </w:tcPr>
          <w:p>
            <w:r>
              <w:t>组长</w:t>
            </w:r>
          </w:p>
        </w:tc>
        <w:tc>
          <w:tcPr>
            <w:tcW w:type="dxa" w:w="2076"/>
          </w:tcPr>
          <w:p>
            <w:r>
              <w:t>钱七</w:t>
            </w:r>
          </w:p>
        </w:tc>
        <w:tc>
          <w:tcPr>
            <w:tcW w:type="dxa" w:w="2076"/>
          </w:tcPr>
          <w:p>
            <w:r>
              <w:t>13900005555</w:t>
            </w:r>
          </w:p>
        </w:tc>
      </w:tr>
    </w:tbl>
    <w:p>
      <w:r>
        <w:br w:type="page"/>
      </w:r>
    </w:p>
    <w:p>
      <w:pPr>
        <w:pStyle w:val="Heading1"/>
      </w:pPr>
      <w:r>
        <w:t>测试补充：标题与格式</w:t>
      </w:r>
    </w:p>
    <w:p>
      <w:pPr>
        <w:pStyle w:val="Heading3"/>
      </w:pPr>
      <w:r>
        <w:t>三级标题</w:t>
      </w:r>
    </w:p>
    <w:p>
      <w:r>
        <w:t>这是三级标题下的正文，用于测试 Heading 3 解析。</w:t>
      </w:r>
      <w:r>
        <w:rPr>
          <w:rStyle w:val="EndnoteReference"/>
        </w:rPr>
        <w:endnoteReference w:id="1"/>
      </w:r>
    </w:p>
    <w:p>
      <w:pPr>
        <w:pStyle w:val="Heading4"/>
      </w:pPr>
      <w:r>
        <w:t>四级标题</w:t>
      </w:r>
    </w:p>
    <w:p>
      <w:r>
        <w:t>这是四级标题下的正文，用于测试 Heading 4 解析。</w:t>
      </w:r>
    </w:p>
    <w:p>
      <w:pPr>
        <w:pStyle w:val="Heading5"/>
      </w:pPr>
      <w:r>
        <w:t>五级标题</w:t>
      </w:r>
    </w:p>
    <w:p>
      <w:r>
        <w:t>这是五级标题下的正文，用于测试 Heading 5 解析。</w:t>
      </w:r>
    </w:p>
    <w:p>
      <w:pPr>
        <w:pStyle w:val="Heading6"/>
      </w:pPr>
      <w:r>
        <w:t>六级标题</w:t>
      </w:r>
    </w:p>
    <w:p>
      <w:r>
        <w:t>这是六级标题下的正文，用于测试 Heading 6 解析。</w:t>
      </w:r>
    </w:p>
    <w:p>
      <w:pPr>
        <w:pStyle w:val="Heading3"/>
      </w:pPr>
      <w:r>
        <w:t>3.1.2.1 带序号标题应去除序号</w:t>
      </w:r>
    </w:p>
    <w:p>
      <w:commentRangeStart w:id="0"/>
      <w:pPr>
        <w:pStyle w:val="Heading2"/>
      </w:pPr>
      <w:r>
        <w:t>行内格式测试</w:t>
      </w:r>
      <w:commentRangeEnd w:id="0"/>
      <w:r>
        <w:rPr>
          <w:rStyle w:val="CommentReference"/>
        </w:rPr>
        <w:commentReference w:id="0"/>
      </w:r>
    </w:p>
    <w:p>
      <w:r>
        <w:rPr>
          <w:b/>
        </w:rPr>
        <w:t>加粗文本</w:t>
      </w:r>
      <w:r>
        <w:t xml:space="preserve"> | </w:t>
      </w:r>
      <w:r>
        <w:rPr>
          <w:i/>
        </w:rPr>
        <w:t>斜体文本</w:t>
      </w:r>
      <w:r>
        <w:t xml:space="preserve"> | </w:t>
      </w:r>
      <w:r>
        <w:rPr>
          <w:u w:val="single"/>
        </w:rPr>
        <w:t>下划线文本</w:t>
      </w:r>
      <w:r>
        <w:t xml:space="preserve"> | </w:t>
      </w:r>
      <w:r>
        <w:rPr>
          <w:strike/>
        </w:rPr>
        <w:t>删除线文本</w:t>
      </w:r>
      <w:r>
        <w:rPr>
          <w:rStyle w:val="FootnoteReference"/>
        </w:rPr>
        <w:footnoteReference w:id="1"/>
      </w:r>
    </w:p>
    <w:p>
      <w:r>
        <w:t>水的化学式 H</w:t>
      </w:r>
      <w:r>
        <w:rPr>
          <w:vertAlign w:val="subscript"/>
        </w:rPr>
        <w:t>2</w:t>
      </w:r>
      <w:r>
        <w:t>O，质能方程 E=mc</w:t>
      </w:r>
      <w:r>
        <w:rPr>
          <w:vertAlign w:val="superscript"/>
        </w:rPr>
        <w:t>2</w:t>
      </w:r>
      <w:r>
        <w:t>， footnote 上标</w:t>
      </w:r>
      <w:r>
        <w:rPr>
          <w:vertAlign w:val="superscript"/>
        </w:rPr>
        <w:t>[1]</w:t>
      </w:r>
    </w:p>
    <w:p>
      <w:r>
        <w:rPr>
          <w:b/>
          <w:i/>
        </w:rPr>
        <w:t>加粗斜体</w:t>
      </w:r>
      <w:r>
        <w:t xml:space="preserve"> | </w:t>
      </w:r>
      <w:r>
        <w:rPr>
          <w:b/>
          <w:u w:val="single"/>
        </w:rPr>
        <w:t>加粗下划线</w:t>
      </w:r>
      <w:r>
        <w:t xml:space="preserve"> | </w:t>
      </w:r>
      <w:r>
        <w:rPr>
          <w:b/>
          <w:i/>
          <w:u w:val="single"/>
        </w:rPr>
        <w:t>全部组合</w:t>
      </w:r>
    </w:p>
    <w:p>
      <w:r>
        <w:rPr>
          <w:sz w:val="16"/>
        </w:rPr>
        <w:t>小字</w:t>
      </w:r>
      <w:r>
        <w:t xml:space="preserve"> </w:t>
      </w:r>
      <w:r>
        <w:rPr>
          <w:sz w:val="40"/>
        </w:rPr>
        <w:t>大字</w:t>
      </w:r>
      <w:r>
        <w:t xml:space="preserve"> </w:t>
      </w:r>
      <w:r>
        <w:rPr>
          <w:color w:val="FF0000"/>
        </w:rPr>
        <w:t>红色字</w:t>
      </w:r>
      <w:r>
        <w:t xml:space="preserve"> </w:t>
      </w:r>
      <w:r>
        <w:rPr>
          <w:color w:val="0000FF"/>
        </w:rPr>
        <w:t>蓝色字</w:t>
      </w:r>
    </w:p>
    <w:p>
      <w:commentRangeStart w:id="1"/>
      <w:pPr>
        <w:pStyle w:val="Heading2"/>
      </w:pPr>
      <w:r>
        <w:t>超链接测试</w:t>
      </w:r>
      <w:commentRangeEnd w:id="1"/>
      <w:r>
        <w:rPr>
          <w:rStyle w:val="CommentReference"/>
        </w:rPr>
        <w:commentReference w:id="1"/>
      </w:r>
    </w:p>
    <w:p>
      <w:r>
        <w:t>外部链接：</w:t>
      </w:r>
      <w:hyperlink r:id="rId14">
        <w:r>
          <w:rPr>
            <w:color w:val="0563C1"/>
            <w:u w:val="single"/>
          </w:rPr>
          <w:t xml:space="preserve">GitHub</w:t>
        </w:r>
      </w:hyperlink>
      <w:r>
        <w:t>、</w:t>
      </w:r>
      <w:hyperlink r:id="rId15">
        <w:r>
          <w:rPr>
            <w:color w:val="0563C1"/>
            <w:u w:val="single"/>
          </w:rPr>
          <w:t xml:space="preserve">Python 官网</w:t>
        </w:r>
      </w:hyperlink>
      <w:r>
        <w:t>、</w:t>
      </w:r>
      <w:hyperlink r:id="rId16">
        <w:r>
          <w:rPr>
            <w:color w:val="0563C1"/>
            <w:u w:val="single"/>
          </w:rPr>
          <w:t xml:space="preserve">百度</w:t>
        </w:r>
      </w:hyperlink>
      <w:r>
        <w:rPr>
          <w:rStyle w:val="FootnoteReference"/>
        </w:rPr>
        <w:footnoteReference w:id="2"/>
      </w:r>
    </w:p>
    <w:p>
      <w:r>
        <w:t>文档内链接：</w:t>
      </w:r>
      <w:hyperlink r:id="rId17">
        <w:r>
          <w:rPr>
            <w:color w:val="0563C1"/>
            <w:u w:val="single"/>
          </w:rPr>
          <w:t xml:space="preserve">跳转到总则</w:t>
        </w:r>
      </w:hyperlink>
    </w:p>
    <w:p>
      <w:pPr>
        <w:pStyle w:val="Heading2"/>
      </w:pPr>
      <w:r>
        <w:t>多级嵌套列表测试</w:t>
      </w:r>
    </w:p>
    <w:p>
      <w:pPr>
        <w:numPr>
          <w:ilvl w:val="0"/>
          <w:numId w:val="9"/>
        </w:numPr>
      </w:pPr>
      <w:r>
        <w:t>一级列表项 1</w:t>
      </w:r>
    </w:p>
    <w:p>
      <w:pPr>
        <w:numPr>
          <w:ilvl w:val="0"/>
          <w:numId w:val="9"/>
        </w:numPr>
      </w:pPr>
      <w:r>
        <w:t>一级列表项 2</w:t>
      </w:r>
    </w:p>
    <w:p>
      <w:pPr>
        <w:numPr>
          <w:ilvl w:val="1"/>
          <w:numId w:val="9"/>
        </w:numPr>
      </w:pPr>
      <w:r>
        <w:t>二级列表项 2.1</w:t>
      </w:r>
    </w:p>
    <w:p>
      <w:pPr>
        <w:numPr>
          <w:ilvl w:val="1"/>
          <w:numId w:val="9"/>
        </w:numPr>
      </w:pPr>
      <w:r>
        <w:t>二级列表项 2.2</w:t>
      </w:r>
    </w:p>
    <w:p>
      <w:pPr>
        <w:numPr>
          <w:ilvl w:val="2"/>
          <w:numId w:val="9"/>
        </w:numPr>
      </w:pPr>
      <w:r>
        <w:t>三级列表项 2.2.1</w:t>
      </w:r>
    </w:p>
    <w:p>
      <w:pPr>
        <w:numPr>
          <w:ilvl w:val="2"/>
          <w:numId w:val="9"/>
        </w:numPr>
      </w:pPr>
      <w:r>
        <w:t>三级列表项 2.2.2</w:t>
      </w:r>
    </w:p>
    <w:p>
      <w:pPr>
        <w:numPr>
          <w:ilvl w:val="1"/>
          <w:numId w:val="9"/>
        </w:numPr>
      </w:pPr>
      <w:r>
        <w:t>二级列表项 2.3</w:t>
      </w:r>
    </w:p>
    <w:p>
      <w:pPr>
        <w:numPr>
          <w:ilvl w:val="0"/>
          <w:numId w:val="9"/>
        </w:numPr>
      </w:pPr>
      <w:r>
        <w:t>一级列表项 3</w:t>
      </w:r>
    </w:p>
    <w:p/>
    <w:p>
      <w:pPr>
        <w:numPr>
          <w:ilvl w:val="0"/>
          <w:numId w:val="10"/>
        </w:numPr>
      </w:pPr>
      <w:r>
        <w:t>一级无序列表 A</w:t>
      </w:r>
    </w:p>
    <w:p>
      <w:pPr>
        <w:numPr>
          <w:ilvl w:val="1"/>
          <w:numId w:val="10"/>
        </w:numPr>
      </w:pPr>
      <w:r>
        <w:t>二级无序列表 A.1</w:t>
      </w:r>
    </w:p>
    <w:p>
      <w:pPr>
        <w:numPr>
          <w:ilvl w:val="2"/>
          <w:numId w:val="10"/>
        </w:numPr>
      </w:pPr>
      <w:r>
        <w:t>三级无序列表 A.1.a</w:t>
      </w:r>
    </w:p>
    <w:p>
      <w:pPr>
        <w:numPr>
          <w:ilvl w:val="1"/>
          <w:numId w:val="10"/>
        </w:numPr>
      </w:pPr>
      <w:r>
        <w:t>二级无序列表 A.2</w:t>
      </w:r>
    </w:p>
    <w:p>
      <w:pPr>
        <w:numPr>
          <w:ilvl w:val="0"/>
          <w:numId w:val="10"/>
        </w:numPr>
      </w:pPr>
      <w:r>
        <w:t>一级无序列表 B</w:t>
      </w:r>
    </w:p>
    <w:p>
      <w:pPr>
        <w:pStyle w:val="Heading2"/>
      </w:pPr>
      <w:r>
        <w:t>目录域测试</w:t>
      </w:r>
    </w:p>
    <w:p>
      <w:r>
        <w:fldChar w:fldCharType="begin"/>
      </w:r>
      <w:r>
        <w:instrText xml:space="preserve"> TOC \o "1-3" \h \z \u </w:instrText>
      </w:r>
      <w:r>
        <w:fldChar w:fldCharType="separate"/>
      </w:r>
      <w:r>
        <w:t>（右键更新域以生成目录）</w:t>
      </w:r>
      <w:r>
        <w:fldChar w:fldCharType="end"/>
      </w:r>
    </w:p>
    <w:p>
      <w:pPr>
        <w:pStyle w:val="Heading2"/>
      </w:pPr>
      <w:r>
        <w:t>公式测试（OMML）</w:t>
      </w:r>
    </w:p>
    <w:p>
      <w:r>
        <w:t>简单公式：</w:t>
      </w:r>
      <m:oMath xmlns:m="http://schemas.openxmlformats.org/officeDocument/2006/math">
        <m:r>
          <m:t>a + b = c</m:t>
        </m:r>
      </m:oMath>
    </w:p>
    <w:p>
      <w:r>
        <w:t xml:space="preserve">分数公式：一又二分之一 = </w:t>
      </w:r>
      <m:oMath xmlns:m="http://schemas.openxmlformats.org/officeDocument/2006/math">
        <m:f>
          <m:fPr>
            <m:ctrlPr>
              <w:rPr>
                <w:sz w:val="21"/>
              </w:rPr>
            </m:ctrlPr>
          </m:fPr>
          <m:num>
            <m:r>
              <m:t>1</m:t>
            </m:r>
          </m:num>
          <m:den>
            <m:r>
              <m:t>2</m:t>
            </m:r>
          </m:den>
        </m:f>
      </m:oMath>
    </w:p>
    <w:p>
      <w:r>
        <w:t>上标公式：</w:t>
      </w:r>
      <m:oMath xmlns:m="http://schemas.openxmlformats.org/officeDocument/2006/math">
        <m:sSup>
          <m:e>
            <m:r>
              <m:t>mc</m:t>
            </m:r>
          </m:e>
          <m:sup>
            <m:r>
              <m:t>2</m:t>
            </m:r>
          </m:sup>
        </m:sSup>
      </m:oMath>
    </w:p>
    <w:p>
      <w:r>
        <w:t>综合示例：面积 S = πr</w:t>
      </w:r>
      <m:oMath xmlns:m="http://schemas.openxmlformats.org/officeDocument/2006/math">
        <m:sSup>
          <m:e>
            <m:r>
              <m:t/>
            </m:r>
          </m:e>
          <m:sup>
            <m:r>
              <m:t>2</m:t>
            </m:r>
          </m:sup>
        </m:sSup>
      </m:oMath>
      <w:r>
        <w:t>，其中 r 为半径</w:t>
      </w:r>
    </w:p>
    <w:p>
      <w:pPr>
        <w:pStyle w:val="Heading2"/>
      </w:pPr>
      <w:r>
        <w:t>页眉页脚测试</w:t>
      </w:r>
    </w:p>
    <w:p>
      <w:r>
        <w:t>本节上方应显示页眉内容。</w:t>
      </w:r>
    </w:p>
    <w:sectPr>
      <w:footerReference w:type="default" r:id="rId3"/>
      <w:headerReference w:type="default" r:id="rId18"/>
      <w:type w:val="nextPage"/>
      <w:pgSz w:w="11906" w:h="16838"/>
      <w:pgMar w:left="1800" w:right="1800" w:gutter="0" w:header="0" w:top="1440" w:footer="992" w:bottom="1440"/>
      <w:pgNumType w:fmt="decimal"/>
      <w:formProt w:val="false"/>
      <w:textDirection w:val="lrTb"/>
      <w:docGrid w:type="lines" w:linePitch="312" w:charSpace="0"/>
    </w:sectPr>
    <w:p>
      <w:r>
        <w:drawing>
          <wp:inline distT="0" distB="0" distL="0" distR="0">
            <wp:extent cx="5486400" cy="3200400"/>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body>
</w:document>
</file>

<file path=word/comments.xml><?xml version="1.0" encoding="utf-8"?>
<w:comments xmlns:w="http://schemas.openxmlformats.org/wordprocessingml/2006/main" xmlns:r="http://schemas.openxmlformats.org/officeDocument/2006/relationships">
  <w:comment w:id="0" w:author="测试用户" w:date="2026-04-23T10:00:00Z" w:initials="TC">
    <w:p>
      <w:r>
        <w:t>这是第一条批注：测试批注功能是否正常解析。</w:t>
      </w:r>
    </w:p>
  </w:comment>
  <w:comment w:id="1" w:author="审核者" w:date="2026-04-23T11:00:00Z" w:initials="SH">
    <w:p>
      <w:r>
        <w:t>第二条批注：此段落需要进一步审核。</w:t>
      </w:r>
    </w:p>
  </w:comment>
</w:comments>
</file>

<file path=word/endnotes.xml><?xml version="1.0" encoding="utf-8"?>
<w:endnotes xmlns:w="http://schemas.openxmlformats.org/wordprocessingml/2006/main" xmlns:r="http://schemas.openxmlformats.org/officeDocument/2006/relationships">
  <w:endnote w:type="separator" w:id="-1">
    <w:p>
      <w:r>
        <w:separator/>
      </w:r>
    </w:p>
  </w:endnote>
  <w:endnote w:id="1">
    <w:p>
      <w:r>
        <w:t>这是尾注内容，用于测试尾注解析功能。</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Calibri">
    <w:charset w:val="00" w:characterSet="windows-1252"/>
    <w:family w:val="swiss"/>
    <w:pitch w:val="variable"/>
  </w:font>
  <w:font w:name="menlo">
    <w:charset w:val="00" w:characterSet="windows-1252"/>
    <w:family w:val="auto"/>
    <w:pitch w:val="default"/>
  </w:font>
  <w:font w:name="方正小标宋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7" behindDoc="1" locked="0" layoutInCell="0" allowOverlap="1">
              <wp:simplePos x="0" y="0"/>
              <wp:positionH relativeFrom="margin">
                <wp:align>center</wp:align>
              </wp:positionH>
              <wp:positionV relativeFrom="paragraph">
                <wp:posOffset>635</wp:posOffset>
              </wp:positionV>
              <wp:extent cx="116205" cy="132715"/>
              <wp:effectExtent l="0" t="0" r="0" b="0"/>
              <wp:wrapNone/>
              <wp:docPr id="2" name="框架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26</w:t>
                    </w:r>
                    <w:r>
                      <w:rPr>
                        <w:rFonts w:hint="eastAsia"/>
                        <w:sz w:val="18"/>
                      </w:rPr>
                      <w:fldChar w:fldCharType="end"/>
                    </w:r>
                  </w:p>
                </w:txbxContent>
              </v:textbox>
              <w10:wrap type="none"/>
            </v:rect>
          </w:pict>
        </mc:Fallback>
      </mc:AlternateContent>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这是第一条脚注内容，用于测试脚注解析功能。</w:t>
      </w:r>
    </w:p>
  </w:footnote>
  <w:footnote w:id="2">
    <w:p>
      <w:pPr>
        <w:pStyle w:val="FootnoteText"/>
      </w:pPr>
      <w:r>
        <w:rPr>
          <w:rStyle w:val="FootnoteReference"/>
        </w:rPr>
        <w:footnoteRef/>
      </w:r>
      <w:r>
        <w:t> 这是第二条脚注，包含更多测试内容。</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8"/>
      </w:rPr>
      <w:t>WordParser 全元素测试文档 — 页眉</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0">
    <w:multiLevelType w:val="multilevel"/>
    <w:lvl w:ilvl="0">
      <w:start w:val="1"/>
      <w:numFmt w:val="bullet"/>
      <w:lvlText w:val="•"/>
      <w:lvlJc w:val="left"/>
      <w:pPr>
        <w:ind>
          <w:left w:val="720"/>
          <w:hanging w:val="360"/>
        </w:ind>
      </w:pPr>
      <w:rPr>
        <w:rFonts w:ascii="Symbol" w:hAnsi="Symbol" w:hint="default"/>
      </w:rPr>
    </w:lvl>
    <w:lvl w:ilvl="1">
      <w:start w:val="1"/>
      <w:numFmt w:val="bullet"/>
      <w:lvlText w:val="◦"/>
      <w:lvlJc w:val="left"/>
      <w:pPr>
        <w:ind>
          <w:left w:val="1440"/>
          <w:hanging w:val="360"/>
        </w:ind>
      </w:pPr>
      <w:rPr>
        <w:rFonts w:ascii="Symbol" w:hAnsi="Symbol" w:hint="default"/>
      </w:rPr>
    </w:lvl>
    <w:lvl w:ilvl="2">
      <w:start w:val="1"/>
      <w:numFmt w:val="bullet"/>
      <w:lvlText w:val="▪"/>
      <w:lvlJc w:val="left"/>
      <w:pPr>
        <w:ind>
          <w:left w:val="2160"/>
          <w:hanging w:val="360"/>
        </w:ind>
      </w:pPr>
      <w:rPr>
        <w:rFonts w:ascii="Symbol" w:hAnsi="Symbol" w:hint="default"/>
      </w:rPr>
    </w:lvl>
  </w:abstractNum>
  <w:abstractNum w:abstractNumId="9">
    <w:multiLevelType w:val="multilevel"/>
    <w:lvl w:ilvl="0" w:tentative="1">
      <w:start w:val="1"/>
      <w:numFmt w:val="decimal"/>
      <w:lvlText w:val="%1."/>
      <w:lvlJc w:val="left"/>
      <w:pPr>
        <w:ind>
          <w:left w:val="720"/>
          <w:hanging w:val="360"/>
        </w:ind>
      </w:pPr>
    </w:lvl>
    <w:lvl w:ilvl="1" w:tentative="1">
      <w:start w:val="1"/>
      <w:numFmt w:val="decimal"/>
      <w:lvlText w:val="%1.%2."/>
      <w:lvlJc w:val="left"/>
      <w:pPr>
        <w:ind>
          <w:left w:val="1440"/>
          <w:hanging w:val="360"/>
        </w:ind>
      </w:pPr>
    </w:lvl>
    <w:lvl w:ilvl="2" w:tentative="1">
      <w:start w:val="1"/>
      <w:numFmt w:val="decimal"/>
      <w:lvlText w:val="%1.%2.%3."/>
      <w:lvlJc w:val="left"/>
      <w:pPr>
        <w:ind>
          <w:left w:val="2160"/>
          <w:hanging w:val="360"/>
        </w:ind>
      </w:pPr>
    </w:lvl>
  </w:abstractNum>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decimal"/>
      <w:lvlText w:val="%1."/>
      <w:lvlJc w:val="start"/>
      <w:pPr>
        <w:tabs>
          <w:tab w:val="num" w:pos="312"/>
        </w:tabs>
        <w:ind w:start="0" w:hanging="0"/>
      </w:pPr>
    </w:lvl>
  </w:abstractNum>
  <w:abstractNum w:abstractNumId="4">
    <w:lvl w:ilvl="0">
      <w:start w:val="1"/>
      <w:numFmt w:val="decimal"/>
      <w:lvlText w:val="%1."/>
      <w:lvlJc w:val="start"/>
      <w:pPr>
        <w:tabs>
          <w:tab w:val="num" w:pos="312"/>
        </w:tabs>
        <w:ind w:start="0" w:hanging="0"/>
      </w:pPr>
    </w:lvl>
  </w:abstractNum>
  <w:abstractNum w:abstractNumId="5">
    <w:lvl w:ilvl="0">
      <w:start w:val="1"/>
      <w:numFmt w:val="decimal"/>
      <w:lvlText w:val="%1."/>
      <w:lvlJc w:val="start"/>
      <w:pPr>
        <w:tabs>
          <w:tab w:val="num" w:pos="312"/>
        </w:tabs>
        <w:ind w:start="0" w:hanging="0"/>
      </w:pPr>
    </w:lvl>
  </w:abstractNum>
  <w:abstractNum w:abstractNumId="6">
    <w:lvl w:ilvl="0">
      <w:start w:val="1"/>
      <w:numFmt w:val="decimal"/>
      <w:lvlText w:val="%1."/>
      <w:lvlJc w:val="start"/>
      <w:pPr>
        <w:tabs>
          <w:tab w:val="num" w:pos="312"/>
        </w:tabs>
        <w:ind w:start="0" w:hanging="0"/>
      </w:pPr>
    </w:lvl>
  </w:abstractNum>
  <w:abstractNum w:abstractNumId="7">
    <w:lvl w:ilvl="0">
      <w:start w:val="1"/>
      <w:numFmt w:val="decimal"/>
      <w:suff w:val="nothing"/>
      <w:lvlText w:val="（%1）"/>
      <w:lvlJc w:val="start"/>
      <w:pPr>
        <w:tabs>
          <w:tab w:val="num" w:pos="0"/>
        </w:tabs>
        <w:ind w:start="0" w:hanging="0"/>
      </w:pPr>
    </w:lvl>
  </w:abstractNum>
  <w:abstractNum w:abstractNumId="8">
    <w:lvl w:ilvl="0">
      <w:start w:val="1"/>
      <w:numFmt w:val="decimal"/>
      <w:lvlText w:val="%1."/>
      <w:lvlJc w:val="start"/>
      <w:pPr>
        <w:tabs>
          <w:tab w:val="num" w:pos="0"/>
        </w:tabs>
        <w:ind w:start="960" w:hanging="360"/>
      </w:pPr>
      <w:rPr/>
    </w:lvl>
    <w:lvl w:ilvl="1">
      <w:start w:val="1"/>
      <w:numFmt w:val="lowerLetter"/>
      <w:lvlText w:val="%2)"/>
      <w:lvlJc w:val="start"/>
      <w:pPr>
        <w:tabs>
          <w:tab w:val="num" w:pos="0"/>
        </w:tabs>
        <w:ind w:start="1440" w:hanging="420"/>
      </w:pPr>
    </w:lvl>
    <w:lvl w:ilvl="2">
      <w:start w:val="1"/>
      <w:numFmt w:val="lowerRoman"/>
      <w:lvlText w:val="%3."/>
      <w:lvlJc w:val="end"/>
      <w:pPr>
        <w:tabs>
          <w:tab w:val="num" w:pos="0"/>
        </w:tabs>
        <w:ind w:start="1860" w:hanging="420"/>
      </w:pPr>
    </w:lvl>
    <w:lvl w:ilvl="3">
      <w:start w:val="1"/>
      <w:numFmt w:val="decimal"/>
      <w:lvlText w:val="%4."/>
      <w:lvlJc w:val="start"/>
      <w:pPr>
        <w:tabs>
          <w:tab w:val="num" w:pos="0"/>
        </w:tabs>
        <w:ind w:start="2280" w:hanging="420"/>
      </w:pPr>
    </w:lvl>
    <w:lvl w:ilvl="4">
      <w:start w:val="1"/>
      <w:numFmt w:val="lowerLetter"/>
      <w:lvlText w:val="%5)"/>
      <w:lvlJc w:val="start"/>
      <w:pPr>
        <w:tabs>
          <w:tab w:val="num" w:pos="0"/>
        </w:tabs>
        <w:ind w:start="2700" w:hanging="420"/>
      </w:pPr>
    </w:lvl>
    <w:lvl w:ilvl="5">
      <w:start w:val="1"/>
      <w:numFmt w:val="lowerRoman"/>
      <w:lvlText w:val="%6."/>
      <w:lvlJc w:val="end"/>
      <w:pPr>
        <w:tabs>
          <w:tab w:val="num" w:pos="0"/>
        </w:tabs>
        <w:ind w:start="3120" w:hanging="420"/>
      </w:pPr>
    </w:lvl>
    <w:lvl w:ilvl="6">
      <w:start w:val="1"/>
      <w:numFmt w:val="decimal"/>
      <w:lvlText w:val="%7."/>
      <w:lvlJc w:val="start"/>
      <w:pPr>
        <w:tabs>
          <w:tab w:val="num" w:pos="0"/>
        </w:tabs>
        <w:ind w:start="3540" w:hanging="420"/>
      </w:pPr>
    </w:lvl>
    <w:lvl w:ilvl="7">
      <w:start w:val="1"/>
      <w:numFmt w:val="lowerLetter"/>
      <w:lvlText w:val="%8)"/>
      <w:lvlJc w:val="start"/>
      <w:pPr>
        <w:tabs>
          <w:tab w:val="num" w:pos="0"/>
        </w:tabs>
        <w:ind w:start="3960" w:hanging="420"/>
      </w:pPr>
    </w:lvl>
    <w:lvl w:ilvl="8">
      <w:start w:val="1"/>
      <w:numFmt w:val="lowerRoman"/>
      <w:lvlText w:val="%9."/>
      <w:lvlJc w:val="end"/>
      <w:pPr>
        <w:tabs>
          <w:tab w:val="num" w:pos="0"/>
        </w:tabs>
        <w:ind w:start="43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SimSun" w:cs="宋体;SimSu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0" w:before="260" w:after="260"/>
      <w:ind w:hanging="0" w:start="0" w:end="0"/>
      <w:outlineLvl w:val="1"/>
    </w:pPr>
    <w:rPr>
      <w:rFonts w:ascii="Arial" w:hAnsi="Arial" w:cs="Arial"/>
      <w:sz w:val="30"/>
    </w:rPr>
  </w:style>
  <w:style w:type="paragraph" w:styleId="Heading3">
    <w:name w:val="heading 3"/>
    <w:basedOn w:val="Normal"/>
    <w:next w:val="Normal"/>
    <w:qFormat/>
    <w:pPr>
      <w:keepNext w:val="true"/>
      <w:keepLines/>
      <w:widowControl w:val="false"/>
      <w:numPr>
        <w:ilvl w:val="2"/>
        <w:numId w:val="1"/>
      </w:numPr>
      <w:tabs>
        <w:tab w:val="clear" w:pos="420"/>
        <w:tab w:val="left" w:pos="1080" w:leader="none"/>
      </w:tabs>
      <w:spacing w:lineRule="auto" w:line="413" w:before="260" w:after="260"/>
      <w:ind w:hanging="0" w:start="0" w:end="0"/>
      <w:outlineLvl w:val="2"/>
    </w:pPr>
    <w:rPr>
      <w:b/>
      <w:bCs/>
      <w:kern w:val="2"/>
      <w:sz w:val="28"/>
      <w:szCs w:val="32"/>
    </w:rPr>
  </w:style>
  <w:style w:type="character" w:styleId="WW8Num1z0">
    <w:name w:val="WW8Num1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Style11">
    <w:name w:val="默认段落字体"/>
    <w:qFormat/>
    <w:rPr/>
  </w:style>
  <w:style w:type="character" w:styleId="Style12">
    <w:name w:val="批注框文本 字符"/>
    <w:qFormat/>
    <w:rPr>
      <w:rFonts w:cs="宋体;SimSun"/>
      <w:kern w:val="2"/>
      <w:sz w:val="18"/>
      <w:szCs w:val="18"/>
    </w:rPr>
  </w:style>
  <w:style w:type="character" w:styleId="Style13">
    <w:name w:val="批注引用"/>
    <w:qFormat/>
    <w:rPr>
      <w:sz w:val="21"/>
      <w:szCs w:val="21"/>
    </w:rPr>
  </w:style>
  <w:style w:type="character" w:styleId="NormalCharacter">
    <w:name w:val="NormalCharacter"/>
    <w:qFormat/>
    <w:rPr/>
  </w:style>
  <w:style w:type="character" w:styleId="s1">
    <w:name w:val="s1"/>
    <w:qFormat/>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6">
    <w:name w:val="批注文字"/>
    <w:basedOn w:val="Normal"/>
    <w:qFormat/>
    <w:pPr>
      <w:jc w:val="start"/>
    </w:pPr>
    <w:rPr/>
  </w:style>
  <w:style w:type="paragraph" w:styleId="TOC3">
    <w:name w:val="toc 3"/>
    <w:basedOn w:val="Normal"/>
    <w:next w:val="Normal"/>
    <w:pPr>
      <w:ind w:firstLineChars="0" w:firstLine="0" w:startChars="400" w:endChars="0" w:end="0"/>
      <w:jc w:val="start"/>
    </w:pPr>
    <w:rPr>
      <w:rFonts w:ascii="Times New Roman" w:hAnsi="Times New Roman" w:eastAsia="Times New Roman" w:cs="Times New Roman"/>
      <w:color w:val="000000"/>
      <w:kern w:val="0"/>
      <w:sz w:val="24"/>
      <w:szCs w:val="24"/>
      <w:lang w:bidi="en-US"/>
    </w:rPr>
  </w:style>
  <w:style w:type="paragraph" w:styleId="21">
    <w:name w:val="正文文本缩进 2"/>
    <w:basedOn w:val="Normal"/>
    <w:qFormat/>
    <w:pPr>
      <w:spacing w:lineRule="auto" w:line="360" w:before="0" w:after="0"/>
      <w:ind w:firstLineChars="200" w:startChars="0" w:start="0" w:endChars="0" w:end="0"/>
      <w:jc w:val="both"/>
    </w:pPr>
    <w:rPr>
      <w:rFonts w:eastAsia="仿宋_GB2312" w:cs="仿宋_GB2312"/>
      <w:kern w:val="2"/>
      <w:sz w:val="21"/>
      <w:szCs w:val="21"/>
    </w:rPr>
  </w:style>
  <w:style w:type="paragraph" w:styleId="Style17">
    <w:name w:val="批注框文本"/>
    <w:basedOn w:val="Normal"/>
    <w:qFormat/>
    <w:pPr/>
    <w:rPr>
      <w:sz w:val="18"/>
      <w:szCs w:val="18"/>
    </w:rPr>
  </w:style>
  <w:style w:type="paragraph" w:styleId="Style18">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9">
    <w:name w:val="普通(网站)"/>
    <w:basedOn w:val="Normal"/>
    <w:qFormat/>
    <w:pPr/>
    <w:rPr>
      <w:rFonts w:cs="Times New Roman"/>
      <w:sz w:val="24"/>
      <w:szCs w:val="24"/>
    </w:rPr>
  </w:style>
  <w:style w:type="paragraph" w:styleId="Style20">
    <w:name w:val="批注主题"/>
    <w:basedOn w:val="Style16"/>
    <w:next w:val="Style16"/>
    <w:qFormat/>
    <w:pPr/>
    <w:rPr>
      <w:b/>
      <w:bCs/>
    </w:rPr>
  </w:style>
  <w:style w:type="paragraph" w:styleId="Style21">
    <w:name w:val="规_条"/>
    <w:basedOn w:val="Normal"/>
    <w:qFormat/>
    <w:pPr>
      <w:widowControl/>
      <w:spacing w:lineRule="auto" w:line="360" w:before="0" w:after="50"/>
      <w:ind w:firstLine="402" w:start="0" w:end="0"/>
      <w:jc w:val="both"/>
      <w:outlineLvl w:val="2"/>
    </w:pPr>
    <w:rPr>
      <w:rFonts w:ascii="Calibri" w:hAnsi="Calibri" w:eastAsia="仿宋_GB2312" w:cs="Times New Roman"/>
      <w:kern w:val="0"/>
      <w:sz w:val="30"/>
      <w:szCs w:val="30"/>
      <w:lang w:bidi="ar"/>
    </w:rPr>
  </w:style>
  <w:style w:type="paragraph" w:styleId="179">
    <w:name w:val="179"/>
    <w:basedOn w:val="Normal"/>
    <w:qFormat/>
    <w:pPr>
      <w:spacing w:before="0" w:after="0"/>
      <w:ind w:hanging="0" w:start="720" w:end="0"/>
      <w:contextualSpacing/>
    </w:pPr>
    <w:rPr/>
  </w:style>
  <w:style w:type="paragraph" w:styleId="index61">
    <w:name w:val="index 61"/>
    <w:next w:val="Normal"/>
    <w:qFormat/>
    <w:pPr>
      <w:widowControl/>
      <w:bidi w:val="0"/>
      <w:ind w:firstLineChars="0" w:firstLine="0" w:startChars="1000" w:endChars="0" w:end="0"/>
      <w:jc w:val="both"/>
    </w:pPr>
    <w:rPr>
      <w:rFonts w:ascii="Times New Roman" w:hAnsi="Times New Roman" w:eastAsia="宋体;SimSun" w:cs="宋体;SimSun"/>
      <w:color w:val="auto"/>
      <w:kern w:val="2"/>
      <w:sz w:val="21"/>
      <w:szCs w:val="22"/>
      <w:lang w:bidi="ar-SA" w:val="en-US" w:eastAsia="zh-CN"/>
    </w:rPr>
  </w:style>
  <w:style w:type="paragraph" w:styleId="UserStyle20">
    <w:name w:val="UserStyle_20"/>
    <w:qFormat/>
    <w:pPr>
      <w:widowControl/>
      <w:bidi w:val="0"/>
      <w:textAlignment w:val="baseline"/>
    </w:pPr>
    <w:rPr>
      <w:rFonts w:ascii="Times New Roman" w:hAnsi="Times New Roman" w:eastAsia="宋体;SimSun" w:cs="宋体;SimSun"/>
      <w:color w:val="000000"/>
      <w:sz w:val="24"/>
      <w:szCs w:val="24"/>
      <w:lang w:bidi="ar-SA" w:val="en-US" w:eastAsia="zh-CN"/>
    </w:rPr>
  </w:style>
  <w:style w:type="paragraph" w:styleId="Style22">
    <w:name w:val="修订"/>
    <w:qFormat/>
    <w:pPr>
      <w:widowControl/>
      <w:bidi w:val="0"/>
    </w:pPr>
    <w:rPr>
      <w:rFonts w:ascii="Times New Roman" w:hAnsi="Times New Roman" w:eastAsia="宋体;SimSun" w:cs="宋体;SimSun"/>
      <w:color w:val="auto"/>
      <w:kern w:val="2"/>
      <w:sz w:val="21"/>
      <w:szCs w:val="22"/>
      <w:lang w:bidi="ar-SA" w:val="en-US" w:eastAsia="zh-CN"/>
    </w:rPr>
  </w:style>
  <w:style w:type="paragraph" w:styleId="Style23">
    <w:name w:val="规_编号()"/>
    <w:basedOn w:val="Normal"/>
    <w:next w:val="Style21"/>
    <w:qFormat/>
    <w:pPr>
      <w:widowControl/>
      <w:snapToGrid w:val="false"/>
      <w:spacing w:lineRule="auto" w:line="360" w:before="0" w:after="5"/>
      <w:ind w:firstLine="499" w:start="0" w:end="0"/>
      <w:jc w:val="both"/>
    </w:pPr>
    <w:rPr>
      <w:rFonts w:ascii="Calibri" w:hAnsi="Calibri" w:eastAsia="仿宋_GB2312" w:cs="Times New Roman"/>
      <w:kern w:val="0"/>
      <w:sz w:val="30"/>
      <w:szCs w:val="30"/>
      <w:lang w:bidi="ar"/>
    </w:rPr>
  </w:style>
  <w:style w:type="paragraph" w:styleId="p1">
    <w:name w:val="p1"/>
    <w:basedOn w:val="Normal"/>
    <w:qFormat/>
    <w:pPr>
      <w:shd w:fill="FEF48B" w:val="clear"/>
      <w:spacing w:before="0" w:after="0"/>
      <w:ind w:hanging="0" w:start="0" w:end="0"/>
      <w:jc w:val="start"/>
    </w:pPr>
    <w:rPr>
      <w:rFonts w:ascii="menlo" w:hAnsi="menlo" w:eastAsia="menlo" w:cs="menlo"/>
      <w:kern w:val="0"/>
      <w:sz w:val="28"/>
      <w:szCs w:val="28"/>
      <w:lang w:bidi="ar"/>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paragraph" w:styleId="Style26">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paragraph" w:customStyle="1" w:styleId="Heading4">
    <w:name w:val="heading 4"/>
    <w:basedOn w:val="Heading1"/>
    <w:pPr>
      <w:spacing w:before="240" w:after="120"/>
    </w:pPr>
    <w:rPr>
      <w:b/>
      <w:sz w:val="28"/>
    </w:rPr>
  </w:style>
  <w:style w:type="paragraph" w:customStyle="1" w:styleId="Heading5">
    <w:name w:val="heading 5"/>
    <w:basedOn w:val="Heading1"/>
    <w:pPr>
      <w:spacing w:before="240" w:after="120"/>
    </w:pPr>
    <w:rPr>
      <w:b/>
      <w:sz w:val="24"/>
    </w:rPr>
  </w:style>
  <w:style w:type="paragraph" w:customStyle="1" w:styleId="Heading6">
    <w:name w:val="heading 6"/>
    <w:basedOn w:val="Heading1"/>
    <w:pPr>
      <w:spacing w:before="240" w:after="120"/>
    </w:pPr>
    <w:rPr>
      <w:b/>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2.png"/><Relationship Id="rId9" Type="http://schemas.openxmlformats.org/officeDocument/2006/relationships/chart" Target="charts/chart1.xml"/><Relationship Id="rId10" Type="http://schemas.openxmlformats.org/officeDocument/2006/relationships/diagramData" Target="diagrams/data1.xml"/><Relationship Id="rId11" Type="http://schemas.openxmlformats.org/officeDocument/2006/relationships/diagramDrawing" Target="diagrams/drawing1.xml"/><Relationship Id="rId12" Type="http://schemas.openxmlformats.org/officeDocument/2006/relationships/diagramColors" Target="diagrams/colors1.xml"/><Relationship Id="rId13" Type="http://schemas.openxmlformats.org/officeDocument/2006/relationships/diagramStyleDefinition" Target="diagrams/quickStyle1.xml"/><Relationship Id="rId14" Type="http://schemas.openxmlformats.org/officeDocument/2006/relationships/hyperlink" Target="https://github.com" TargetMode="External"/><Relationship Id="rId15" Type="http://schemas.openxmlformats.org/officeDocument/2006/relationships/hyperlink" Target="https://python.org" TargetMode="External"/><Relationship Id="rId16" Type="http://schemas.openxmlformats.org/officeDocument/2006/relationships/hyperlink" Target="https://www.baidu.com" TargetMode="External"/><Relationship Id="rId17" Type="http://schemas.openxmlformats.org/officeDocument/2006/relationships/hyperlink" Target="#&#19968;&#12289;&#24635;&#21017;" TargetMode="External"/><Relationship Id="rId18" Type="http://schemas.openxmlformats.org/officeDocument/2006/relationships/header" Target="header1.xml"/><Relationship Id="rId19" Type="http://schemas.openxmlformats.org/officeDocument/2006/relationships/footnotes" Target="footnotes.xml"/><Relationship Id="rId20" Type="http://schemas.openxmlformats.org/officeDocument/2006/relationships/endnotes" Target="endnotes.xml"/><Relationship Id="rId21" Type="http://schemas.openxmlformats.org/officeDocument/2006/relationships/comments" Target="comments.xml"/></Relationships>
</file>

<file path=word/charts/chart1.xml><?xml version="1.0" encoding="utf-8"?>
<c:chartSpace xmlns:c="http://schemas.openxmlformats.org/drawingml/2006/chart" xmlns:a="http://schemas.openxmlformats.org/drawingml/2006/main" xmlns:r="http://schemas.openxmlformats.org/officeDocument/2006/relationships">
  <c:chart>
    <c:title>
      <c:tx>
        <c:rich>
          <a:bodyPr/>
          <a:lstStyle/>
          <a:p>
            <a:r>
              <a:rPr lang="zh-CN"/>
              <a:t>突发事件年度统计</a:t>
            </a:r>
          </a:p>
        </c:rich>
      </c:tx>
    </c:title>
    <c:autoTitleDeleted val="0"/>
    <c:plotArea>
      <c:barChart>
        <c:barDir val="col"/>
        <c:ser>
          <c:idx val="0"/>
          <c:tx>
            <c:strRef>
              <c:f>Sheet1!$B$1</c:f>
              <c:strCache>
                <c:ptCount val="1"/>
                <c:pt idx="0">
                  <c:v>火灾</c:v>
                </c:pt>
              </c:strCache>
            </c:strRef>
          </c:tx>
          <c:cat>
            <c:strRef>
              <c:f>Sheet1!$A$2:$A$5</c:f>
              <c:strCache>
                <c:ptCount val="4"/>
                <c:pt idx="0">
                  <c:v>2021</c:v>
                </c:pt>
                <c:pt idx="1">
                  <c:v>2022</c:v>
                </c:pt>
                <c:pt idx="2">
                  <c:v>2023</c:v>
                </c:pt>
                <c:pt idx="3">
                  <c:v>2024</c:v>
                </c:pt>
              </c:strCache>
            </c:strRef>
          </c:cat>
          <c:val>
            <c:numRef>
              <c:f>Sheet1!$B$2:$B$5</c:f>
              <c:numCache>
                <c:ptCount val="4"/>
                <c:pt idx="0">
                  <c:v>5</c:v>
                </c:pt>
                <c:pt idx="1">
                  <c:v>8</c:v>
                </c:pt>
                <c:pt idx="2">
                  <c:v>3</c:v>
                </c:pt>
                <c:pt idx="3">
                  <c:v>6</c:v>
                </c:pt>
              </c:numCache>
            </c:numRef>
          </c:val>
        </c:ser>
        <c:ser>
          <c:idx val="1"/>
          <c:tx>
            <c:strRef>
              <c:f>Sheet1!$C$1</c:f>
              <c:strCache>
                <c:ptCount val="1"/>
                <c:pt idx="0">
                  <c:v>设备故障</c:v>
                </c:pt>
              </c:strCache>
            </c:strRef>
          </c:tx>
          <c:cat>
            <c:strRef>
              <c:f>Sheet1!$A$2:$A$5</c:f>
              <c:strCache>
                <c:ptCount val="4"/>
                <c:pt idx="0">
                  <c:v>2021</c:v>
                </c:pt>
                <c:pt idx="1">
                  <c:v>2022</c:v>
                </c:pt>
                <c:pt idx="2">
                  <c:v>2023</c:v>
                </c:pt>
                <c:pt idx="3">
                  <c:v>2024</c:v>
                </c:pt>
              </c:strCache>
            </c:strRef>
          </c:cat>
          <c:val>
            <c:numRef>
              <c:f>Sheet1!$C$2:$C$5</c:f>
              <c:numCache>
                <c:ptCount val="4"/>
                <c:pt idx="0">
                  <c:v>12</c:v>
                </c:pt>
                <c:pt idx="1">
                  <c:v>9</c:v>
                </c:pt>
                <c:pt idx="2">
                  <c:v>15</c:v>
                </c:pt>
                <c:pt idx="3">
                  <c:v>7</c:v>
                </c:pt>
              </c:numCache>
            </c:numRef>
          </c:val>
        </c:ser>
      </c:barChart>
    </c:plotArea>
  </c:chart>
</c:chartSpace>
</file>

<file path=word/diagrams/colors1.xml><?xml version="1.0" encoding="utf-8"?>
<dgm:colorsDef xmlns:dgm="http://schemas.openxmlformats.org/drawingml/2006/diagram" xmlns:a="http://schemas.openxmlformats.org/drawingml/2006/main">
  <dgm:catLst>
    <dgm:cat type="simple" pri="10100"/>
  </dgm:catLst>
</dgm:colorsDef>
</file>

<file path=word/diagrams/data1.xml><?xml version="1.0" encoding="utf-8"?>
<dgm:dataModel xmlns:dgm="http://schemas.openxmlformats.org/drawingml/2006/diagram" xmlns:a="http://schemas.openxmlformats.org/drawingml/2006/main" xmlns:r="http://schemas.openxmlformats.org/officeDocument/2006/relationships">
  <dgm:ptLst>
    <dgm:pt modelId="0" type="doc">
      <dgm:prSet/>
      <dgm:spPr/>
      <dgm:t>
        <a:bodyPr/>
        <a:lstStyle/>
        <a:p>
          <a:endParaRPr/>
        </a:p>
      </dgm:t>
    </dgm:pt>
    <dgm:pt modelId="1">
      <dgm:prSet/>
      <dgm:spPr/>
      <dgm:t>
        <a:bodyPr/>
        <a:lstStyle/>
        <a:p>
          <a:r>
            <a:rPr lang="zh-CN"/>
            <a:t>发现突发事件</a:t>
          </a:r>
        </a:p>
      </dgm:t>
    </dgm:pt>
    <dgm:pt modelId="2">
      <dgm:prSet/>
      <dgm:spPr/>
      <dgm:t>
        <a:bodyPr/>
        <a:lstStyle/>
        <a:p>
          <a:r>
            <a:rPr lang="zh-CN"/>
            <a:t>启动应急响应</a:t>
          </a:r>
        </a:p>
      </dgm:t>
    </dgm:pt>
    <dgm:pt modelId="3">
      <dgm:prSet/>
      <dgm:spPr/>
      <dgm:t>
        <a:bodyPr/>
        <a:lstStyle/>
        <a:p>
          <a:r>
            <a:rPr lang="zh-CN"/>
            <a:t>现场处置</a:t>
          </a:r>
        </a:p>
      </dgm:t>
    </dgm:pt>
    <dgm:pt modelId="4">
      <dgm:prSet/>
      <dgm:spPr/>
      <dgm:t>
        <a:bodyPr/>
        <a:lstStyle/>
        <a:p>
          <a:r>
            <a:rPr lang="zh-CN"/>
            <a:t>事后总结</a:t>
          </a:r>
        </a:p>
      </dgm:t>
    </dgm:pt>
  </dgm:ptLst>
  <dgm:cxnLst>
    <dgm:cxn modelId="5" srcId="0" destId="1" type="parOf"/>
    <dgm:cxn modelId="6" srcId="1" destId="2" type="parOf"/>
    <dgm:cxn modelId="7" srcId="2" destId="3" type="parOf"/>
    <dgm:cxn modelId="8" srcId="3" destId="4" type="parOf"/>
  </dgm:cxnLst>
</dgm:dataModel>
</file>

<file path=word/diagrams/drawing1.xml><?xml version="1.0" encoding="utf-8"?>
<dgm:drawing xmlns:dgm="http://schemas.openxmlformats.org/drawingml/2006/diagram" xmlns:a="http://schemas.openxmlformats.org/drawingml/2006/main">
  <dgm:spTree>
    <dgm:nvGrpSpPr/>
    <dgm:grpSpPr/>
  </dgm:spTree>
</dgm:drawing>
</file>

<file path=word/diagrams/quickStyle1.xml><?xml version="1.0" encoding="utf-8"?>
<dgm:styleDef xmlns:dgm="http://schemas.openxmlformats.org/drawingml/2006/diagram" xmlns:a="http://schemas.openxmlformats.org/drawingml/2006/main">
  <dgm:catLst>
    <dgm:cat type="simple" pri="10100"/>
  </dgm:catLst>
</dgm:styleDef>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2014-08-19T17:55:00Z</dcterms:created>
  <dc:creator>何悦</dc:creator>
  <dc:description/>
  <cp:keywords/>
  <dc:language>zh-CN</dc:language>
  <cp:lastModifiedBy>lingyixin</cp:lastModifiedBy>
  <cp:lastPrinted>2019-08-02T22:14:00Z</cp:lastPrinted>
  <dcterms:modified xsi:type="dcterms:W3CDTF">2025-03-27T15:00:00Z</dcterms:modified>
  <cp:revision>5</cp:revision>
  <dc:subject/>
  <dc:title>中国邮政储蓄银行公文拟稿格式规范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8A348B07DDA8E18359CBE367BBFC94E0_42</vt:lpwstr>
  </property>
  <property fmtid="{D5CDD505-2E9C-101B-9397-08002B2CF9AE}" pid="3" name="KSOProductBuildVer">
    <vt:lpwstr>2052-6.14.0.8924</vt:lpwstr>
  </property>
</Properties>
</file>