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462B" w:rsidRPr="00BB1101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Pr="00AD686B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P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>Анализ полноты и непротиворечивости требований системы – «Сервис совместного планирования маршрутов»</w:t>
      </w:r>
    </w:p>
    <w:p w:rsidR="00CD462B" w:rsidRPr="001A345D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color w:val="000000"/>
          <w:sz w:val="28"/>
          <w:szCs w:val="28"/>
        </w:rPr>
      </w:pPr>
    </w:p>
    <w:p w:rsidR="00DC3ACD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Pr="00AD686B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ИСПк-</w:t>
      </w:r>
      <w:r w:rsidR="00D046C2">
        <w:rPr>
          <w:rFonts w:eastAsia="Times New Roman" w:cs="Times New Roman"/>
          <w:color w:val="000000"/>
          <w:sz w:val="28"/>
          <w:szCs w:val="28"/>
        </w:rPr>
        <w:t>4</w:t>
      </w:r>
      <w:r w:rsidRPr="00AD686B">
        <w:rPr>
          <w:rFonts w:eastAsia="Times New Roman" w:cs="Times New Roman"/>
          <w:color w:val="000000"/>
          <w:sz w:val="28"/>
          <w:szCs w:val="28"/>
        </w:rPr>
        <w:t>04-52-00</w:t>
      </w:r>
    </w:p>
    <w:p w:rsidR="00900886" w:rsidRDefault="00CD462B" w:rsidP="00900886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sz w:val="28"/>
          <w:szCs w:val="28"/>
        </w:rPr>
      </w:pPr>
      <w:r w:rsidRPr="00AD686B">
        <w:rPr>
          <w:rFonts w:eastAsia="Times New Roman" w:cs="Times New Roman"/>
          <w:sz w:val="28"/>
          <w:szCs w:val="28"/>
        </w:rPr>
        <w:t>Королев М. Н.</w:t>
      </w:r>
    </w:p>
    <w:p w:rsidR="00764284" w:rsidRDefault="00764284">
      <w:pPr>
        <w:sectPr w:rsidR="00764284">
          <w:headerReference w:type="default" r:id="rId11"/>
          <w:pgSz w:w="11906" w:h="16838"/>
          <w:pgMar w:top="1134" w:right="567" w:bottom="1134" w:left="1134" w:header="708" w:footer="708" w:gutter="0"/>
          <w:pgNumType w:start="1"/>
          <w:cols w:space="708"/>
          <w:titlePg/>
          <w:docGrid w:linePitch="381"/>
        </w:sectPr>
      </w:pPr>
    </w:p>
    <w:p w:rsidR="00D63BE8" w:rsidRDefault="00000000">
      <w:pPr>
        <w:spacing w:before="0"/>
        <w:ind w:firstLine="850"/>
      </w:pPr>
      <w:r>
        <w:lastRenderedPageBreak/>
        <w:t>Настоящий документ содержит проверку комплекса документов по проекту «Сервис совместного планирования маршрутов» на полноту по стейкхолдерам, полноту по сценариям использования, однозначность формулировок и непротиворечивость. Проверке подлежат 53 требования: 30 функциональных (FR-01 – FR-30), 13 нефункциональных (NFR-01 – NFR-13) и 10 ограничений (CON-01 – CON-10). Выявленные пробелы помечены кодами УТ и собраны в разделе 5.</w:t>
      </w:r>
    </w:p>
    <w:p w:rsidR="00D63BE8" w:rsidRDefault="00000000">
      <w:pPr>
        <w:spacing w:before="0"/>
        <w:ind w:firstLine="850"/>
      </w:pPr>
      <w:r>
        <w:t>Состав документов комплекса и предмет проверки по каждому из них приведены в таблице 1.</w:t>
      </w:r>
    </w:p>
    <w:p w:rsidR="00D63BE8" w:rsidRDefault="00000000">
      <w:pPr>
        <w:keepNext/>
        <w:spacing w:after="120" w:line="240" w:lineRule="auto"/>
        <w:ind w:firstLine="0"/>
        <w:jc w:val="left"/>
      </w:pPr>
      <w:r>
        <w:t>Таблица 1 – Документы комплекса и предмет проверки</w:t>
      </w:r>
    </w:p>
    <w:tbl>
      <w:tblPr>
        <w:tblStyle w:val="ac"/>
        <w:tblW w:w="10206" w:type="dxa"/>
        <w:tblLayout w:type="fixed"/>
        <w:tblLook w:val="04A0" w:firstRow="1" w:lastRow="0" w:firstColumn="1" w:lastColumn="0" w:noHBand="0" w:noVBand="1"/>
      </w:tblPr>
      <w:tblGrid>
        <w:gridCol w:w="2948"/>
        <w:gridCol w:w="7258"/>
      </w:tblGrid>
      <w:tr w:rsidR="00D63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48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Документ комплекса</w:t>
            </w:r>
          </w:p>
        </w:tc>
        <w:tc>
          <w:tcPr>
            <w:tcW w:w="7257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Что проверялось по документу</w:t>
            </w:r>
          </w:p>
        </w:tc>
      </w:tr>
      <w:tr w:rsidR="00D63BE8">
        <w:tc>
          <w:tcPr>
            <w:tcW w:w="294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Первичный анализ продукта</w:t>
            </w:r>
          </w:p>
        </w:tc>
        <w:tc>
          <w:tcPr>
            <w:tcW w:w="725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Состав стейкхолдеров, их потребности и опасения, границы системы, реестр рисков, этические и правовые ограничения и перечень первичных требований. Документ использован как основание проверки полноты по стейкхолдерам (раздел 1).</w:t>
            </w:r>
          </w:p>
        </w:tc>
      </w:tr>
      <w:tr w:rsidR="00D63BE8">
        <w:tc>
          <w:tcPr>
            <w:tcW w:w="294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Сценарии использования системы</w:t>
            </w:r>
          </w:p>
        </w:tc>
        <w:tc>
          <w:tcPr>
            <w:tcW w:w="725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Сценарии UC-1 – UC-4: предусловия, основные и альтернативные потоки событий, постусловия и специальные требования. Документ использован как основание проверки полноты по сценариям использования (раздел 2).</w:t>
            </w:r>
          </w:p>
        </w:tc>
      </w:tr>
      <w:tr w:rsidR="00D63BE8">
        <w:tc>
          <w:tcPr>
            <w:tcW w:w="294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Классификация и формализация требований</w:t>
            </w:r>
          </w:p>
        </w:tc>
        <w:tc>
          <w:tcPr>
            <w:tcW w:w="725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Структурированный перечень 53 требований с указанием типа, категории, источника, обоснования, приоритета и критерия верификации. Перечень проверен на однозначность формулировок (раздел 3) и непротиворечивость (раздел 4).</w:t>
            </w:r>
          </w:p>
        </w:tc>
      </w:tr>
      <w:tr w:rsidR="00D63BE8">
        <w:tc>
          <w:tcPr>
            <w:tcW w:w="294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Техническое задание</w:t>
            </w:r>
          </w:p>
        </w:tc>
        <w:tc>
          <w:tcPr>
            <w:tcW w:w="725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Разделы с требованиями к системе и таблица приёмки. Документ использован как источник сведений о порядке проверки требований при приёмке, которые учитывались при разборе формулировок (раздел 3) и при выборе стратегий разрешения конфликтов (раздел 4).</w:t>
            </w:r>
          </w:p>
        </w:tc>
      </w:tr>
    </w:tbl>
    <w:p w:rsidR="00D63BE8" w:rsidRDefault="00000000">
      <w:pPr>
        <w:keepNext/>
        <w:ind w:firstLine="850"/>
      </w:pPr>
      <w:r>
        <w:rPr>
          <w:b/>
        </w:rPr>
        <w:t>1. Проверка полноты по стейкхолдерам</w:t>
      </w:r>
    </w:p>
    <w:p w:rsidR="00D63BE8" w:rsidRDefault="00000000">
      <w:pPr>
        <w:spacing w:before="0"/>
        <w:ind w:firstLine="850"/>
      </w:pPr>
      <w:r>
        <w:t>В «Первичном анализе продукта» выделены три стейкхолдера: организатор поездки, приглашённый участник поездки и поставщик картографических данных и данных о достопримечательностях. Для каждой заявленной ими потребности или условия найдены требования, которые прямо на неё отвечают (таблица 2). Дополнительно проверено покрытие правовых ограничений, приведённых в разделе «Этические и правовые ограничения» первичного анализа.</w:t>
      </w:r>
    </w:p>
    <w:p w:rsidR="00D63BE8" w:rsidRDefault="00000000">
      <w:pPr>
        <w:keepNext/>
        <w:spacing w:after="120" w:line="240" w:lineRule="auto"/>
        <w:ind w:firstLine="0"/>
        <w:jc w:val="left"/>
      </w:pPr>
      <w:r>
        <w:t>Таблица 2 – Полнота требований по стейкхолдерам</w:t>
      </w:r>
    </w:p>
    <w:tbl>
      <w:tblPr>
        <w:tblStyle w:val="ac"/>
        <w:tblW w:w="10206" w:type="dxa"/>
        <w:tblLayout w:type="fixed"/>
        <w:tblLook w:val="04A0" w:firstRow="1" w:lastRow="0" w:firstColumn="1" w:lastColumn="0" w:noHBand="0" w:noVBand="1"/>
      </w:tblPr>
      <w:tblGrid>
        <w:gridCol w:w="1929"/>
        <w:gridCol w:w="2721"/>
        <w:gridCol w:w="2154"/>
        <w:gridCol w:w="3402"/>
      </w:tblGrid>
      <w:tr w:rsidR="00D63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8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Стейкхолдер</w:t>
            </w:r>
          </w:p>
        </w:tc>
        <w:tc>
          <w:tcPr>
            <w:tcW w:w="2721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Ключевая потребность или условие</w:t>
            </w:r>
          </w:p>
        </w:tc>
        <w:tc>
          <w:tcPr>
            <w:tcW w:w="2154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Покрывающие требования</w:t>
            </w:r>
          </w:p>
        </w:tc>
        <w:tc>
          <w:tcPr>
            <w:tcW w:w="3402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Результат проверки</w:t>
            </w:r>
          </w:p>
        </w:tc>
      </w:tr>
      <w:tr w:rsidR="00D63BE8">
        <w:tc>
          <w:tcPr>
            <w:tcW w:w="192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StH-01. Организатор поездки</w:t>
            </w:r>
          </w:p>
        </w:tc>
        <w:tc>
          <w:tcPr>
            <w:tcW w:w="2721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Задать точки отправления, назначения и промежуточные точки; видеть достопримечательности вдоль построенного маршрута; пригласить участников по ссылке или коду; управлять составом группы; сохранить маршрут в профиль; разбить маршрут на пошаговые сегменты; экспортировать маршрут во внешнее навигационное приложение.</w:t>
            </w:r>
          </w:p>
        </w:tc>
        <w:tc>
          <w:tcPr>
            <w:tcW w:w="2154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FR-01 – FR-03, FR-06, FR-10, FR-11, FR-13, FR-14, FR-16, FR-17, FR-23 – FR-28; NFR-01, NFR-03, NFR-05, NFR-10, NFR-11, NFR-13</w:t>
            </w:r>
          </w:p>
        </w:tc>
        <w:tc>
          <w:tcPr>
            <w:tcW w:w="3402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Полнота подтверждена. Не закреплён порядок задания организатором параметров поездки: ограничения на число участников и параметров ссылки-приглашения (УТ-1). Приглашение по коду, заявленное в пользовательской истории, в перечне требований не предусмотрено (УТ-5). Пошаговое представление маршрута обеспечено требованием FR-24, но собственного сценария не имеет (УТ-4).</w:t>
            </w:r>
          </w:p>
        </w:tc>
      </w:tr>
      <w:tr w:rsidR="00D63BE8">
        <w:tc>
          <w:tcPr>
            <w:tcW w:w="192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lastRenderedPageBreak/>
              <w:t>StH-02. Приглашённый участник поездки</w:t>
            </w:r>
          </w:p>
        </w:tc>
        <w:tc>
          <w:tcPr>
            <w:tcW w:w="2721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Открыть маршрут по ссылке-приглашению; видеть изменения других участников в реальном времени; предложить свою точку интереса; видеть, кто из участников работает с картой; получать уведомление об изменении маршрута; открыть итоговый маршрут в собственном навигаторе.</w:t>
            </w:r>
          </w:p>
        </w:tc>
        <w:tc>
          <w:tcPr>
            <w:tcW w:w="2154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FR-07, FR-09, FR-12, FR-15, FR-18 – FR-23, FR-26; NFR-02, NFR-04, NFR-06, NFR-09</w:t>
            </w:r>
          </w:p>
        </w:tc>
        <w:tc>
          <w:tcPr>
            <w:tcW w:w="3402" w:type="dxa"/>
          </w:tcPr>
          <w:p w:rsidR="00D63BE8" w:rsidRDefault="00DC6FD5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Основные потребности покрыты. </w:t>
            </w:r>
          </w:p>
        </w:tc>
      </w:tr>
      <w:tr w:rsidR="00D63BE8">
        <w:tc>
          <w:tcPr>
            <w:tcW w:w="192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StH-03. Поставщик картографических данных и данных о достопримечательностях</w:t>
            </w:r>
          </w:p>
        </w:tc>
        <w:tc>
          <w:tcPr>
            <w:tcW w:w="2721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Соблюдение суточных лимитов запросов; соблюдение лицензионных условий, включая обязательное указание источника данных; учёт права провайдера изменить формат ответа или тарификацию.</w:t>
            </w:r>
          </w:p>
        </w:tc>
        <w:tc>
          <w:tcPr>
            <w:tcW w:w="2154" w:type="dxa"/>
          </w:tcPr>
          <w:p w:rsidR="00D63BE8" w:rsidRPr="00DC6FD5" w:rsidRDefault="00000000">
            <w:pPr>
              <w:spacing w:before="0" w:line="240" w:lineRule="auto"/>
              <w:ind w:firstLine="0"/>
              <w:jc w:val="left"/>
              <w:rPr>
                <w:lang w:val="en-US"/>
              </w:rPr>
            </w:pPr>
            <w:r w:rsidRPr="00DC6FD5">
              <w:rPr>
                <w:sz w:val="20"/>
                <w:lang w:val="en-US"/>
              </w:rPr>
              <w:t>FR-04, FR-08, FR-28; NFR-07, NFR-12; CON-01 – CON-03, CON-08, CON-10</w:t>
            </w:r>
          </w:p>
        </w:tc>
        <w:tc>
          <w:tcPr>
            <w:tcW w:w="3402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Полнота подтверждена. Изменение формата ответа провайдера как отдельная причина отказа в требованиях не рассмотрено: требования FR-04 и NFR-07 закрывают ошибку и недоступность сервиса, но не несоответствие ответа ожидаемой схеме данных (УТ-6).</w:t>
            </w:r>
          </w:p>
        </w:tc>
      </w:tr>
      <w:tr w:rsidR="00D63BE8">
        <w:tc>
          <w:tcPr>
            <w:tcW w:w="192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Правовые ограничения (152-ФЗ)</w:t>
            </w:r>
          </w:p>
        </w:tc>
        <w:tc>
          <w:tcPr>
            <w:tcW w:w="2721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Получение согласия на обработку персональных и геолокационных данных до начала их сбора; право пользователя на доступ к своим данным, их изменение и удаление; минимизация состава данных, передаваемых участникам совместной сессии.</w:t>
            </w:r>
          </w:p>
        </w:tc>
        <w:tc>
          <w:tcPr>
            <w:tcW w:w="2154" w:type="dxa"/>
          </w:tcPr>
          <w:p w:rsidR="00D63BE8" w:rsidRPr="00DC6FD5" w:rsidRDefault="00000000">
            <w:pPr>
              <w:spacing w:before="0" w:line="240" w:lineRule="auto"/>
              <w:ind w:firstLine="0"/>
              <w:jc w:val="left"/>
              <w:rPr>
                <w:lang w:val="en-US"/>
              </w:rPr>
            </w:pPr>
            <w:r w:rsidRPr="00DC6FD5">
              <w:rPr>
                <w:sz w:val="20"/>
                <w:lang w:val="en-US"/>
              </w:rPr>
              <w:t>FR-29, FR-30; NFR-08, NFR-09; CON-06, CON-07</w:t>
            </w:r>
          </w:p>
        </w:tc>
        <w:tc>
          <w:tcPr>
            <w:tcW w:w="3402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Полнота подтверждена. Срок исполнения запроса в требовании FR-30 нуждается в уточнении, разбор приведён в таблице 4.</w:t>
            </w:r>
          </w:p>
        </w:tc>
      </w:tr>
    </w:tbl>
    <w:p w:rsidR="00D63BE8" w:rsidRDefault="00000000">
      <w:pPr>
        <w:spacing w:before="0"/>
        <w:ind w:firstLine="850"/>
      </w:pPr>
      <w:r>
        <w:t>Стейкхолдеров, чьи потребности остались бы без требований, нет: все три роли и правовые ограничения обеспечены требованиями перечня. Замечания относятся к порядку задания параметров поездки организатором, каналу уведомлений об изменении маршрута и составу прав приглашённого участника.</w:t>
      </w:r>
    </w:p>
    <w:p w:rsidR="00D63BE8" w:rsidRDefault="00000000">
      <w:pPr>
        <w:keepNext/>
        <w:ind w:firstLine="850"/>
      </w:pPr>
      <w:r>
        <w:rPr>
          <w:b/>
        </w:rPr>
        <w:t>2. Проверка полноты по сценариям использования</w:t>
      </w:r>
    </w:p>
    <w:p w:rsidR="00D63BE8" w:rsidRDefault="00000000">
      <w:pPr>
        <w:spacing w:before="0"/>
        <w:ind w:firstLine="850"/>
      </w:pPr>
      <w:r>
        <w:t>Каждый шаг основного потока сценариев UC-1 – UC-4, всего 27 шагов, и каждый альтернативный поток, всего 9, сопоставлены с требованиями перечня (таблица 3). Шагов, не обеспеченных ни одним требованием, не выявлено.</w:t>
      </w:r>
    </w:p>
    <w:p w:rsidR="00D63BE8" w:rsidRDefault="00000000">
      <w:pPr>
        <w:keepNext/>
        <w:spacing w:after="120" w:line="240" w:lineRule="auto"/>
        <w:ind w:firstLine="0"/>
        <w:jc w:val="left"/>
      </w:pPr>
      <w:r>
        <w:t>Таблица 3 – Сопоставление шагов сценариев использования и требований</w:t>
      </w:r>
    </w:p>
    <w:tbl>
      <w:tblPr>
        <w:tblStyle w:val="ac"/>
        <w:tblW w:w="10206" w:type="dxa"/>
        <w:tblLayout w:type="fixed"/>
        <w:tblLook w:val="04A0" w:firstRow="1" w:lastRow="0" w:firstColumn="1" w:lastColumn="0" w:noHBand="0" w:noVBand="1"/>
      </w:tblPr>
      <w:tblGrid>
        <w:gridCol w:w="2269"/>
        <w:gridCol w:w="4989"/>
        <w:gridCol w:w="2948"/>
      </w:tblGrid>
      <w:tr w:rsidR="00D63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8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w="4989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Шаги основного потока и покрывающие их требования</w:t>
            </w:r>
          </w:p>
        </w:tc>
        <w:tc>
          <w:tcPr>
            <w:tcW w:w="2948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Результат проверки</w:t>
            </w:r>
          </w:p>
        </w:tc>
      </w:tr>
      <w:tr w:rsidR="00D63BE8">
        <w:tc>
          <w:tcPr>
            <w:tcW w:w="226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UC-1. Построение маршрута с промежуточными точками и подбором точек интереса</w:t>
            </w:r>
          </w:p>
        </w:tc>
        <w:tc>
          <w:tcPr>
            <w:tcW w:w="498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Шаг 1: FR-01; шаг 2: FR-01; шаг 3: FR-01; шаг 4: FR-02, NFR-01; шаг 5: FR-03; шаг 6: FR-23; шаг 7: FR-06, FR-08, NFR-03, NFR-11, CON-03; шаг 8: FR-10, при этом состав параметров поездки не закреплён. Альтернативные потоки: 1: FR-04, NFR-12; 2: FR-05, NFR-12.</w:t>
            </w:r>
          </w:p>
        </w:tc>
        <w:tc>
          <w:tcPr>
            <w:tcW w:w="294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Семь шагов из восьми покрыты полностью, шаг 8 покрыт частично (УТ-1); оба альтернативных потока покрыты полностью.</w:t>
            </w:r>
          </w:p>
        </w:tc>
      </w:tr>
      <w:tr w:rsidR="00D63BE8">
        <w:tc>
          <w:tcPr>
            <w:tcW w:w="226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UC-2. Приглашение участника к совместному планированию поездки</w:t>
            </w:r>
          </w:p>
        </w:tc>
        <w:tc>
          <w:tcPr>
            <w:tcW w:w="498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Шаг 1: FR-10, FR-11; шаг 2: FR-11, NFR-10; шаг 3: FR-11; шаг 4: CON-09, шаг выполняется внешним каналом связи; шаг 5: FR-12, FR-13, NFR-09; шаг 6: FR-15; шаг 7: FR-16; шаг 8: FR-15. Альтернативные потоки: 1: FR-09, NFR-08; 2: FR-13; 3: FR-14; 4: FR-17.</w:t>
            </w:r>
          </w:p>
        </w:tc>
        <w:tc>
          <w:tcPr>
            <w:tcW w:w="294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Все восемь шагов и все четыре альтернативных потока покрыты полностью.</w:t>
            </w:r>
          </w:p>
        </w:tc>
      </w:tr>
      <w:tr w:rsidR="00D63BE8">
        <w:tc>
          <w:tcPr>
            <w:tcW w:w="226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lastRenderedPageBreak/>
              <w:t>UC-3. Совместное редактирование маршрута в реальном времени</w:t>
            </w:r>
          </w:p>
        </w:tc>
        <w:tc>
          <w:tcPr>
            <w:tcW w:w="498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Шаг 1: FR-10, FR-20, NFR-09; шаг 2: FR-07, FR-15, FR-18; шаг 3: FR-18; шаг 4: FR-19, NFR-02, NFR-04; шаг 5: FR-20, CON-07. Альтернативный поток 1: FR-22, NFR-06.</w:t>
            </w:r>
          </w:p>
        </w:tc>
        <w:tc>
          <w:tcPr>
            <w:tcW w:w="294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Все пять шагов и альтернативный поток покрыты полностью. Требование FR-21 к шагам сценария не привязано, хотя отвечает заявленному StH-02 опасению конфликта правок.</w:t>
            </w:r>
          </w:p>
        </w:tc>
      </w:tr>
      <w:tr w:rsidR="00D63BE8">
        <w:tc>
          <w:tcPr>
            <w:tcW w:w="226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UC-4. Экспорт готового маршрута во внешнее навигационное приложение</w:t>
            </w:r>
          </w:p>
        </w:tc>
        <w:tc>
          <w:tcPr>
            <w:tcW w:w="498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Шаг 1: FR-25; шаг 2: FR-25, CON-08; шаг 3: FR-26; шаг 4: FR-26, NFR-13; шаг 5: CON-04, шаг выполняется внешним приложением; шаг 6: CON-04, шаг выполняется внешним приложением. Альтернативные потоки: 1: FR-27, NFR-13; 2: FR-28.</w:t>
            </w:r>
          </w:p>
        </w:tc>
        <w:tc>
          <w:tcPr>
            <w:tcW w:w="294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Все шесть шагов покрыты полностью. Альтернативный поток 2 покрыт частично: сценарий предусматривает только уведомление организатора, а требование FR-28 допускает также автоматическое исключение точек; разбор приведён в таблице 4.</w:t>
            </w:r>
          </w:p>
        </w:tc>
      </w:tr>
    </w:tbl>
    <w:p w:rsidR="00D63BE8" w:rsidRDefault="00000000">
      <w:pPr>
        <w:spacing w:before="0"/>
        <w:ind w:firstLine="850"/>
      </w:pPr>
      <w:r>
        <w:t>Итого полностью обеспечены 26 шагов из 27, один шаг обеспечен частично; из девяти альтернативных потоков полностью обеспечены восемь. К шагам сценариев не привязаны четыре требования: FR-21, FR-24, FR-29 и FR-30. Требование FR-21 обосновано опасением StH-02, требование FR-24 обосновано пользовательской историей StH-01 и нуждается в собственном сценарии (УТ-4), а требования FR-29 и FR-30 вытекают из правовых ограничений и в сценариях использования не описываются. Сценариев, не обеспеченных требованиями, нет.</w:t>
      </w:r>
    </w:p>
    <w:p w:rsidR="00D63BE8" w:rsidRDefault="00000000">
      <w:pPr>
        <w:keepNext/>
        <w:ind w:firstLine="850"/>
      </w:pPr>
      <w:r>
        <w:rPr>
          <w:b/>
        </w:rPr>
        <w:t>3. Проверка на однозначность</w:t>
      </w:r>
    </w:p>
    <w:p w:rsidR="00D63BE8" w:rsidRDefault="00000000">
      <w:pPr>
        <w:spacing w:before="0"/>
        <w:ind w:firstLine="850"/>
      </w:pPr>
      <w:r>
        <w:t>Формулировки всех 53 требований проверены на оценочные слова и неопределённые выражения. Оценочные термины первичного анализа в перечне уже получили числовые критерии: время построения маршрута задано в NFR-01, задержка синхронизации изменений в NFR-02, радиус подбора точек интереса в FR-06 и FR-23, срок жизни записи кэша в FR-08, срок восстановления сессии в FR-22. Осталось восемь мест, где критерий задан, но не определены его границы, состав или единственный порядок действий (таблица 4).</w:t>
      </w:r>
    </w:p>
    <w:p w:rsidR="00D63BE8" w:rsidRDefault="00000000">
      <w:pPr>
        <w:keepNext/>
        <w:spacing w:after="120" w:line="240" w:lineRule="auto"/>
        <w:ind w:firstLine="0"/>
        <w:jc w:val="left"/>
      </w:pPr>
      <w:r>
        <w:t>Таблица 4 – Уточнение неоднозначных формулировок</w:t>
      </w:r>
    </w:p>
    <w:tbl>
      <w:tblPr>
        <w:tblStyle w:val="ac"/>
        <w:tblW w:w="10206" w:type="dxa"/>
        <w:tblLayout w:type="fixed"/>
        <w:tblLook w:val="04A0" w:firstRow="1" w:lastRow="0" w:firstColumn="1" w:lastColumn="0" w:noHBand="0" w:noVBand="1"/>
      </w:tblPr>
      <w:tblGrid>
        <w:gridCol w:w="1248"/>
        <w:gridCol w:w="2154"/>
        <w:gridCol w:w="2835"/>
        <w:gridCol w:w="3969"/>
      </w:tblGrid>
      <w:tr w:rsidR="00D63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7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2154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Формулировка</w:t>
            </w:r>
          </w:p>
        </w:tc>
        <w:tc>
          <w:tcPr>
            <w:tcW w:w="2835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Проблема</w:t>
            </w:r>
          </w:p>
        </w:tc>
        <w:tc>
          <w:tcPr>
            <w:tcW w:w="3969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Предлагаемое уточнение</w:t>
            </w:r>
          </w:p>
        </w:tc>
      </w:tr>
      <w:tr w:rsidR="00D63BE8">
        <w:tc>
          <w:tcPr>
            <w:tcW w:w="124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FR-08</w:t>
            </w:r>
          </w:p>
        </w:tc>
        <w:tc>
          <w:tcPr>
            <w:tcW w:w="2154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«для того же участка маршрута»</w:t>
            </w:r>
          </w:p>
        </w:tc>
        <w:tc>
          <w:tcPr>
            <w:tcW w:w="283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Не определено, что считается участком маршрута, то есть не задан ключ кэша.</w:t>
            </w:r>
          </w:p>
        </w:tc>
        <w:tc>
          <w:tcPr>
            <w:tcW w:w="396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Считать участком маршрута пару соседних точек маршрута с координатами, округлёнными до пяти знаков после запятой; в ключ кэша дополнительно включать радиус подбора и набор категорий точек интереса, как это описано в подразделе ТЗ «Требования к структуре данных».</w:t>
            </w:r>
          </w:p>
        </w:tc>
      </w:tr>
      <w:tr w:rsidR="00D63BE8">
        <w:tc>
          <w:tcPr>
            <w:tcW w:w="124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FR-11, NFR-10</w:t>
            </w:r>
          </w:p>
        </w:tc>
        <w:tc>
          <w:tcPr>
            <w:tcW w:w="2154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«допустимым числом переходов»</w:t>
            </w:r>
          </w:p>
        </w:tc>
        <w:tc>
          <w:tcPr>
            <w:tcW w:w="283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Не определены границы значения, задаваемого организатором.</w:t>
            </w:r>
          </w:p>
        </w:tc>
        <w:tc>
          <w:tcPr>
            <w:tcW w:w="396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Задавать число переходов по ссылке-приглашению в диапазоне от 1 до 10 со значением по умолчанию, равным ограничению на число участников поездки.</w:t>
            </w:r>
          </w:p>
        </w:tc>
      </w:tr>
      <w:tr w:rsidR="00D63BE8">
        <w:tc>
          <w:tcPr>
            <w:tcW w:w="124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FR-14</w:t>
            </w:r>
          </w:p>
        </w:tc>
        <w:tc>
          <w:tcPr>
            <w:tcW w:w="2154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«установленного организатором ограничения на число участников поездки»</w:t>
            </w:r>
          </w:p>
        </w:tc>
        <w:tc>
          <w:tcPr>
            <w:tcW w:w="283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Границы задаваемого значения не определены, при этом NFR-04 требует </w:t>
            </w:r>
            <w:r>
              <w:rPr>
                <w:sz w:val="20"/>
              </w:rPr>
              <w:lastRenderedPageBreak/>
              <w:t>поддержки не менее 10 участников в одной сессии.</w:t>
            </w:r>
          </w:p>
        </w:tc>
        <w:tc>
          <w:tcPr>
            <w:tcW w:w="396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lastRenderedPageBreak/>
              <w:t>Задавать ограничение в диапазоне от 2 до 10 участников со значением по умолчанию 10; верхнюю границу согласовать с NFR-04.</w:t>
            </w:r>
          </w:p>
        </w:tc>
      </w:tr>
      <w:tr w:rsidR="00D63BE8">
        <w:tc>
          <w:tcPr>
            <w:tcW w:w="124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FR-16, StH-02</w:t>
            </w:r>
          </w:p>
        </w:tc>
        <w:tc>
          <w:tcPr>
            <w:tcW w:w="2154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«уведомлять организатора»; «получить push-уведомление» в пользовательской истории</w:t>
            </w:r>
          </w:p>
        </w:tc>
        <w:tc>
          <w:tcPr>
            <w:tcW w:w="283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Канал доставки уведомлений не определён ни в перечне требований, ни в ТЗ.</w:t>
            </w:r>
          </w:p>
        </w:tc>
        <w:tc>
          <w:tcPr>
            <w:tcW w:w="396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Доставлять уведомление в приложении по активному соединению сессии, а при отсутствии активной сессии push-уведомлением на устройство; электронную почту использовать только для одноразовых кодов подтверждения по FR-09.</w:t>
            </w:r>
          </w:p>
        </w:tc>
      </w:tr>
      <w:tr w:rsidR="00D63BE8">
        <w:tc>
          <w:tcPr>
            <w:tcW w:w="124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FR-28</w:t>
            </w:r>
          </w:p>
        </w:tc>
        <w:tc>
          <w:tcPr>
            <w:tcW w:w="2154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«исключать из экспорта точки, добавленные из точек интереса, либо уведомлять организатора»</w:t>
            </w:r>
          </w:p>
        </w:tc>
        <w:tc>
          <w:tcPr>
            <w:tcW w:w="283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Союз «либо» оставляет выбор поведения за реализацией, поэтому требование нельзя проверить однозначно; кроме того, альтернативный поток 2 сценария UC-4 описывает только второй вариант.</w:t>
            </w:r>
          </w:p>
        </w:tc>
        <w:tc>
          <w:tcPr>
            <w:tcW w:w="396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Закрепить единый порядок: система уведомляет организатора о превышении ограничения и по его подтверждению исключает точки, добавленные из точек интереса, в порядке, обратном порядку их добавления. Соответственно уточнить альтернативный поток 2 сценария UC-4.</w:t>
            </w:r>
          </w:p>
        </w:tc>
      </w:tr>
      <w:tr w:rsidR="00D63BE8">
        <w:tc>
          <w:tcPr>
            <w:tcW w:w="124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FR-30</w:t>
            </w:r>
          </w:p>
        </w:tc>
        <w:tc>
          <w:tcPr>
            <w:tcW w:w="2154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«в срок не более 3 рабочих дней с момента запроса»</w:t>
            </w:r>
          </w:p>
        </w:tc>
        <w:tc>
          <w:tcPr>
            <w:tcW w:w="283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Срок расходится с собственным критерием верификации того же требования, в котором удаление проверяется демонстрацией сразу после действия пользователя.</w:t>
            </w:r>
          </w:p>
        </w:tc>
        <w:tc>
          <w:tcPr>
            <w:tcW w:w="396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Разделить два случая: самостоятельное удаление маршрута и учётной записи пользователем выполняется непосредственно по его действию и проверяется демонстрацией, а срок не более 3 рабочих дней относить к обработке письменного запроса пользователя оператору системы.</w:t>
            </w:r>
          </w:p>
        </w:tc>
      </w:tr>
      <w:tr w:rsidR="00D63BE8">
        <w:tc>
          <w:tcPr>
            <w:tcW w:w="124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NFR-05</w:t>
            </w:r>
          </w:p>
        </w:tc>
        <w:tc>
          <w:tcPr>
            <w:tcW w:w="2154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«не менее 99 % времени календарного месяца без учёта планового обслуживания»</w:t>
            </w:r>
          </w:p>
        </w:tc>
        <w:tc>
          <w:tcPr>
            <w:tcW w:w="283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Не определено, что считается простоем системы.</w:t>
            </w:r>
          </w:p>
        </w:tc>
        <w:tc>
          <w:tcPr>
            <w:tcW w:w="396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Считать простоем недоступность входа в систему, открытия сохранённого маршрута и сессии совместного редактирования. Окно планового обслуживания определено в подразделе ТЗ «Требования к эксплуатации, техническому обслуживанию, ремонту и хранению компонентов системы» и в расчёт не включается.</w:t>
            </w:r>
          </w:p>
        </w:tc>
      </w:tr>
      <w:tr w:rsidR="00D63BE8">
        <w:tc>
          <w:tcPr>
            <w:tcW w:w="124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NFR-12</w:t>
            </w:r>
          </w:p>
        </w:tc>
        <w:tc>
          <w:tcPr>
            <w:tcW w:w="2154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«в формулировке, понятной пользователю»</w:t>
            </w:r>
          </w:p>
        </w:tc>
        <w:tc>
          <w:tcPr>
            <w:tcW w:w="283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Понятность является оценочным свойством и при приёмке не проверяется.</w:t>
            </w:r>
          </w:p>
        </w:tc>
        <w:tc>
          <w:tcPr>
            <w:tcW w:w="396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Проверять не понятность, а состав сообщения: причина отказа на русском языке, код ошибки для обращения в службу поддержки и элемент повтора операции. Перечень пяти классов отказов зафиксировать в руководстве пользователя.</w:t>
            </w:r>
          </w:p>
        </w:tc>
      </w:tr>
    </w:tbl>
    <w:p w:rsidR="00D63BE8" w:rsidRDefault="00000000">
      <w:pPr>
        <w:spacing w:before="0"/>
        <w:ind w:firstLine="850"/>
      </w:pPr>
      <w:r>
        <w:t>С учётом перечисленных замен каждое требование можно однозначно реализовать и проверить при приёмке. Отдельно отмечено, что отсутствие в ТЗ наименования конкретного резидентного средства кэширования неоднозначностью не является: подраздел «Требования к программному обеспечению» задаёт требуемые свойства такого средства и прямо оставляет выбор программного продукта исполнителю. Остальные количественные критерии требований FR-06, FR-22, FR-23, NFR-01 – NFR-04 и NFR-08 уточнений не требуют.</w:t>
      </w:r>
    </w:p>
    <w:p w:rsidR="00D63BE8" w:rsidRDefault="00000000">
      <w:pPr>
        <w:keepNext/>
        <w:ind w:firstLine="850"/>
      </w:pPr>
      <w:r>
        <w:rPr>
          <w:b/>
        </w:rPr>
        <w:t>4. Проверка на непротиворечивость</w:t>
      </w:r>
    </w:p>
    <w:p w:rsidR="00D63BE8" w:rsidRDefault="00000000">
      <w:pPr>
        <w:spacing w:before="0"/>
        <w:ind w:firstLine="850"/>
      </w:pPr>
      <w:r>
        <w:t>Требования, затрагивающие одну функцию или одну характеристику системы, проверены на возможность одновременного выполнения. Групп требований, которые нельзя выполнить вместе, не найдено; выявлено семь мест, где требования могут вступить в конфликт при реализации (таблица 5).</w:t>
      </w:r>
    </w:p>
    <w:p w:rsidR="00D63BE8" w:rsidRDefault="00000000">
      <w:pPr>
        <w:keepNext/>
        <w:spacing w:after="120" w:line="240" w:lineRule="auto"/>
        <w:ind w:firstLine="0"/>
        <w:jc w:val="left"/>
      </w:pPr>
      <w:r>
        <w:lastRenderedPageBreak/>
        <w:t>Таблица 5 – Проверка непротиворечивости требований</w:t>
      </w:r>
    </w:p>
    <w:tbl>
      <w:tblPr>
        <w:tblStyle w:val="ac"/>
        <w:tblW w:w="10206" w:type="dxa"/>
        <w:tblLayout w:type="fixed"/>
        <w:tblLook w:val="04A0" w:firstRow="1" w:lastRow="0" w:firstColumn="1" w:lastColumn="0" w:noHBand="0" w:noVBand="1"/>
      </w:tblPr>
      <w:tblGrid>
        <w:gridCol w:w="510"/>
        <w:gridCol w:w="1757"/>
        <w:gridCol w:w="3686"/>
        <w:gridCol w:w="4253"/>
      </w:tblGrid>
      <w:tr w:rsidR="00D63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0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1757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Группа требований</w:t>
            </w:r>
          </w:p>
        </w:tc>
        <w:tc>
          <w:tcPr>
            <w:tcW w:w="3685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Потенциальное противоречие</w:t>
            </w:r>
          </w:p>
        </w:tc>
        <w:tc>
          <w:tcPr>
            <w:tcW w:w="4252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Стратегия разрешения</w:t>
            </w:r>
          </w:p>
        </w:tc>
      </w:tr>
      <w:tr w:rsidR="00D63BE8">
        <w:tc>
          <w:tcPr>
            <w:tcW w:w="51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757" w:type="dxa"/>
          </w:tcPr>
          <w:p w:rsidR="00D63BE8" w:rsidRPr="00DC6FD5" w:rsidRDefault="00000000">
            <w:pPr>
              <w:spacing w:before="0" w:line="240" w:lineRule="auto"/>
              <w:ind w:firstLine="0"/>
              <w:jc w:val="left"/>
              <w:rPr>
                <w:lang w:val="en-US"/>
              </w:rPr>
            </w:pPr>
            <w:r w:rsidRPr="00DC6FD5">
              <w:rPr>
                <w:sz w:val="20"/>
                <w:lang w:val="en-US"/>
              </w:rPr>
              <w:t xml:space="preserve">CON-10, CON-02 </w:t>
            </w:r>
            <w:r>
              <w:rPr>
                <w:sz w:val="20"/>
              </w:rPr>
              <w:t>и</w:t>
            </w:r>
            <w:r w:rsidRPr="00DC6FD5">
              <w:rPr>
                <w:sz w:val="20"/>
                <w:lang w:val="en-US"/>
              </w:rPr>
              <w:t xml:space="preserve"> NFR-04, NFR-01</w:t>
            </w:r>
          </w:p>
        </w:tc>
        <w:tc>
          <w:tcPr>
            <w:tcW w:w="368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Ограничение CON-10 допускает эксплуатацию только в пределах бесплатных тарифных планов внешних сервисов, а требование NFR-04 устанавливает поддержку 200 одновременных сессий, каждая из которых обращается к провайдеру за построением маршрута и подбором точек интереса; суточный лимит бесплатного тарифа при такой нагрузке может быть исчерпан.</w:t>
            </w:r>
          </w:p>
        </w:tc>
        <w:tc>
          <w:tcPr>
            <w:tcW w:w="4252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Приоритет бюджетного ограничения. Число обращений к провайдеру сокращается кэшированием по FR-08, повторное построение маршрута выполняется только при изменении набора точек. Расчёт прогнозного числа запросов выполняется по критерию верификации CON-10 до начала реализации; если лимита бесплатного тарифа недостаточно, снижается значение NFR-04 как требования с приоритетом Should Have, а ограничение CON-10 не нарушается.</w:t>
            </w:r>
          </w:p>
        </w:tc>
      </w:tr>
      <w:tr w:rsidR="00D63BE8">
        <w:tc>
          <w:tcPr>
            <w:tcW w:w="51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175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FR-24 и CON-04</w:t>
            </w:r>
          </w:p>
        </w:tc>
        <w:tc>
          <w:tcPr>
            <w:tcW w:w="368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Требование FR-24 отображает текущее положение пользователя при прохождении маршрута, а ограничение CON-04 исключает навигацию по факту поездки.</w:t>
            </w:r>
          </w:p>
        </w:tc>
        <w:tc>
          <w:tcPr>
            <w:tcW w:w="4252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Приоритет ограничения. Пошаговое представление отображает положение пользователя, следующую точку и расстояние до неё, не строит линию пути, не перестраивает маршрут по дорожной обстановке и не выдаёт голосовых подсказок. Отображение положения навигацией не считается, и формулировку CON-04 следует дополнить этой оговоркой.</w:t>
            </w:r>
          </w:p>
        </w:tc>
      </w:tr>
      <w:tr w:rsidR="00D63BE8">
        <w:tc>
          <w:tcPr>
            <w:tcW w:w="51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175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FR-23 и FR-15, FR-11, FR-14</w:t>
            </w:r>
          </w:p>
        </w:tc>
        <w:tc>
          <w:tcPr>
            <w:tcW w:w="368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Требование FR-23 позволяет любому участнику с ролью редактора изменить радиус подбора точек интереса для всех участников поездки, тогда как состав группы и параметры доступа к поездке остаются за организатором.</w:t>
            </w:r>
          </w:p>
        </w:tc>
        <w:tc>
          <w:tcPr>
            <w:tcW w:w="4252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Разделить настройки по уровню доступа: радиус подбора и набор категорий точек интереса изменяет организатор и любой участник с ролью редактора, изменение фиксируется с указанием его автора; ограничение на число участников и параметры ссылки-приглашения изменяет только организатор, как это задано требованиями FR-11, FR-14 и NFR-10.</w:t>
            </w:r>
          </w:p>
        </w:tc>
      </w:tr>
      <w:tr w:rsidR="00D63BE8">
        <w:tc>
          <w:tcPr>
            <w:tcW w:w="51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175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FR-22 и FR-19, NFR-06</w:t>
            </w:r>
          </w:p>
        </w:tc>
        <w:tc>
          <w:tcPr>
            <w:tcW w:w="368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Требование FR-22 сохраняет изменения, внесённые участником до разрыва соединения, а требование FR-19 за время разрыва могло зафиксировать изменения тех же точек, внесённые другими участниками сессии.</w:t>
            </w:r>
          </w:p>
        </w:tc>
        <w:tc>
          <w:tcPr>
            <w:tcW w:w="4252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Базой считать состояние маршрута на сервере: при восстановлении соединения неподтверждённые изменения участника применяются как новые события поверх актуального состояния. Если та же точка была изменена другим участником, применяется более позднее событие, а участник получает уведомление по правилам, определяемым при уточнении УТ-2.</w:t>
            </w:r>
          </w:p>
        </w:tc>
      </w:tr>
      <w:tr w:rsidR="00D63BE8">
        <w:tc>
          <w:tcPr>
            <w:tcW w:w="51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175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FR-17 и FR-19, NFR-06</w:t>
            </w:r>
          </w:p>
        </w:tc>
        <w:tc>
          <w:tcPr>
            <w:tcW w:w="368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Требование FR-17 немедленно прекращает доступ исключённого участника к маршруту, тогда как внесённые им и подтверждённые сервером изменения остаются в маршруте, а требование NFR-06 запрещает их терять.</w:t>
            </w:r>
          </w:p>
        </w:tc>
        <w:tc>
          <w:tcPr>
            <w:tcW w:w="4252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Исключение участника действует только на будущее: подтверждённые изменения остаются в маршруте с сохранением сведений об их авторе, а нежелательные точки организатор удаляет обычным редактированием маршрута.</w:t>
            </w:r>
          </w:p>
        </w:tc>
      </w:tr>
      <w:tr w:rsidR="00D63BE8">
        <w:tc>
          <w:tcPr>
            <w:tcW w:w="51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w="1757" w:type="dxa"/>
          </w:tcPr>
          <w:p w:rsidR="00D63BE8" w:rsidRPr="00DC6FD5" w:rsidRDefault="00000000">
            <w:pPr>
              <w:spacing w:before="0" w:line="240" w:lineRule="auto"/>
              <w:ind w:firstLine="0"/>
              <w:jc w:val="left"/>
              <w:rPr>
                <w:lang w:val="en-US"/>
              </w:rPr>
            </w:pPr>
            <w:r w:rsidRPr="00DC6FD5">
              <w:rPr>
                <w:sz w:val="20"/>
                <w:lang w:val="en-US"/>
              </w:rPr>
              <w:t xml:space="preserve">FR-30 </w:t>
            </w:r>
            <w:r>
              <w:rPr>
                <w:sz w:val="20"/>
              </w:rPr>
              <w:t>и</w:t>
            </w:r>
            <w:r w:rsidRPr="00DC6FD5">
              <w:rPr>
                <w:sz w:val="20"/>
                <w:lang w:val="en-US"/>
              </w:rPr>
              <w:t xml:space="preserve"> FR-10, FR-12, NFR-06</w:t>
            </w:r>
          </w:p>
        </w:tc>
        <w:tc>
          <w:tcPr>
            <w:tcW w:w="368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Требование FR-30 позволяет пользователю удалить свои сохранённые маршруты, однако маршрут поездки организатора одновременно является рабочим документом приглашённых участников.</w:t>
            </w:r>
          </w:p>
        </w:tc>
        <w:tc>
          <w:tcPr>
            <w:tcW w:w="4252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Приоритет права субъекта персональных данных. При удалении учётной записи организатора поездка удаляется вместе с ней, участники уведомляются заранее за срок, определяемый при уточнении FR-30. Передача поездки другому участнику в текущем объёме работ не выполняется, что следует зафиксировать в границах системы.</w:t>
            </w:r>
          </w:p>
        </w:tc>
      </w:tr>
      <w:tr w:rsidR="00D63BE8">
        <w:tc>
          <w:tcPr>
            <w:tcW w:w="51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w="175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FR-08 и FR-06, NFR-11</w:t>
            </w:r>
          </w:p>
        </w:tc>
        <w:tc>
          <w:tcPr>
            <w:tcW w:w="368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Требование FR-08 допускает повторное использование ответа внешнего сервиса в течение 24 часов, тогда как реестр рисков первичного анализа содержит риск неточных и устаревших сведений о точке интереса.</w:t>
            </w:r>
          </w:p>
        </w:tc>
        <w:tc>
          <w:tcPr>
            <w:tcW w:w="4252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Срок 24 часа принять как компромисс с ограничениями CON-02 и CON-10. Ключ кэша включает радиус подбора и набор категорий точек интереса, поэтому их изменение приводит к новому запросу (уточнение приведено в таблице 4); в карточке точки </w:t>
            </w:r>
            <w:r>
              <w:rPr>
                <w:sz w:val="20"/>
              </w:rPr>
              <w:lastRenderedPageBreak/>
              <w:t>интереса дополнительно отображать время получения сведений, что согласуется с NFR-11.</w:t>
            </w:r>
          </w:p>
        </w:tc>
      </w:tr>
    </w:tbl>
    <w:p w:rsidR="00D63BE8" w:rsidRDefault="00000000">
      <w:pPr>
        <w:spacing w:before="0"/>
        <w:ind w:firstLine="850"/>
      </w:pPr>
      <w:r>
        <w:lastRenderedPageBreak/>
        <w:t>При соблюдении указанных стратегий конфликты снимаются. Особое внимание нужно уделить трём вопросам: расчёту прогнозного числа запросов к внешним сервисам до начала реализации, порядку применения изменений при восстановлении сессии и судьбе поездки при удалении учётной записи организатора. Остальные проверенные группы требований совместимы: NFR-01 и FR-06, NFR-03 (подбор точек интереса выполняется отдельным запросом и измеряется после отображения маршрута, поэтому порог 3 с не нарушается), CON-07 и FR-21 (участникам передаются отображаемое имя и действие с точкой маршрута, чего достаточно для признака редактирования), NFR-08 и FR-09 (хранение кода подтверждения только в виде хеша не препятствует входу по одноразовому коду), CON-03 и FR-08 (кэш ответов внешнего сервиса собственным каталогом описаний объектов не является, что прямо оговорено в критерии верификации CON-03).</w:t>
      </w:r>
    </w:p>
    <w:p w:rsidR="00D63BE8" w:rsidRDefault="00000000">
      <w:pPr>
        <w:keepNext/>
        <w:ind w:firstLine="850"/>
      </w:pPr>
      <w:r>
        <w:rPr>
          <w:b/>
        </w:rPr>
        <w:t>5. Требования, подлежащие уточнению</w:t>
      </w:r>
    </w:p>
    <w:p w:rsidR="00D63BE8" w:rsidRDefault="00000000">
      <w:pPr>
        <w:spacing w:before="0"/>
        <w:ind w:firstLine="850"/>
      </w:pPr>
      <w:r>
        <w:t>Перечисленные ниже пункты не мешают реализации основных функций системы, но их следует закрыть до утверждения комплекса документов. После согласования изменения вносятся в документы «Классификация и формализация требований», «Сценарии использования системы», «Первичный анализ продукта» и в техническое задание.</w:t>
      </w:r>
    </w:p>
    <w:p w:rsidR="00D63BE8" w:rsidRDefault="00000000">
      <w:pPr>
        <w:keepNext/>
        <w:spacing w:after="120" w:line="240" w:lineRule="auto"/>
        <w:ind w:firstLine="0"/>
        <w:jc w:val="left"/>
      </w:pPr>
      <w:r>
        <w:t>Таблица 6 – Требования, подлежащие уточнению</w:t>
      </w:r>
    </w:p>
    <w:tbl>
      <w:tblPr>
        <w:tblStyle w:val="ac"/>
        <w:tblW w:w="10206" w:type="dxa"/>
        <w:tblLayout w:type="fixed"/>
        <w:tblLook w:val="04A0" w:firstRow="1" w:lastRow="0" w:firstColumn="1" w:lastColumn="0" w:noHBand="0" w:noVBand="1"/>
      </w:tblPr>
      <w:tblGrid>
        <w:gridCol w:w="680"/>
        <w:gridCol w:w="1928"/>
        <w:gridCol w:w="2268"/>
        <w:gridCol w:w="5330"/>
      </w:tblGrid>
      <w:tr w:rsidR="00D63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80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1928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Что подлежит уточнению</w:t>
            </w:r>
          </w:p>
        </w:tc>
        <w:tc>
          <w:tcPr>
            <w:tcW w:w="2268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Связь с перечнем и документом</w:t>
            </w:r>
          </w:p>
        </w:tc>
        <w:tc>
          <w:tcPr>
            <w:tcW w:w="5329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Предлагаемая формулировка или порядок уточнения</w:t>
            </w:r>
          </w:p>
        </w:tc>
      </w:tr>
      <w:tr w:rsidR="00D63BE8">
        <w:tc>
          <w:tcPr>
            <w:tcW w:w="68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УТ-1</w:t>
            </w:r>
          </w:p>
        </w:tc>
        <w:tc>
          <w:tcPr>
            <w:tcW w:w="192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Порядок задания параметров поездки организатором</w:t>
            </w:r>
          </w:p>
        </w:tc>
        <w:tc>
          <w:tcPr>
            <w:tcW w:w="226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FR-11, FR-14, NFR-10 / UC-1, шаг 8; StH-01</w:t>
            </w:r>
          </w:p>
        </w:tc>
        <w:tc>
          <w:tcPr>
            <w:tcW w:w="532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Добавить функциональное требование: система должна предоставлять организатору возможность задать перед сохранением маршрута ограничение на число участников поездки в диапазоне от 2 до 10, срок действия ссылки-приглашения в пределах 72 часов и допустимое число переходов по ней в диапазоне от 1 до 10. В сценарии UC-1 заменить «параметры комнаты» на «параметры поездки» с указанием их состава.</w:t>
            </w:r>
          </w:p>
        </w:tc>
      </w:tr>
      <w:tr w:rsidR="00D63BE8">
        <w:tc>
          <w:tcPr>
            <w:tcW w:w="680" w:type="dxa"/>
          </w:tcPr>
          <w:p w:rsidR="00D63BE8" w:rsidRPr="007D442C" w:rsidRDefault="00000000">
            <w:pPr>
              <w:spacing w:before="0" w:line="240" w:lineRule="auto"/>
              <w:ind w:firstLine="0"/>
              <w:jc w:val="left"/>
            </w:pPr>
            <w:r w:rsidRPr="007D442C">
              <w:rPr>
                <w:sz w:val="20"/>
              </w:rPr>
              <w:t>УТ-2</w:t>
            </w:r>
          </w:p>
        </w:tc>
        <w:tc>
          <w:tcPr>
            <w:tcW w:w="1928" w:type="dxa"/>
          </w:tcPr>
          <w:p w:rsidR="00D63BE8" w:rsidRPr="007D442C" w:rsidRDefault="00000000">
            <w:pPr>
              <w:spacing w:before="0" w:line="240" w:lineRule="auto"/>
              <w:ind w:firstLine="0"/>
              <w:jc w:val="left"/>
            </w:pPr>
            <w:r w:rsidRPr="007D442C">
              <w:rPr>
                <w:sz w:val="20"/>
              </w:rPr>
              <w:t>Уведомление участников об изменении маршрута</w:t>
            </w:r>
          </w:p>
        </w:tc>
        <w:tc>
          <w:tcPr>
            <w:tcW w:w="2268" w:type="dxa"/>
          </w:tcPr>
          <w:p w:rsidR="00D63BE8" w:rsidRPr="007D442C" w:rsidRDefault="00000000">
            <w:pPr>
              <w:spacing w:before="0" w:line="240" w:lineRule="auto"/>
              <w:ind w:firstLine="0"/>
              <w:jc w:val="left"/>
            </w:pPr>
            <w:r w:rsidRPr="007D442C">
              <w:rPr>
                <w:sz w:val="20"/>
              </w:rPr>
              <w:t>FR-16, FR-18 – FR-20 / StH-02</w:t>
            </w:r>
          </w:p>
        </w:tc>
        <w:tc>
          <w:tcPr>
            <w:tcW w:w="5329" w:type="dxa"/>
          </w:tcPr>
          <w:p w:rsidR="00D63BE8" w:rsidRPr="007D442C" w:rsidRDefault="00000000">
            <w:pPr>
              <w:spacing w:before="0" w:line="240" w:lineRule="auto"/>
              <w:ind w:firstLine="0"/>
              <w:jc w:val="left"/>
            </w:pPr>
            <w:r w:rsidRPr="007D442C">
              <w:rPr>
                <w:sz w:val="20"/>
              </w:rPr>
              <w:t>Добавить функциональное требование: при изменении маршрута участнику поездки, не имеющему активной сессии редактирования, направляется уведомление с указанием поездки и автора изменения. Канал доставки уведомлений определить единообразно с FR-16 согласно уточнению, приведённому в таблице 4.</w:t>
            </w:r>
          </w:p>
        </w:tc>
      </w:tr>
      <w:tr w:rsidR="00D63BE8">
        <w:tc>
          <w:tcPr>
            <w:tcW w:w="68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УТ-3</w:t>
            </w:r>
          </w:p>
        </w:tc>
        <w:tc>
          <w:tcPr>
            <w:tcW w:w="192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Право экспорта маршрута приглашённым участником</w:t>
            </w:r>
          </w:p>
        </w:tc>
        <w:tc>
          <w:tcPr>
            <w:tcW w:w="226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FR-25 – FR-28 / StH-02; UC-4</w:t>
            </w:r>
          </w:p>
        </w:tc>
        <w:tc>
          <w:tcPr>
            <w:tcW w:w="532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Уточнить требования FR-25 – FR-28: право экспорта маршрута предоставляется организатору и любому участнику поездки независимо от его роли. В сценарии UC-4 указать приглашённого участника поездки вторичным актором.</w:t>
            </w:r>
          </w:p>
        </w:tc>
      </w:tr>
      <w:tr w:rsidR="00D63BE8">
        <w:tc>
          <w:tcPr>
            <w:tcW w:w="68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УТ-4</w:t>
            </w:r>
          </w:p>
        </w:tc>
        <w:tc>
          <w:tcPr>
            <w:tcW w:w="192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Сценарий пошагового представления маршрута</w:t>
            </w:r>
          </w:p>
        </w:tc>
        <w:tc>
          <w:tcPr>
            <w:tcW w:w="226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FR-24 / StH-01</w:t>
            </w:r>
          </w:p>
        </w:tc>
        <w:tc>
          <w:tcPr>
            <w:tcW w:w="532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Описать сценарий UC-5 «Прохождение маршрута в пошаговом режиме» с основным потоком от открытия сохранённого маршрута до завершения последнего шага и с альтернативным потоком при недоступности геолокации устройства. Без сценария требование FR-24 проверяется только демонстрацией состава экрана.</w:t>
            </w:r>
          </w:p>
        </w:tc>
      </w:tr>
      <w:tr w:rsidR="00D63BE8">
        <w:tc>
          <w:tcPr>
            <w:tcW w:w="68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lastRenderedPageBreak/>
              <w:t>УТ-5</w:t>
            </w:r>
          </w:p>
        </w:tc>
        <w:tc>
          <w:tcPr>
            <w:tcW w:w="192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Приглашение участника по коду</w:t>
            </w:r>
          </w:p>
        </w:tc>
        <w:tc>
          <w:tcPr>
            <w:tcW w:w="226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FR-11, FR-12 / StH-01</w:t>
            </w:r>
          </w:p>
        </w:tc>
        <w:tc>
          <w:tcPr>
            <w:tcW w:w="532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Пользовательская история организатора предусматривает приглашение участников «по ссылке или коду», тогда как в перечне требований реализовано только приглашение по ссылке. </w:t>
            </w:r>
            <w:r w:rsidR="002E3CD8">
              <w:rPr>
                <w:sz w:val="20"/>
              </w:rPr>
              <w:t xml:space="preserve">Добавить </w:t>
            </w:r>
            <w:r>
              <w:rPr>
                <w:sz w:val="20"/>
              </w:rPr>
              <w:t>функциональное требование на приглашение по коду с теми же параметрами действия, что заданы в NFR-10.</w:t>
            </w:r>
          </w:p>
        </w:tc>
      </w:tr>
      <w:tr w:rsidR="00D63BE8">
        <w:tc>
          <w:tcPr>
            <w:tcW w:w="68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УТ-6</w:t>
            </w:r>
          </w:p>
        </w:tc>
        <w:tc>
          <w:tcPr>
            <w:tcW w:w="192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Обработка изменения формата ответа внешнего сервиса</w:t>
            </w:r>
          </w:p>
        </w:tc>
        <w:tc>
          <w:tcPr>
            <w:tcW w:w="226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FR-04, NFR-07, CON-02 / StH-03; реестр рисков первичного анализа</w:t>
            </w:r>
          </w:p>
        </w:tc>
        <w:tc>
          <w:tcPr>
            <w:tcW w:w="532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Дополнить требование FR-04: ответ провайдера, не соответствующий ожидаемой схеме данных, обрабатывается как отказ провайдера с выводом сообщения по NFR-12 и записью в журнал работы системы. Уточнение закрывает заявленный StH-03 риск изменения формата ответа.</w:t>
            </w:r>
          </w:p>
        </w:tc>
      </w:tr>
    </w:tbl>
    <w:p w:rsidR="00D63BE8" w:rsidRDefault="00000000">
      <w:pPr>
        <w:keepNext/>
        <w:ind w:firstLine="850"/>
      </w:pPr>
      <w:r>
        <w:rPr>
          <w:b/>
        </w:rPr>
        <w:t>6. Итог проверки</w:t>
      </w:r>
    </w:p>
    <w:p w:rsidR="00D63BE8" w:rsidRDefault="00000000">
      <w:pPr>
        <w:spacing w:before="0"/>
        <w:ind w:firstLine="850"/>
      </w:pPr>
      <w:r>
        <w:t>Комплекс из четырёх документов по проекту «Сервис совместного планирования маршрутов» в целом полон и непротиворечив для реализации основных процессов системы: построения маршрута с подбором точек интереса, приглашения участников к поездке, совместного редактирования маршрута в реальном времени и экспорта маршрута во внешнее навигационное приложение.</w:t>
      </w:r>
    </w:p>
    <w:p w:rsidR="00D63BE8" w:rsidRDefault="00000000">
      <w:pPr>
        <w:spacing w:before="0"/>
        <w:ind w:firstLine="850"/>
      </w:pPr>
      <w:r>
        <w:t>Все три стейкхолдера и правовые ограничения обеспечены требованиями, стейкхолдеров без покрытия нет. Из 27 шагов основных потоков сценариев UC-1 – UC-4 полностью обеспечены 26, один шаг обеспечен частично; из 9 альтернативных потоков полностью обеспечены 8. Найдено 8 формулировок с неопределёнными границами или составом и 7 групп требований с потенциальным конфликтом при реализации; для всех конфликтов выбраны стратегии разрешения, прямых противоречий, исключающих одновременное выполнение требований, не выявлено.</w:t>
      </w:r>
    </w:p>
    <w:p w:rsidR="00D63BE8" w:rsidRDefault="00000000">
      <w:pPr>
        <w:spacing w:before="0"/>
        <w:ind w:firstLine="850"/>
      </w:pPr>
      <w:r>
        <w:t>До утверждения комплекса документов необходимо закрыть уточнения УТ-1 – УТ-6, внести замены формулировок по таблице 4 и при необходимости скорректировать требования перечня и сценарии использования.</w:t>
      </w:r>
    </w:p>
    <w:sectPr w:rsidR="00D63BE8">
      <w:headerReference w:type="default" r:id="rId12"/>
      <w:pgSz w:w="11906" w:h="16838"/>
      <w:pgMar w:top="1134" w:right="567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322CE" w:rsidRDefault="009322CE">
      <w:pPr>
        <w:spacing w:before="0" w:line="240" w:lineRule="auto"/>
      </w:pPr>
      <w:r>
        <w:separator/>
      </w:r>
    </w:p>
  </w:endnote>
  <w:endnote w:type="continuationSeparator" w:id="0">
    <w:p w:rsidR="009322CE" w:rsidRDefault="009322CE">
      <w:pPr>
        <w:spacing w:before="0" w:line="240" w:lineRule="auto"/>
      </w:pPr>
      <w:r>
        <w:continuationSeparator/>
      </w:r>
    </w:p>
  </w:endnote>
  <w:endnote w:type="continuationNotice" w:id="1">
    <w:p w:rsidR="009322CE" w:rsidRDefault="009322CE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322CE" w:rsidRDefault="009322CE" w:rsidP="00990EAC">
      <w:pPr>
        <w:spacing w:before="0" w:line="240" w:lineRule="auto"/>
      </w:pPr>
      <w:r>
        <w:separator/>
      </w:r>
    </w:p>
  </w:footnote>
  <w:footnote w:type="continuationSeparator" w:id="0">
    <w:p w:rsidR="009322CE" w:rsidRDefault="009322CE" w:rsidP="00990EAC">
      <w:pPr>
        <w:spacing w:before="0" w:line="240" w:lineRule="auto"/>
      </w:pPr>
      <w:r>
        <w:continuationSeparator/>
      </w:r>
    </w:p>
  </w:footnote>
  <w:footnote w:type="continuationNotice" w:id="1">
    <w:p w:rsidR="009322CE" w:rsidRDefault="009322CE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:rsidR="00FE55C2" w:rsidRPr="008E27BF" w:rsidRDefault="00FE55C2" w:rsidP="00990EAC">
    <w:pPr>
      <w:pStyle w:val="ad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0A5648A"/>
    <w:multiLevelType w:val="hybridMultilevel"/>
    <w:tmpl w:val="540CA0C2"/>
    <w:lvl w:ilvl="0" w:tplc="73E21F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1065FA0"/>
    <w:multiLevelType w:val="hybridMultilevel"/>
    <w:tmpl w:val="43129B6A"/>
    <w:lvl w:ilvl="0" w:tplc="3F5AB0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1C51A2E"/>
    <w:multiLevelType w:val="hybridMultilevel"/>
    <w:tmpl w:val="4500A65A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F40AA"/>
    <w:multiLevelType w:val="hybridMultilevel"/>
    <w:tmpl w:val="B22CCEDC"/>
    <w:lvl w:ilvl="0" w:tplc="EEF8341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09B17DFA"/>
    <w:multiLevelType w:val="hybridMultilevel"/>
    <w:tmpl w:val="6298F390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C5422D0"/>
    <w:multiLevelType w:val="hybridMultilevel"/>
    <w:tmpl w:val="D374810C"/>
    <w:lvl w:ilvl="0" w:tplc="EE6A03B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0CD03E01"/>
    <w:multiLevelType w:val="hybridMultilevel"/>
    <w:tmpl w:val="3FB6B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193063"/>
    <w:multiLevelType w:val="hybridMultilevel"/>
    <w:tmpl w:val="01EE7C94"/>
    <w:lvl w:ilvl="0" w:tplc="0809000F">
      <w:start w:val="1"/>
      <w:numFmt w:val="decimal"/>
      <w:lvlText w:val="%1."/>
      <w:lvlJc w:val="left"/>
      <w:pPr>
        <w:ind w:left="1855" w:hanging="360"/>
      </w:pPr>
    </w:lvl>
    <w:lvl w:ilvl="1" w:tplc="08090019" w:tentative="1">
      <w:start w:val="1"/>
      <w:numFmt w:val="lowerLetter"/>
      <w:lvlText w:val="%2."/>
      <w:lvlJc w:val="left"/>
      <w:pPr>
        <w:ind w:left="2575" w:hanging="360"/>
      </w:pPr>
    </w:lvl>
    <w:lvl w:ilvl="2" w:tplc="0809001B" w:tentative="1">
      <w:start w:val="1"/>
      <w:numFmt w:val="lowerRoman"/>
      <w:lvlText w:val="%3."/>
      <w:lvlJc w:val="right"/>
      <w:pPr>
        <w:ind w:left="3295" w:hanging="180"/>
      </w:pPr>
    </w:lvl>
    <w:lvl w:ilvl="3" w:tplc="0809000F" w:tentative="1">
      <w:start w:val="1"/>
      <w:numFmt w:val="decimal"/>
      <w:lvlText w:val="%4."/>
      <w:lvlJc w:val="left"/>
      <w:pPr>
        <w:ind w:left="4015" w:hanging="360"/>
      </w:pPr>
    </w:lvl>
    <w:lvl w:ilvl="4" w:tplc="08090019" w:tentative="1">
      <w:start w:val="1"/>
      <w:numFmt w:val="lowerLetter"/>
      <w:lvlText w:val="%5."/>
      <w:lvlJc w:val="left"/>
      <w:pPr>
        <w:ind w:left="4735" w:hanging="360"/>
      </w:pPr>
    </w:lvl>
    <w:lvl w:ilvl="5" w:tplc="0809001B" w:tentative="1">
      <w:start w:val="1"/>
      <w:numFmt w:val="lowerRoman"/>
      <w:lvlText w:val="%6."/>
      <w:lvlJc w:val="right"/>
      <w:pPr>
        <w:ind w:left="5455" w:hanging="180"/>
      </w:pPr>
    </w:lvl>
    <w:lvl w:ilvl="6" w:tplc="0809000F" w:tentative="1">
      <w:start w:val="1"/>
      <w:numFmt w:val="decimal"/>
      <w:lvlText w:val="%7."/>
      <w:lvlJc w:val="left"/>
      <w:pPr>
        <w:ind w:left="6175" w:hanging="360"/>
      </w:pPr>
    </w:lvl>
    <w:lvl w:ilvl="7" w:tplc="08090019" w:tentative="1">
      <w:start w:val="1"/>
      <w:numFmt w:val="lowerLetter"/>
      <w:lvlText w:val="%8."/>
      <w:lvlJc w:val="left"/>
      <w:pPr>
        <w:ind w:left="6895" w:hanging="360"/>
      </w:pPr>
    </w:lvl>
    <w:lvl w:ilvl="8" w:tplc="0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0D9E23F7"/>
    <w:multiLevelType w:val="hybridMultilevel"/>
    <w:tmpl w:val="90DAA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C919CF"/>
    <w:multiLevelType w:val="hybridMultilevel"/>
    <w:tmpl w:val="8B2479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1AD230C3"/>
    <w:multiLevelType w:val="hybridMultilevel"/>
    <w:tmpl w:val="06600382"/>
    <w:lvl w:ilvl="0" w:tplc="27F683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F4CBF"/>
    <w:multiLevelType w:val="hybridMultilevel"/>
    <w:tmpl w:val="7B8057E4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0" w:hanging="360"/>
      </w:pPr>
    </w:lvl>
    <w:lvl w:ilvl="2" w:tplc="0419001B" w:tentative="1">
      <w:start w:val="1"/>
      <w:numFmt w:val="lowerRoman"/>
      <w:lvlText w:val="%3."/>
      <w:lvlJc w:val="right"/>
      <w:pPr>
        <w:ind w:left="1930" w:hanging="180"/>
      </w:pPr>
    </w:lvl>
    <w:lvl w:ilvl="3" w:tplc="0419000F" w:tentative="1">
      <w:start w:val="1"/>
      <w:numFmt w:val="decimal"/>
      <w:lvlText w:val="%4."/>
      <w:lvlJc w:val="left"/>
      <w:pPr>
        <w:ind w:left="2650" w:hanging="360"/>
      </w:pPr>
    </w:lvl>
    <w:lvl w:ilvl="4" w:tplc="04190019" w:tentative="1">
      <w:start w:val="1"/>
      <w:numFmt w:val="lowerLetter"/>
      <w:lvlText w:val="%5."/>
      <w:lvlJc w:val="left"/>
      <w:pPr>
        <w:ind w:left="3370" w:hanging="360"/>
      </w:pPr>
    </w:lvl>
    <w:lvl w:ilvl="5" w:tplc="0419001B" w:tentative="1">
      <w:start w:val="1"/>
      <w:numFmt w:val="lowerRoman"/>
      <w:lvlText w:val="%6."/>
      <w:lvlJc w:val="right"/>
      <w:pPr>
        <w:ind w:left="4090" w:hanging="180"/>
      </w:pPr>
    </w:lvl>
    <w:lvl w:ilvl="6" w:tplc="0419000F" w:tentative="1">
      <w:start w:val="1"/>
      <w:numFmt w:val="decimal"/>
      <w:lvlText w:val="%7."/>
      <w:lvlJc w:val="left"/>
      <w:pPr>
        <w:ind w:left="4810" w:hanging="360"/>
      </w:pPr>
    </w:lvl>
    <w:lvl w:ilvl="7" w:tplc="04190019" w:tentative="1">
      <w:start w:val="1"/>
      <w:numFmt w:val="lowerLetter"/>
      <w:lvlText w:val="%8."/>
      <w:lvlJc w:val="left"/>
      <w:pPr>
        <w:ind w:left="5530" w:hanging="360"/>
      </w:pPr>
    </w:lvl>
    <w:lvl w:ilvl="8" w:tplc="041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21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22EC029A"/>
    <w:multiLevelType w:val="hybridMultilevel"/>
    <w:tmpl w:val="873477CC"/>
    <w:lvl w:ilvl="0" w:tplc="C65A25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25323659"/>
    <w:multiLevelType w:val="hybridMultilevel"/>
    <w:tmpl w:val="4864B138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29D749DF"/>
    <w:multiLevelType w:val="hybridMultilevel"/>
    <w:tmpl w:val="31804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7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2F3B1CCE"/>
    <w:multiLevelType w:val="hybridMultilevel"/>
    <w:tmpl w:val="7326DA3E"/>
    <w:lvl w:ilvl="0" w:tplc="8B083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2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70038E3"/>
    <w:multiLevelType w:val="hybridMultilevel"/>
    <w:tmpl w:val="73586740"/>
    <w:lvl w:ilvl="0" w:tplc="91DAF8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9A2014"/>
    <w:multiLevelType w:val="hybridMultilevel"/>
    <w:tmpl w:val="C0365E04"/>
    <w:lvl w:ilvl="0" w:tplc="0419000F">
      <w:start w:val="1"/>
      <w:numFmt w:val="decimal"/>
      <w:lvlText w:val="%1."/>
      <w:lvlJc w:val="left"/>
      <w:pPr>
        <w:ind w:left="850" w:hanging="360"/>
      </w:pPr>
    </w:lvl>
    <w:lvl w:ilvl="1" w:tplc="04190019" w:tentative="1">
      <w:start w:val="1"/>
      <w:numFmt w:val="lowerLetter"/>
      <w:lvlText w:val="%2."/>
      <w:lvlJc w:val="left"/>
      <w:pPr>
        <w:ind w:left="1570" w:hanging="360"/>
      </w:pPr>
    </w:lvl>
    <w:lvl w:ilvl="2" w:tplc="0419001B" w:tentative="1">
      <w:start w:val="1"/>
      <w:numFmt w:val="lowerRoman"/>
      <w:lvlText w:val="%3."/>
      <w:lvlJc w:val="right"/>
      <w:pPr>
        <w:ind w:left="2290" w:hanging="180"/>
      </w:pPr>
    </w:lvl>
    <w:lvl w:ilvl="3" w:tplc="0419000F" w:tentative="1">
      <w:start w:val="1"/>
      <w:numFmt w:val="decimal"/>
      <w:lvlText w:val="%4."/>
      <w:lvlJc w:val="left"/>
      <w:pPr>
        <w:ind w:left="3010" w:hanging="360"/>
      </w:pPr>
    </w:lvl>
    <w:lvl w:ilvl="4" w:tplc="04190019" w:tentative="1">
      <w:start w:val="1"/>
      <w:numFmt w:val="lowerLetter"/>
      <w:lvlText w:val="%5."/>
      <w:lvlJc w:val="left"/>
      <w:pPr>
        <w:ind w:left="3730" w:hanging="360"/>
      </w:pPr>
    </w:lvl>
    <w:lvl w:ilvl="5" w:tplc="0419001B" w:tentative="1">
      <w:start w:val="1"/>
      <w:numFmt w:val="lowerRoman"/>
      <w:lvlText w:val="%6."/>
      <w:lvlJc w:val="right"/>
      <w:pPr>
        <w:ind w:left="4450" w:hanging="180"/>
      </w:pPr>
    </w:lvl>
    <w:lvl w:ilvl="6" w:tplc="0419000F" w:tentative="1">
      <w:start w:val="1"/>
      <w:numFmt w:val="decimal"/>
      <w:lvlText w:val="%7."/>
      <w:lvlJc w:val="left"/>
      <w:pPr>
        <w:ind w:left="5170" w:hanging="360"/>
      </w:pPr>
    </w:lvl>
    <w:lvl w:ilvl="7" w:tplc="04190019" w:tentative="1">
      <w:start w:val="1"/>
      <w:numFmt w:val="lowerLetter"/>
      <w:lvlText w:val="%8."/>
      <w:lvlJc w:val="left"/>
      <w:pPr>
        <w:ind w:left="5890" w:hanging="360"/>
      </w:pPr>
    </w:lvl>
    <w:lvl w:ilvl="8" w:tplc="041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38" w15:restartNumberingAfterBreak="0">
    <w:nsid w:val="393151BA"/>
    <w:multiLevelType w:val="hybridMultilevel"/>
    <w:tmpl w:val="3BC664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E5E6C28"/>
    <w:multiLevelType w:val="hybridMultilevel"/>
    <w:tmpl w:val="1618F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4E3434"/>
    <w:multiLevelType w:val="hybridMultilevel"/>
    <w:tmpl w:val="EBF49C98"/>
    <w:lvl w:ilvl="0" w:tplc="BD18FA2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030BF2"/>
    <w:multiLevelType w:val="hybridMultilevel"/>
    <w:tmpl w:val="D4FC4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3C12860"/>
    <w:multiLevelType w:val="hybridMultilevel"/>
    <w:tmpl w:val="2C84418A"/>
    <w:lvl w:ilvl="0" w:tplc="254414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6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C41294"/>
    <w:multiLevelType w:val="hybridMultilevel"/>
    <w:tmpl w:val="E5489132"/>
    <w:lvl w:ilvl="0" w:tplc="E9CA83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8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21C6F1D"/>
    <w:multiLevelType w:val="hybridMultilevel"/>
    <w:tmpl w:val="5FE407B0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0" w15:restartNumberingAfterBreak="0">
    <w:nsid w:val="722C4FB2"/>
    <w:multiLevelType w:val="hybridMultilevel"/>
    <w:tmpl w:val="022CA88A"/>
    <w:lvl w:ilvl="0" w:tplc="4C62A7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1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2" w15:restartNumberingAfterBreak="0">
    <w:nsid w:val="74842CDA"/>
    <w:multiLevelType w:val="hybridMultilevel"/>
    <w:tmpl w:val="905C93B4"/>
    <w:lvl w:ilvl="0" w:tplc="4606BC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3" w15:restartNumberingAfterBreak="0">
    <w:nsid w:val="78F23A58"/>
    <w:multiLevelType w:val="hybridMultilevel"/>
    <w:tmpl w:val="CB0E5F64"/>
    <w:lvl w:ilvl="0" w:tplc="228CA8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4" w15:restartNumberingAfterBreak="0">
    <w:nsid w:val="7B6938A9"/>
    <w:multiLevelType w:val="hybridMultilevel"/>
    <w:tmpl w:val="F930439C"/>
    <w:lvl w:ilvl="0" w:tplc="446AF7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5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390572">
    <w:abstractNumId w:val="26"/>
  </w:num>
  <w:num w:numId="2" w16cid:durableId="1006177869">
    <w:abstractNumId w:val="0"/>
  </w:num>
  <w:num w:numId="3" w16cid:durableId="625550405">
    <w:abstractNumId w:val="31"/>
  </w:num>
  <w:num w:numId="4" w16cid:durableId="860316468">
    <w:abstractNumId w:val="16"/>
  </w:num>
  <w:num w:numId="5" w16cid:durableId="1488279012">
    <w:abstractNumId w:val="18"/>
  </w:num>
  <w:num w:numId="6" w16cid:durableId="1297489886">
    <w:abstractNumId w:val="39"/>
  </w:num>
  <w:num w:numId="7" w16cid:durableId="1534079179">
    <w:abstractNumId w:val="44"/>
  </w:num>
  <w:num w:numId="8" w16cid:durableId="685250028">
    <w:abstractNumId w:val="49"/>
  </w:num>
  <w:num w:numId="9" w16cid:durableId="200821438">
    <w:abstractNumId w:val="51"/>
  </w:num>
  <w:num w:numId="10" w16cid:durableId="1389376143">
    <w:abstractNumId w:val="41"/>
  </w:num>
  <w:num w:numId="11" w16cid:durableId="923881279">
    <w:abstractNumId w:val="47"/>
  </w:num>
  <w:num w:numId="12" w16cid:durableId="1238902211">
    <w:abstractNumId w:val="65"/>
  </w:num>
  <w:num w:numId="13" w16cid:durableId="561675725">
    <w:abstractNumId w:val="32"/>
  </w:num>
  <w:num w:numId="14" w16cid:durableId="894778597">
    <w:abstractNumId w:val="36"/>
  </w:num>
  <w:num w:numId="15" w16cid:durableId="545144390">
    <w:abstractNumId w:val="24"/>
  </w:num>
  <w:num w:numId="16" w16cid:durableId="1771848043">
    <w:abstractNumId w:val="56"/>
  </w:num>
  <w:num w:numId="17" w16cid:durableId="1578633538">
    <w:abstractNumId w:val="48"/>
  </w:num>
  <w:num w:numId="18" w16cid:durableId="1966428379">
    <w:abstractNumId w:val="19"/>
  </w:num>
  <w:num w:numId="19" w16cid:durableId="2015182927">
    <w:abstractNumId w:val="34"/>
  </w:num>
  <w:num w:numId="20" w16cid:durableId="128480159">
    <w:abstractNumId w:val="46"/>
  </w:num>
  <w:num w:numId="21" w16cid:durableId="1281229871">
    <w:abstractNumId w:val="15"/>
  </w:num>
  <w:num w:numId="22" w16cid:durableId="1340817178">
    <w:abstractNumId w:val="54"/>
  </w:num>
  <w:num w:numId="23" w16cid:durableId="962149017">
    <w:abstractNumId w:val="61"/>
  </w:num>
  <w:num w:numId="24" w16cid:durableId="1929001157">
    <w:abstractNumId w:val="8"/>
  </w:num>
  <w:num w:numId="25" w16cid:durableId="1254120092">
    <w:abstractNumId w:val="30"/>
  </w:num>
  <w:num w:numId="26" w16cid:durableId="18900949">
    <w:abstractNumId w:val="50"/>
  </w:num>
  <w:num w:numId="27" w16cid:durableId="1276323534">
    <w:abstractNumId w:val="35"/>
  </w:num>
  <w:num w:numId="28" w16cid:durableId="926304931">
    <w:abstractNumId w:val="58"/>
  </w:num>
  <w:num w:numId="29" w16cid:durableId="1084179535">
    <w:abstractNumId w:val="45"/>
  </w:num>
  <w:num w:numId="30" w16cid:durableId="316374210">
    <w:abstractNumId w:val="16"/>
    <w:lvlOverride w:ilvl="0">
      <w:startOverride w:val="1"/>
    </w:lvlOverride>
  </w:num>
  <w:num w:numId="31" w16cid:durableId="2143422855">
    <w:abstractNumId w:val="16"/>
    <w:lvlOverride w:ilvl="0">
      <w:startOverride w:val="1"/>
    </w:lvlOverride>
  </w:num>
  <w:num w:numId="32" w16cid:durableId="199824925">
    <w:abstractNumId w:val="28"/>
  </w:num>
  <w:num w:numId="33" w16cid:durableId="1619026736">
    <w:abstractNumId w:val="4"/>
  </w:num>
  <w:num w:numId="34" w16cid:durableId="235241067">
    <w:abstractNumId w:val="16"/>
    <w:lvlOverride w:ilvl="0">
      <w:startOverride w:val="1"/>
    </w:lvlOverride>
  </w:num>
  <w:num w:numId="35" w16cid:durableId="1521507535">
    <w:abstractNumId w:val="16"/>
    <w:lvlOverride w:ilvl="0">
      <w:startOverride w:val="1"/>
    </w:lvlOverride>
  </w:num>
  <w:num w:numId="36" w16cid:durableId="156505220">
    <w:abstractNumId w:val="16"/>
    <w:lvlOverride w:ilvl="0">
      <w:startOverride w:val="1"/>
    </w:lvlOverride>
  </w:num>
  <w:num w:numId="37" w16cid:durableId="1473986934">
    <w:abstractNumId w:val="6"/>
  </w:num>
  <w:num w:numId="38" w16cid:durableId="828057581">
    <w:abstractNumId w:val="21"/>
  </w:num>
  <w:num w:numId="39" w16cid:durableId="303123118">
    <w:abstractNumId w:val="16"/>
    <w:lvlOverride w:ilvl="0">
      <w:startOverride w:val="1"/>
    </w:lvlOverride>
  </w:num>
  <w:num w:numId="40" w16cid:durableId="137572178">
    <w:abstractNumId w:val="16"/>
    <w:lvlOverride w:ilvl="0">
      <w:startOverride w:val="1"/>
    </w:lvlOverride>
  </w:num>
  <w:num w:numId="41" w16cid:durableId="862323022">
    <w:abstractNumId w:val="27"/>
  </w:num>
  <w:num w:numId="42" w16cid:durableId="131677301">
    <w:abstractNumId w:val="14"/>
  </w:num>
  <w:num w:numId="43" w16cid:durableId="1073354273">
    <w:abstractNumId w:val="40"/>
  </w:num>
  <w:num w:numId="44" w16cid:durableId="245530450">
    <w:abstractNumId w:val="52"/>
  </w:num>
  <w:num w:numId="45" w16cid:durableId="1543131170">
    <w:abstractNumId w:val="43"/>
  </w:num>
  <w:num w:numId="46" w16cid:durableId="801921421">
    <w:abstractNumId w:val="7"/>
  </w:num>
  <w:num w:numId="47" w16cid:durableId="249773357">
    <w:abstractNumId w:val="3"/>
  </w:num>
  <w:num w:numId="48" w16cid:durableId="1270309591">
    <w:abstractNumId w:val="11"/>
  </w:num>
  <w:num w:numId="49" w16cid:durableId="1925800143">
    <w:abstractNumId w:val="59"/>
  </w:num>
  <w:num w:numId="50" w16cid:durableId="154617154">
    <w:abstractNumId w:val="29"/>
  </w:num>
  <w:num w:numId="51" w16cid:durableId="986201458">
    <w:abstractNumId w:val="9"/>
  </w:num>
  <w:num w:numId="52" w16cid:durableId="1280182135">
    <w:abstractNumId w:val="10"/>
  </w:num>
  <w:num w:numId="53" w16cid:durableId="1387488536">
    <w:abstractNumId w:val="2"/>
  </w:num>
  <w:num w:numId="54" w16cid:durableId="1117138921">
    <w:abstractNumId w:val="1"/>
  </w:num>
  <w:num w:numId="55" w16cid:durableId="804273577">
    <w:abstractNumId w:val="13"/>
  </w:num>
  <w:num w:numId="56" w16cid:durableId="571044642">
    <w:abstractNumId w:val="60"/>
  </w:num>
  <w:num w:numId="57" w16cid:durableId="792333371">
    <w:abstractNumId w:val="5"/>
  </w:num>
  <w:num w:numId="58" w16cid:durableId="798185694">
    <w:abstractNumId w:val="17"/>
  </w:num>
  <w:num w:numId="59" w16cid:durableId="22365475">
    <w:abstractNumId w:val="55"/>
  </w:num>
  <w:num w:numId="60" w16cid:durableId="877622282">
    <w:abstractNumId w:val="22"/>
  </w:num>
  <w:num w:numId="61" w16cid:durableId="596982541">
    <w:abstractNumId w:val="64"/>
  </w:num>
  <w:num w:numId="62" w16cid:durableId="527989503">
    <w:abstractNumId w:val="33"/>
  </w:num>
  <w:num w:numId="63" w16cid:durableId="2007633510">
    <w:abstractNumId w:val="62"/>
  </w:num>
  <w:num w:numId="64" w16cid:durableId="1370258656">
    <w:abstractNumId w:val="57"/>
  </w:num>
  <w:num w:numId="65" w16cid:durableId="41680902">
    <w:abstractNumId w:val="63"/>
  </w:num>
  <w:num w:numId="66" w16cid:durableId="257180465">
    <w:abstractNumId w:val="16"/>
    <w:lvlOverride w:ilvl="0">
      <w:startOverride w:val="1"/>
    </w:lvlOverride>
  </w:num>
  <w:num w:numId="67" w16cid:durableId="1706127676">
    <w:abstractNumId w:val="53"/>
  </w:num>
  <w:num w:numId="68" w16cid:durableId="1347825775">
    <w:abstractNumId w:val="12"/>
  </w:num>
  <w:num w:numId="69" w16cid:durableId="937980873">
    <w:abstractNumId w:val="37"/>
  </w:num>
  <w:num w:numId="70" w16cid:durableId="10835598">
    <w:abstractNumId w:val="20"/>
  </w:num>
  <w:num w:numId="71" w16cid:durableId="286159887">
    <w:abstractNumId w:val="23"/>
  </w:num>
  <w:num w:numId="72" w16cid:durableId="2038578813">
    <w:abstractNumId w:val="42"/>
  </w:num>
  <w:num w:numId="73" w16cid:durableId="1975285552">
    <w:abstractNumId w:val="38"/>
  </w:num>
  <w:num w:numId="74" w16cid:durableId="1717272524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FA"/>
    <w:rsid w:val="0019044F"/>
    <w:rsid w:val="001A0A70"/>
    <w:rsid w:val="001A12C2"/>
    <w:rsid w:val="001A345D"/>
    <w:rsid w:val="001A50A1"/>
    <w:rsid w:val="001A72F0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2613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3CD8"/>
    <w:rsid w:val="002E4471"/>
    <w:rsid w:val="002F15DD"/>
    <w:rsid w:val="002F52CB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32C1"/>
    <w:rsid w:val="0048416D"/>
    <w:rsid w:val="00492D5D"/>
    <w:rsid w:val="004A0E13"/>
    <w:rsid w:val="004A1529"/>
    <w:rsid w:val="004A2469"/>
    <w:rsid w:val="004A34C3"/>
    <w:rsid w:val="004A633B"/>
    <w:rsid w:val="004A7A41"/>
    <w:rsid w:val="004B0C8E"/>
    <w:rsid w:val="004B0F88"/>
    <w:rsid w:val="004B1329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472B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A7FEE"/>
    <w:rsid w:val="006B19D8"/>
    <w:rsid w:val="006C0211"/>
    <w:rsid w:val="006C3F1C"/>
    <w:rsid w:val="006C5A6F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4284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D442C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0886"/>
    <w:rsid w:val="009008E1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22CE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45"/>
    <w:rsid w:val="009F447A"/>
    <w:rsid w:val="009F458B"/>
    <w:rsid w:val="009F59D7"/>
    <w:rsid w:val="009F742D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1101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1E6E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2FFE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2D2E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3BE8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C6FD5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C:\Users\s.burakov\Documents\Личное\Кошкин\Транснефть\ВятГУ 03.dotx</Template>
  <TotalTime>421</TotalTime>
  <Pages>8</Pages>
  <Words>3126</Words>
  <Characters>17821</Characters>
  <Application>Microsoft Office Word</Application>
  <DocSecurity>0</DocSecurity>
  <Lines>148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Классификация и формализация требований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20906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Классификация и формализация требований</dc:title>
  <dc:subject>Транснефть</dc:subject>
  <dc:creator>Microsoft</dc:creator>
  <cp:keywords/>
  <dc:description/>
  <cp:lastModifiedBy>Михаил</cp:lastModifiedBy>
  <cp:revision>23</cp:revision>
  <cp:lastPrinted>2025-04-03T08:40:00Z</cp:lastPrinted>
  <dcterms:created xsi:type="dcterms:W3CDTF">2025-09-10T15:45:00Z</dcterms:created>
  <dcterms:modified xsi:type="dcterms:W3CDTF">2026-10-05T09:05:00Z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