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copy's perimeter or area.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Perimeter 26 cm,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d0284ae75916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78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 </w:t>
            </w:r>
            <w:r>
              <w:drawing>
                <wp:inline xmlns:a="http://schemas.openxmlformats.org/drawingml/2006/main" xmlns:pic="http://schemas.openxmlformats.org/drawingml/2006/picture">
                  <wp:extent cx="356616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6c81a32f4ff1c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04800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cd0284ae75916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81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× 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89584874ee318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295656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16c08f73accb3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25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100 × ¼.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4 cm by 5 cm rectangle,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ea15e34c4c0ed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Perimeter and area of the copy.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P = 27 cm, A = 45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18 × 1.5; 20 × 2.25.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 xml:space="preserve">For questions 5 through 7, find </w:t>
      </w:r>
      <w:r>
        <w:drawing>
          <wp:inline xmlns:a="http://schemas.openxmlformats.org/drawingml/2006/main" xmlns:pic="http://schemas.openxmlformats.org/drawingml/2006/picture">
            <wp:extent cx="76200" cy="1188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5d661a65b8119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i w:val="0"/>
          <w:color w:val="1A1A1A"/>
          <w:sz w:val="22"/>
        </w:rPr>
        <w:t>, or the ratio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Areas </w:t>
            </w:r>
            <w:r>
              <w:drawing>
                <wp:inline xmlns:a="http://schemas.openxmlformats.org/drawingml/2006/main" xmlns:pic="http://schemas.openxmlformats.org/drawingml/2006/picture">
                  <wp:extent cx="42367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b5db82d430633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6a63d290b8f27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d661a65b8119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99 ÷ 11 = 9 =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Areas </w:t>
            </w:r>
            <w:r>
              <w:drawing>
                <wp:inline xmlns:a="http://schemas.openxmlformats.org/drawingml/2006/main" xmlns:pic="http://schemas.openxmlformats.org/drawingml/2006/picture">
                  <wp:extent cx="435864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70be3afc1d32e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5661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e45113ec066b5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original to copy. Find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d661a65b8119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¼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 ÷ 32 = 1⁄16 =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¼.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Perimeters 10 cm and 50 cm, original to copy. What is the area ratio?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5;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359664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5d13cba4414c6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310a2e5fd8322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What is the copy's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41960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31598a3882d13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e9f4498e2208e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f4121fdb7bdf9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23672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e20b5d2e5fab2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×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 × 36.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