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Factor: Perimeter and Area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with perimeter 18 cm is scaled by </w:t>
            </w:r>
            <w:r>
              <w:drawing>
                <wp:inline xmlns:a="http://schemas.openxmlformats.org/drawingml/2006/main" xmlns:pic="http://schemas.openxmlformats.org/drawingml/2006/picture">
                  <wp:extent cx="304800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cd0284ae75916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the copy's perimeter.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356616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5c111046bd1e4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304800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cd0284ae75916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the copy's area.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441960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bcee8524c759b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295656" cy="2133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16c08f73accb3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the copy's area.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2 cm by 5 cm rectangle is scaled by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5ff623f3ebf61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the copy's perimeter and area.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drawing>
                <wp:inline xmlns:a="http://schemas.openxmlformats.org/drawingml/2006/main" xmlns:pic="http://schemas.openxmlformats.org/drawingml/2006/picture">
                  <wp:extent cx="35661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6c81a32f4ff1c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its scale copy has area </w:t>
            </w:r>
            <w:r>
              <w:drawing>
                <wp:inline xmlns:a="http://schemas.openxmlformats.org/drawingml/2006/main" xmlns:pic="http://schemas.openxmlformats.org/drawingml/2006/picture">
                  <wp:extent cx="505968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7080e954b18a6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Find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5d661a65b8119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figure's perimeter is 12 cm and its copy's perimeter is 48 cm. What is the area ratio, copy to original?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