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Product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one power.  </w:t>
            </w:r>
            <w:r>
              <w:drawing>
                <wp:inline xmlns:a="http://schemas.openxmlformats.org/drawingml/2006/main" xmlns:pic="http://schemas.openxmlformats.org/drawingml/2006/picture">
                  <wp:extent cx="374904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52593779ae23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26a746afe546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one power.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2f4a76e5dfa6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420624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ffcd9897d8166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822960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1a099468ccb1e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</w:t>
            </w:r>
            <w:r>
              <w:drawing>
                <wp:inline xmlns:a="http://schemas.openxmlformats.org/drawingml/2006/main" xmlns:pic="http://schemas.openxmlformats.org/drawingml/2006/picture">
                  <wp:extent cx="688848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9623bed3404bd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