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and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tile pattern grows by a factor of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one week, and by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the next week. It started with 9 tiles. Write the two-week growth factor as one power, then find its value.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20"/>
        </w:rPr>
        <w:t xml:space="preserve">   The starting count of 9 is not needed.</w:t>
      </w:r>
      <w:r>
        <w:rPr>
          <w:b w:val="0"/>
          <w:i/>
          <w:color w:val="6B6B6B"/>
          <w:sz w:val="19"/>
        </w:rPr>
        <w:t xml:space="preserve">   576 — the starting count was used [the question asks for the factor, not a tile count]; 256 — multiplied the exponents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); 4096 — multiplied the bases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576 — the starting count was used [the question asks for the factor, not a tile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exponents — the power-of-a-power move applied to a product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