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490727" cy="2682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fd241440f945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Patricia first wrote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4836ecbefa6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as 1, then </w:t>
            </w:r>
            <w:r>
              <w:drawing>
                <wp:inline xmlns:a="http://schemas.openxmlformats.org/drawingml/2006/main" xmlns:pic="http://schemas.openxmlformats.org/drawingml/2006/picture">
                  <wp:extent cx="6187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3dd7ff760dd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Kim first wrote </w:t>
            </w:r>
            <w:r>
              <w:drawing>
                <wp:inline xmlns:a="http://schemas.openxmlformats.org/drawingml/2006/main" xmlns:pic="http://schemas.openxmlformats.org/drawingml/2006/picture">
                  <wp:extent cx="153619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989b7dd6368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0784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cfa0302a03bb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Patricia used first, and the law she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Kim used first.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Name the law both students used last, and give the value of the expression.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5,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560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a612c8425d1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868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10930a984578f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5183dce1dd02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6928" cy="2377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1fed83978307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evaluate. Show each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e51e068a625b2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6c68aca448d9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206113fa0749e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07fa2efcf5a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72847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f1af12addd46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b8682d5eb9b48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26d76d5334f8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d9525dcd453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b81b6c148ca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28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05222fe7b995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df37bbee6d99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Ruth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693c82d1aab7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24af092b262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