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Perimeter 22 cm,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3d9629bbb08a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5df556951eb9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f85536147ad6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295656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664d82dfd495c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7 cm rectangle,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Perimeter and area of the copy.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 xml:space="preserve">For questions 5 through 7, find </w:t>
      </w:r>
      <w:r>
        <w:drawing>
          <wp:inline xmlns:a="http://schemas.openxmlformats.org/drawingml/2006/main" xmlns:pic="http://schemas.openxmlformats.org/drawingml/2006/picture">
            <wp:extent cx="76200" cy="118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5d661a65b8119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 w:val="0"/>
          <w:color w:val="1A1A1A"/>
          <w:sz w:val="22"/>
        </w:rPr>
        <w:t>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b31321032919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a06a902837343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f4735de76cb9b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5052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2d27ca15948b4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original to copy.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15 cm and 45 cm, original to copy. What is the area ratio?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b31321032919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776cab5ba6b7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35864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2c3402ce8f1de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2a85c34a121e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a06a902837343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5db82d430633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