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 Laws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3.T1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one power.  </w:t>
            </w:r>
            <w:r>
              <w:drawing>
                <wp:inline xmlns:a="http://schemas.openxmlformats.org/drawingml/2006/main" xmlns:pic="http://schemas.openxmlformats.org/drawingml/2006/picture">
                  <wp:extent cx="387096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41dbd0dcb320a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monomial.  </w:t>
            </w:r>
            <w:r>
              <w:drawing>
                <wp:inline xmlns:a="http://schemas.openxmlformats.org/drawingml/2006/main" xmlns:pic="http://schemas.openxmlformats.org/drawingml/2006/picture">
                  <wp:extent cx="316992" cy="170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a7b36496bc7ed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monomial.  </w:t>
            </w:r>
            <w:r>
              <w:drawing>
                <wp:inline xmlns:a="http://schemas.openxmlformats.org/drawingml/2006/main" xmlns:pic="http://schemas.openxmlformats.org/drawingml/2006/picture">
                  <wp:extent cx="396240" cy="1737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5d49e6e8e1ff3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monomial.  </w:t>
            </w:r>
            <w:r>
              <w:drawing>
                <wp:inline xmlns:a="http://schemas.openxmlformats.org/drawingml/2006/main" xmlns:pic="http://schemas.openxmlformats.org/drawingml/2006/picture">
                  <wp:extent cx="758952" cy="170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c4841abe5e80b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95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monomial.  </w:t>
            </w:r>
            <w:r>
              <w:drawing>
                <wp:inline xmlns:a="http://schemas.openxmlformats.org/drawingml/2006/main" xmlns:pic="http://schemas.openxmlformats.org/drawingml/2006/picture">
                  <wp:extent cx="225552" cy="2468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e7039fd00047f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</w:t>
            </w:r>
            <w:r>
              <w:drawing>
                <wp:inline xmlns:a="http://schemas.openxmlformats.org/drawingml/2006/main" xmlns:pic="http://schemas.openxmlformats.org/drawingml/2006/picture">
                  <wp:extent cx="752856" cy="17373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a5599bd70357d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85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