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3.03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3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0da043950e1e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7096" cy="140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6323c2f182a6a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0</w:t>
            </w:r>
            <w:r>
              <w:rPr>
                <w:b w:val="0"/>
                <w:i/>
                <w:color w:val="6B6B6B"/>
                <w:sz w:val="19"/>
              </w:rPr>
              <w:t xml:space="preserve"> is 1; then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÷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18e863d19e998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54023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6f2e4ef0e4db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23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20040" cy="2560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6d47b1fd2a274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1399fc7c8b3f0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Inside first gives 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; then (5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3c86a61327097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087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b12272fdc7e27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86f54bc8bc94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13232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a71057e8e589c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Show that  </w:t>
            </w:r>
            <w:r>
              <w:drawing>
                <wp:inline xmlns:a="http://schemas.openxmlformats.org/drawingml/2006/main" xmlns:pic="http://schemas.openxmlformats.org/drawingml/2006/picture">
                  <wp:extent cx="381000" cy="24993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403a7451c9ffb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167640" cy="2499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53dc8a314209d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have the same value.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Both are </w:t>
            </w:r>
            <w:r>
              <w:drawing>
                <wp:inline xmlns:a="http://schemas.openxmlformats.org/drawingml/2006/main" xmlns:pic="http://schemas.openxmlformats.org/drawingml/2006/picture">
                  <wp:extent cx="822960" cy="1645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7887d4c3588e9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plans, one value — the point of the lesson.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