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A — 5</w:t>
      </w:r>
      <w:r>
        <w:rPr>
          <w:b w:val="0"/>
          <w:i/>
          <w:color w:val="6B6B6B"/>
          <w:sz w:val="19"/>
        </w:rPr>
        <w:t xml:space="preserve">   (B) the root of each piece was taken and the results added, 3 + 4 [8.NSO.1.7: the bar groups, so the radicand is 25]; (C) the sum was found and the root was never taken [8.NSO.1.7]; (D)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sign was dropped [8.NSO.1.7: an odd root keeps the sign of its radicand]; (C) the square root of 64 was taken and the sign kept [B1G-M 8.NSO.1.7 misconception: confusing square roots with cube roots]; (D) the square-root rule for negatives was applied to a cube root [B1G-M 8.NSO.1.7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denominators were added [Grade 5: adding fractions needs a common denominator, and these already have one];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misconception: −b versus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denominators were added [Grade 5: adding fractions needs a common denominator, and these already have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