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450CE7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Actividad 4.1: Reinventarse a uno mismo: ¿qué resultado ha dado? </w:t>
      </w:r>
      <w:r/>
    </w:p>
    <w:p w14:paraId="3AD5C0A0">
      <w:pPr>
        <w:pBdr/>
        <w:spacing/>
        <w:ind/>
        <w:rPr/>
      </w:pPr>
      <w:r/>
      <w:r/>
      <w:r/>
    </w:p>
    <w:p>
      <w:pPr>
        <w:pBdr/>
        <w:spacing/>
        <w:ind/>
        <w:rPr>
          <w:highlight w:val="none"/>
        </w:rPr>
      </w:pPr>
      <w:r/>
      <w:r>
        <w:t xml:space="preserve">¿Qué medidas concretas tomaría ahora para inventar el futuro que ha imaginado? </w:t>
      </w:r>
      <w:r/>
      <w:r/>
    </w:p>
    <w:p w14:paraId="38C60C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tema de la creatividad y la innovación es, sin duda, el que más he puesto en práctica durante este proceso. Me ha permitido identificar personas creativas e innovadoras dentro de la organización y brindarles el espacio necesario para desarrollar sus ide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as. Parte de mi enfoque ha sido eliminar barreras burocráticas innecesarias y crear un entorno en el que puedan experimentar con libertad, sentirse escuchados y tener la confianza de equivocarse en el intento. Considero que la innovación rara vez surge en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el primer esfuerzo; normalmente requiere múltiples iteraciones, aprendizaje constante y la posibilidad de ajustar el rumbo hasta lograr una solución que realmente agregue valor a la compañía.</w:t>
      </w:r>
      <w:r/>
    </w:p>
    <w:p w14:paraId="4763FC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También leí uno de los libros recomendados por uno de los profesores durante el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Residential Week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llamado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The Last Lecture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de Jeffrey Zaslow y Randy Pausch. Ese libro ha sido, probablemente, el mejor que he leído este año. Me dejó una enseñanza muy profunda sobre la importancia de dedicar nuestro tiempo a aquello que verdaderamente nos apasiona y de aprender a disfrutar el 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iempo limitado que tenemos en esta vida. Además de ser inspirador, me hizo reflexionar sobre cómo equilibrar nuestras metas profesionales con una vida significativa y con propósito.</w:t>
      </w:r>
      <w:r/>
    </w:p>
    <w:p w14:paraId="51691A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otro lado, algunos de los videos vistos durante el programa, especialmente el caso de Southwest, también me han inspirado bastante. Me ayudaron a comprender la importancia de construir una visión sólida y coherente, y de saber transmitirla de manera ef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ectiva tanto a colaboradores como a socios, inversionistas y clientes. Entendí que una visión clara no solo orienta a la organización, sino que también tiene el poder de generar compromiso, confianza y sentido de pertenencia en todas las personas involucra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das.</w:t>
      </w:r>
      <w:r/>
    </w:p>
    <w:p w14:paraId="576F45F5">
      <w:pPr>
        <w:pBdr/>
        <w:spacing/>
        <w:ind/>
        <w:rPr/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2026-05-16T20:54:25Z</dcterms:modified>
</cp:coreProperties>
</file>