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26D9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Actividad 4.2: Caso práctico final </w:t>
      </w:r>
      <w:r/>
    </w:p>
    <w:p w14:paraId="777173B6">
      <w:pPr>
        <w:pBdr>
          <w:top w:val="none" w:color="000000" w:sz="4" w:space="0"/>
          <w:left w:val="none" w:color="000000" w:sz="4" w:space="0"/>
          <w:bottom w:val="none" w:color="000000" w:sz="4" w:space="0"/>
          <w:right w:val="none" w:color="000000" w:sz="4" w:space="0"/>
        </w:pBdr>
        <w:spacing/>
        <w:ind w:right="0" w:firstLine="0" w:left="0"/>
        <w:jc w:val="both"/>
        <w:rPr/>
      </w:pPr>
      <w:r>
        <w:t xml:space="preserve">Un caso de innovación llevado a cabo dentro de Golabs fue el desarrollo de un sistema interno llamado Gacela. Inicialmente, Gacela nació como una herramienta para uso interno, pero con el tiempo evolucionó hasta convertirse en una plataforma integral que c</w:t>
      </w:r>
      <w:r>
        <w:t xml:space="preserve">ontempla prácticamente todas las áreas operativas y estratégicas de la organización.</w:t>
      </w:r>
      <w:r/>
    </w:p>
    <w:p w14:paraId="53876F8C">
      <w:pPr>
        <w:pBdr>
          <w:top w:val="none" w:color="000000" w:sz="4" w:space="0"/>
          <w:left w:val="none" w:color="000000" w:sz="4" w:space="0"/>
          <w:bottom w:val="none" w:color="000000" w:sz="4" w:space="0"/>
          <w:right w:val="none" w:color="000000" w:sz="4" w:space="0"/>
        </w:pBdr>
        <w:spacing/>
        <w:ind w:right="0" w:firstLine="0" w:left="0"/>
        <w:jc w:val="both"/>
        <w:rPr>
          <w:highlight w:val="none"/>
        </w:rPr>
      </w:pPr>
      <w:r>
        <w:t xml:space="preserve">Actualmente, el sistema centraliza y administra información relacionada con:</w:t>
      </w:r>
      <w:r/>
      <w:r>
        <w:rPr>
          <w:highlight w:val="none"/>
          <w:lang w:val="es-ES"/>
        </w:rPr>
      </w:r>
      <w:r/>
      <w:r>
        <w:rPr>
          <w:rFonts w:ascii="Times New Roman" w:hAnsi="Times New Roman" w:eastAsia="Times New Roman" w:cs="Times New Roman"/>
          <w:sz w:val="24"/>
        </w:rPr>
      </w:r>
    </w:p>
    <w:tbl>
      <w:tblPr>
        <w:tblStyle w:val="12"/>
        <w:tblW w:w="0" w:type="auto"/>
        <w:tblBorders/>
        <w:tblLook w:val="04A0" w:firstRow="1" w:lastRow="0" w:firstColumn="1" w:lastColumn="0" w:noHBand="0" w:noVBand="1"/>
      </w:tblPr>
      <w:tblGrid>
        <w:gridCol w:w="4680"/>
        <w:gridCol w:w="4680"/>
      </w:tblGrid>
      <w:tr>
        <w:trPr/>
        <w:tc>
          <w:tcPr>
            <w:tcBorders>
              <w:top w:val="nil" w:color="000000" w:sz="4" w:space="0"/>
              <w:left w:val="nil" w:color="000000" w:sz="4" w:space="0"/>
              <w:bottom w:val="nil" w:color="000000" w:sz="4" w:space="0"/>
              <w:right w:val="nil" w:color="000000" w:sz="4" w:space="0"/>
            </w:tcBorders>
            <w:tcW w:w="4680" w:type="dxa"/>
          </w:tcPr>
          <w:p w14:paraId="5741C964">
            <w:pPr>
              <w:pStyle w:val="668"/>
              <w:numPr>
                <w:ilvl w:val="0"/>
                <w:numId w:val="5"/>
              </w:numPr>
              <w:pBdr/>
              <w:spacing/>
              <w:ind/>
              <w:jc w:val="both"/>
              <w:rPr/>
            </w:pPr>
            <w:r>
              <w:rPr>
                <w:highlight w:val="none"/>
                <w:lang w:val="es-ES"/>
              </w:rPr>
              <w:t xml:space="preserve">Clientes</w:t>
            </w:r>
            <w:r/>
            <w:r/>
          </w:p>
          <w:p w14:paraId="61B218B8">
            <w:pPr>
              <w:pStyle w:val="668"/>
              <w:numPr>
                <w:ilvl w:val="0"/>
                <w:numId w:val="5"/>
              </w:numPr>
              <w:pBdr/>
              <w:spacing/>
              <w:ind/>
              <w:jc w:val="both"/>
              <w:rPr/>
            </w:pPr>
            <w:r>
              <w:rPr>
                <w:highlight w:val="none"/>
                <w:lang w:val="es-ES"/>
              </w:rPr>
              <w:t xml:space="preserve">Proyectos</w:t>
            </w:r>
            <w:r/>
            <w:r/>
          </w:p>
          <w:p w14:paraId="6BAC05BA">
            <w:pPr>
              <w:pStyle w:val="668"/>
              <w:numPr>
                <w:ilvl w:val="0"/>
                <w:numId w:val="5"/>
              </w:numPr>
              <w:pBdr/>
              <w:spacing/>
              <w:ind/>
              <w:jc w:val="both"/>
              <w:rPr/>
            </w:pPr>
            <w:r>
              <w:rPr>
                <w:highlight w:val="none"/>
                <w:lang w:val="es-ES"/>
              </w:rPr>
              <w:t xml:space="preserve">Estimaciones</w:t>
            </w:r>
            <w:r/>
            <w:r/>
          </w:p>
          <w:p w14:paraId="582F6AA4">
            <w:pPr>
              <w:pStyle w:val="668"/>
              <w:numPr>
                <w:ilvl w:val="0"/>
                <w:numId w:val="5"/>
              </w:numPr>
              <w:pBdr/>
              <w:spacing/>
              <w:ind/>
              <w:jc w:val="both"/>
              <w:rPr/>
            </w:pPr>
            <w:r>
              <w:rPr>
                <w:highlight w:val="none"/>
                <w:lang w:val="es-ES"/>
              </w:rPr>
              <w:t xml:space="preserve">Propuestas</w:t>
            </w:r>
            <w:r/>
            <w:r/>
          </w:p>
          <w:p w14:paraId="0EDA547A">
            <w:pPr>
              <w:pStyle w:val="668"/>
              <w:numPr>
                <w:ilvl w:val="0"/>
                <w:numId w:val="5"/>
              </w:numPr>
              <w:pBdr/>
              <w:spacing/>
              <w:ind/>
              <w:jc w:val="both"/>
              <w:rPr/>
            </w:pPr>
            <w:r>
              <w:rPr>
                <w:highlight w:val="none"/>
                <w:lang w:val="es-ES"/>
              </w:rPr>
              <w:t xml:space="preserve">KPIs</w:t>
            </w:r>
            <w:r/>
            <w:r/>
          </w:p>
          <w:p w14:paraId="3B556EDB">
            <w:pPr>
              <w:pStyle w:val="668"/>
              <w:numPr>
                <w:ilvl w:val="0"/>
                <w:numId w:val="5"/>
              </w:numPr>
              <w:pBdr/>
              <w:spacing/>
              <w:ind/>
              <w:jc w:val="both"/>
              <w:rPr/>
            </w:pPr>
            <w:r>
              <w:rPr>
                <w:highlight w:val="none"/>
                <w:lang w:val="es-ES"/>
              </w:rPr>
              <w:t xml:space="preserve">Talento</w:t>
            </w:r>
            <w:r/>
            <w:r/>
          </w:p>
          <w:p w14:paraId="0FB41FBC">
            <w:pPr>
              <w:pBdr>
                <w:top w:val="none" w:color="000000" w:sz="4" w:space="0"/>
                <w:left w:val="none" w:color="000000" w:sz="4" w:space="0"/>
                <w:bottom w:val="none" w:color="000000" w:sz="4" w:space="0"/>
                <w:right w:val="none" w:color="000000" w:sz="4" w:space="0"/>
              </w:pBdr>
              <w:spacing/>
              <w:ind/>
              <w:jc w:val="both"/>
              <w:rPr>
                <w:highlight w:val="none"/>
              </w:rPr>
            </w:pPr>
            <w:r>
              <w:rPr>
                <w:highlight w:val="none"/>
              </w:rPr>
            </w:r>
            <w:r>
              <w:rPr>
                <w:highlight w:val="none"/>
              </w:rPr>
            </w:r>
          </w:p>
        </w:tc>
        <w:tc>
          <w:tcPr>
            <w:tcBorders>
              <w:top w:val="nil" w:color="000000" w:sz="4" w:space="0"/>
              <w:left w:val="nil" w:color="000000" w:sz="4" w:space="0"/>
              <w:bottom w:val="nil" w:color="000000" w:sz="4" w:space="0"/>
              <w:right w:val="nil" w:color="000000" w:sz="4" w:space="0"/>
            </w:tcBorders>
            <w:tcW w:w="4680" w:type="dxa"/>
          </w:tcPr>
          <w:p w14:paraId="18DF9EF9">
            <w:pPr>
              <w:pStyle w:val="668"/>
              <w:numPr>
                <w:ilvl w:val="0"/>
                <w:numId w:val="6"/>
              </w:numPr>
              <w:pBdr/>
              <w:spacing/>
              <w:ind/>
              <w:jc w:val="both"/>
              <w:rPr/>
            </w:pPr>
            <w:r>
              <w:rPr>
                <w:highlight w:val="none"/>
                <w:lang w:val="es-ES"/>
              </w:rPr>
              <w:t xml:space="preserve">Revenue</w:t>
            </w:r>
            <w:r/>
            <w:r/>
          </w:p>
          <w:p w14:paraId="2C5D8FF5">
            <w:pPr>
              <w:pStyle w:val="668"/>
              <w:numPr>
                <w:ilvl w:val="0"/>
                <w:numId w:val="6"/>
              </w:numPr>
              <w:pBdr/>
              <w:spacing/>
              <w:ind/>
              <w:jc w:val="both"/>
              <w:rPr/>
            </w:pPr>
            <w:r>
              <w:rPr>
                <w:highlight w:val="none"/>
                <w:lang w:val="es-ES"/>
              </w:rPr>
              <w:t xml:space="preserve">Career Path</w:t>
            </w:r>
            <w:r/>
            <w:r/>
          </w:p>
          <w:p w14:paraId="650649A3">
            <w:pPr>
              <w:pStyle w:val="668"/>
              <w:numPr>
                <w:ilvl w:val="0"/>
                <w:numId w:val="6"/>
              </w:numPr>
              <w:pBdr/>
              <w:spacing/>
              <w:ind/>
              <w:jc w:val="both"/>
              <w:rPr/>
            </w:pPr>
            <w:r>
              <w:rPr>
                <w:highlight w:val="none"/>
                <w:lang w:val="es-ES"/>
              </w:rPr>
              <w:t xml:space="preserve">Inventario de hardware</w:t>
            </w:r>
            <w:r/>
            <w:r/>
          </w:p>
          <w:p w14:paraId="563CFC3E">
            <w:pPr>
              <w:pStyle w:val="668"/>
              <w:numPr>
                <w:ilvl w:val="0"/>
                <w:numId w:val="6"/>
              </w:numPr>
              <w:pBdr/>
              <w:spacing/>
              <w:ind/>
              <w:jc w:val="both"/>
              <w:rPr/>
            </w:pPr>
            <w:r>
              <w:rPr>
                <w:highlight w:val="none"/>
                <w:lang w:val="es-ES"/>
              </w:rPr>
              <w:t xml:space="preserve">Satisfacci</w:t>
            </w:r>
            <w:r>
              <w:rPr>
                <w:highlight w:val="none"/>
                <w:lang w:val="es-ES"/>
              </w:rPr>
              <w:t xml:space="preserve">ón de clientes y colaboradores</w:t>
            </w:r>
            <w:r/>
            <w:r/>
          </w:p>
          <w:p w14:paraId="4149A2E4">
            <w:pPr>
              <w:pStyle w:val="668"/>
              <w:numPr>
                <w:ilvl w:val="0"/>
                <w:numId w:val="6"/>
              </w:numPr>
              <w:pBdr/>
              <w:spacing/>
              <w:ind/>
              <w:jc w:val="both"/>
              <w:rPr/>
            </w:pPr>
            <w:r>
              <w:rPr>
                <w:highlight w:val="none"/>
                <w:lang w:val="es-ES"/>
              </w:rPr>
            </w:r>
            <w:r>
              <w:rPr>
                <w:highlight w:val="none"/>
                <w:lang w:val="es-ES"/>
              </w:rPr>
              <w:t xml:space="preserve">Sistema din</w:t>
            </w:r>
            <w:r>
              <w:rPr>
                <w:highlight w:val="none"/>
                <w:lang w:val="es-ES"/>
              </w:rPr>
              <w:t xml:space="preserve">ámico de beneficios</w:t>
            </w:r>
            <w:r/>
            <w:r/>
          </w:p>
          <w:p w14:paraId="0DA66535">
            <w:pPr>
              <w:pStyle w:val="668"/>
              <w:numPr>
                <w:ilvl w:val="0"/>
                <w:numId w:val="6"/>
              </w:numPr>
              <w:pBdr/>
              <w:spacing/>
              <w:ind/>
              <w:jc w:val="both"/>
              <w:rPr/>
            </w:pPr>
            <w:r>
              <w:rPr>
                <w:highlight w:val="none"/>
                <w:lang w:val="es-ES"/>
              </w:rPr>
              <w:t xml:space="preserve">Evaluaciones de desempeño</w:t>
            </w:r>
            <w:r/>
            <w:r/>
          </w:p>
          <w:p w14:paraId="6AF2FFE5">
            <w:pPr>
              <w:pBdr>
                <w:top w:val="none" w:color="000000" w:sz="4" w:space="0"/>
                <w:left w:val="none" w:color="000000" w:sz="4" w:space="0"/>
                <w:bottom w:val="none" w:color="000000" w:sz="4" w:space="0"/>
                <w:right w:val="none" w:color="000000" w:sz="4" w:space="0"/>
              </w:pBdr>
              <w:spacing/>
              <w:ind/>
              <w:jc w:val="both"/>
              <w:rPr>
                <w:highlight w:val="none"/>
              </w:rPr>
            </w:pPr>
            <w:r>
              <w:rPr>
                <w:highlight w:val="none"/>
              </w:rPr>
            </w:r>
            <w:r>
              <w:rPr>
                <w:highlight w:val="none"/>
              </w:rPr>
            </w:r>
          </w:p>
        </w:tc>
      </w:tr>
    </w:tbl>
    <w:p w14:paraId="1794A54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highlight w:val="none"/>
        </w:rPr>
      </w:r>
      <w:r>
        <w:rPr>
          <w:highlight w:val="none"/>
        </w:rPr>
      </w:r>
      <w:r>
        <w:rPr>
          <w:highlight w:val="none"/>
        </w:rPr>
      </w:r>
    </w:p>
    <w:p w14:paraId="5FCE1473">
      <w:pPr>
        <w:pBdr/>
        <w:spacing/>
        <w:ind w:firstLine="0" w:left="0"/>
        <w:jc w:val="both"/>
        <w:rPr>
          <w:highlight w:val="none"/>
          <w:lang w:val="es-ES"/>
        </w:rPr>
      </w:pPr>
      <w:r>
        <w:rPr>
          <w:highlight w:val="none"/>
          <w:lang w:val="es-ES"/>
        </w:rPr>
      </w:r>
      <w:r>
        <w:t xml:space="preserve">Entre muchos otros módulos y procesos clave para la operación de la compañía.</w:t>
      </w:r>
      <w:r>
        <w:rPr>
          <w:highlight w:val="none"/>
          <w:lang w:val="es-ES"/>
        </w:rPr>
      </w:r>
      <w:r/>
    </w:p>
    <w:p w14:paraId="6DA4C77A">
      <w:pPr>
        <w:pBdr/>
        <w:spacing/>
        <w:ind w:firstLine="0" w:left="0"/>
        <w:jc w:val="both"/>
        <w:rPr>
          <w:highlight w:val="none"/>
          <w:lang w:val="es-ES"/>
        </w:rPr>
      </w:pPr>
      <w:r>
        <w:rPr>
          <w:highlight w:val="none"/>
          <w:lang w:val="es-ES"/>
        </w:rPr>
      </w:r>
      <w:r>
        <w:t xml:space="preserve">Este proyecto comenzó hace aproximadamente cinco años, en un momento en el que la mayoría de las empresas optaban por contratar múltiples licencias de diferentes plataformas especializadas para resolver necesidades específicas. El problema de ese enfoque e</w:t>
      </w:r>
      <w:r>
        <w:t xml:space="preserve">ra que, posteriormente, se debía invertir una gran cantidad de tiempo y recursos en construir ETLs y procesos de integración para centralizar toda la información en un data warehouse que funcionara como una única “fuente de la verdad”.</w:t>
      </w:r>
      <w:r>
        <w:rPr>
          <w:highlight w:val="none"/>
          <w:lang w:val="es-ES"/>
        </w:rPr>
      </w:r>
      <w:r/>
    </w:p>
    <w:p w14:paraId="16381048">
      <w:pPr>
        <w:pBdr/>
        <w:spacing/>
        <w:ind w:firstLine="0" w:left="0"/>
        <w:jc w:val="both"/>
        <w:rPr>
          <w:highlight w:val="none"/>
          <w:lang w:val="es-ES"/>
        </w:rPr>
      </w:pPr>
      <w:r>
        <w:rPr>
          <w:highlight w:val="none"/>
          <w:lang w:val="es-ES"/>
        </w:rPr>
      </w:r>
      <w:r>
        <w:t xml:space="preserve">En Golabs, al ser una compañía altamente orientada al uso de datos para la toma de decisiones, decidimos seguir un camino diferente: construir nuestra propia plataforma centralizada. Esta decisión ha generado múltiples beneficios para la organización. Entr</w:t>
      </w:r>
      <w:r>
        <w:t xml:space="preserve">e los más importantes destacan:</w:t>
      </w:r>
      <w:r>
        <w:rPr>
          <w:highlight w:val="none"/>
          <w:lang w:val="es-ES"/>
        </w:rPr>
      </w:r>
      <w:r/>
    </w:p>
    <w:p w14:paraId="47194A53">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pPr>
      <w:r>
        <w:t xml:space="preserve">Los datos son completamente nuestros y no dependemos de terceros para acceder a ellos.</w:t>
      </w:r>
      <w:r/>
    </w:p>
    <w:p w14:paraId="453F3A65">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pPr>
      <w:r>
        <w:t xml:space="preserve">Tenemos total flexibilidad para realizar cambios o incorporar nuevas funcionalidades sin depender de procesos externos de gestión de cambios, los cuales normalmente son costosos y lentos.</w:t>
      </w:r>
      <w:r/>
    </w:p>
    <w:p w14:paraId="3585A180">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pPr>
      <w:r>
        <w:t xml:space="preserve">Toda la información de la operación vive en un único sistema, lo que facilita enormemente el análisis y la toma de decisiones.</w:t>
      </w:r>
      <w:r/>
    </w:p>
    <w:p w14:paraId="69DF1032">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pPr>
      <w:r>
        <w:t xml:space="preserve">Se redujo considerablemente la complejidad de integrar herramientas externas y mantener sincronizada la información entre múltiples plataformas.</w:t>
      </w:r>
      <w:r>
        <w:rPr>
          <w:rFonts w:ascii="Times New Roman" w:hAnsi="Times New Roman" w:eastAsia="Times New Roman" w:cs="Times New Roman"/>
          <w:sz w:val="24"/>
        </w:rPr>
      </w:r>
    </w:p>
    <w:p w14:paraId="19992E8B">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lang w:val="es-ES"/>
        </w:rPr>
        <w:t xml:space="preserve">Es un activo importantisimo y un factor diferenciador para la operaci</w:t>
      </w:r>
      <w:r>
        <w:rPr>
          <w:highlight w:val="none"/>
          <w:lang w:val="es-ES"/>
        </w:rPr>
        <w:t xml:space="preserve">ón interna de la compañ</w:t>
      </w:r>
      <w:r>
        <w:rPr>
          <w:highlight w:val="none"/>
          <w:lang w:val="es-ES"/>
        </w:rPr>
        <w:t xml:space="preserve">ía.</w:t>
      </w:r>
      <w:r>
        <w:rPr>
          <w:highlight w:val="none"/>
        </w:rPr>
      </w:r>
      <w:r>
        <w:rPr>
          <w:highlight w:val="none"/>
        </w:rPr>
      </w:r>
      <w:r>
        <w:rPr>
          <w:highlight w:val="none"/>
          <w:lang w:val="es-ES"/>
        </w:rPr>
      </w:r>
      <w:r>
        <w:rPr>
          <w:highlight w:val="none"/>
          <w:lang w:val="es-ES"/>
        </w:rPr>
      </w:r>
      <w:r>
        <w:rPr>
          <w:highlight w:val="none"/>
          <w:lang w:val="es-ES"/>
        </w:rPr>
      </w:r>
      <w:r>
        <w:rPr>
          <w:rFonts w:ascii="Times New Roman" w:hAnsi="Times New Roman" w:eastAsia="Times New Roman" w:cs="Times New Roman"/>
          <w:sz w:val="24"/>
          <w:szCs w:val="24"/>
        </w:rPr>
      </w:r>
    </w:p>
    <w:p w14:paraId="38F09698">
      <w:pPr>
        <w:pBdr/>
        <w:spacing/>
        <w:ind/>
        <w:jc w:val="both"/>
        <w:rPr>
          <w:highlight w:val="none"/>
          <w:lang w:val="es-ES"/>
        </w:rPr>
      </w:pPr>
      <w:r>
        <w:rPr>
          <w:highlight w:val="none"/>
          <w:lang w:val="es-ES"/>
        </w:rPr>
      </w:r>
      <w:r>
        <w:t xml:space="preserve">Con el paso del tiempo, esta decisión estratégica ha demostrado ser la correcta, especialmente en el contexto actual, donde construir software es mucho más rápido, accesible y económico que hace algunos años.</w:t>
      </w:r>
      <w:r>
        <w:rPr>
          <w:highlight w:val="none"/>
          <w:lang w:val="es-ES"/>
        </w:rPr>
      </w:r>
      <w:r/>
    </w:p>
    <w:p w14:paraId="31C2A759">
      <w:pPr>
        <w:pBdr/>
        <w:spacing/>
        <w:ind/>
        <w:jc w:val="both"/>
        <w:rPr>
          <w:highlight w:val="none"/>
          <w:lang w:val="es-ES"/>
        </w:rPr>
      </w:pPr>
      <w:r>
        <w:rPr>
          <w:highlight w:val="none"/>
          <w:lang w:val="es-ES"/>
        </w:rPr>
      </w:r>
      <w:r>
        <w:t xml:space="preserve">Recientemente, además, se han incorporado funcionalidades muy innovadoras basadas en inteligencia artificial. Una de las más interesantes es la capacidad de interactuar con Gacela mediante lenguaje natural, como si se estuviera conversando con una persona.</w:t>
      </w:r>
      <w:r>
        <w:t xml:space="preserve"> La diferencia es que esta “persona” tiene acceso a prácticamente toda la información operativa e histórica de la compañía, lo que le permite responder preguntas complejas de manera inmediata.</w:t>
      </w:r>
      <w:r>
        <w:rPr>
          <w:highlight w:val="none"/>
          <w:lang w:val="es-ES"/>
        </w:rPr>
      </w:r>
      <w:r/>
    </w:p>
    <w:p w14:paraId="2298E657">
      <w:pPr>
        <w:pBdr/>
        <w:spacing/>
        <w:ind/>
        <w:jc w:val="both"/>
        <w:rPr>
          <w:highlight w:val="none"/>
          <w:lang w:val="es-ES"/>
        </w:rPr>
      </w:pPr>
      <w:r>
        <w:rPr>
          <w:highlight w:val="none"/>
          <w:lang w:val="es-ES"/>
        </w:rPr>
      </w:r>
      <w:r>
        <w:t xml:space="preserve">Gracias a esto, hoy es posible realizar consultas como:</w:t>
      </w:r>
      <w:r>
        <w:rPr>
          <w:highlight w:val="none"/>
          <w:lang w:val="es-ES"/>
        </w:rPr>
      </w:r>
      <w:r/>
    </w:p>
    <w:p w14:paraId="72E44FC3">
      <w:pPr>
        <w:pStyle w:val="668"/>
        <w:numPr>
          <w:ilvl w:val="0"/>
          <w:numId w:val="3"/>
        </w:numPr>
        <w:pBdr/>
        <w:spacing/>
        <w:ind/>
        <w:jc w:val="both"/>
        <w:rPr/>
      </w:pPr>
      <w:r>
        <w:rPr>
          <w:highlight w:val="none"/>
          <w:lang w:val="es-ES"/>
        </w:rPr>
        <w:t xml:space="preserve">¿Cuantas personas se han contratado en la </w:t>
      </w:r>
      <w:r>
        <w:rPr>
          <w:highlight w:val="none"/>
          <w:lang w:val="es-ES"/>
        </w:rPr>
        <w:t xml:space="preserve">última semana</w:t>
      </w:r>
      <w:r>
        <w:rPr>
          <w:highlight w:val="none"/>
          <w:lang w:val="es-ES"/>
        </w:rPr>
        <w:t xml:space="preserve">?</w:t>
      </w:r>
      <w:r/>
    </w:p>
    <w:p w14:paraId="40144674">
      <w:pPr>
        <w:pStyle w:val="668"/>
        <w:numPr>
          <w:ilvl w:val="0"/>
          <w:numId w:val="3"/>
        </w:numPr>
        <w:pBdr/>
        <w:spacing/>
        <w:ind/>
        <w:jc w:val="both"/>
        <w:rPr/>
      </w:pPr>
      <w:r>
        <w:rPr>
          <w:highlight w:val="none"/>
          <w:lang w:val="es-ES"/>
        </w:rPr>
        <w:t xml:space="preserve">¿Que hechos relevantes han pasado en el </w:t>
      </w:r>
      <w:r>
        <w:rPr>
          <w:highlight w:val="none"/>
          <w:lang w:val="es-ES"/>
        </w:rPr>
        <w:t xml:space="preserve">último mes en la compañ</w:t>
      </w:r>
      <w:r>
        <w:rPr>
          <w:highlight w:val="none"/>
          <w:lang w:val="es-ES"/>
        </w:rPr>
        <w:t xml:space="preserve">ía</w:t>
      </w:r>
      <w:r>
        <w:rPr>
          <w:highlight w:val="none"/>
          <w:lang w:val="es-ES"/>
        </w:rPr>
        <w:t xml:space="preserve">?</w:t>
      </w:r>
      <w:r/>
    </w:p>
    <w:p w14:paraId="6E51CD4D">
      <w:pPr>
        <w:pStyle w:val="668"/>
        <w:numPr>
          <w:ilvl w:val="0"/>
          <w:numId w:val="3"/>
        </w:numPr>
        <w:pBdr/>
        <w:spacing/>
        <w:ind/>
        <w:jc w:val="both"/>
        <w:rPr/>
      </w:pPr>
      <w:r>
        <w:rPr>
          <w:highlight w:val="none"/>
          <w:lang w:val="es-ES"/>
        </w:rPr>
      </w:r>
      <w:r>
        <w:rPr>
          <w:highlight w:val="none"/>
          <w:lang w:val="es-ES"/>
        </w:rPr>
        <w:t xml:space="preserve">¿Quien es la persona m</w:t>
      </w:r>
      <w:r>
        <w:rPr>
          <w:highlight w:val="none"/>
          <w:lang w:val="es-ES"/>
        </w:rPr>
        <w:t xml:space="preserve">ás calificada para asignarla a un proyecto en tecnolog</w:t>
      </w:r>
      <w:r>
        <w:rPr>
          <w:highlight w:val="none"/>
          <w:lang w:val="es-ES"/>
        </w:rPr>
        <w:t xml:space="preserve">ía AWS + Terraform</w:t>
      </w:r>
      <w:r>
        <w:rPr>
          <w:highlight w:val="none"/>
          <w:lang w:val="es-ES"/>
        </w:rPr>
        <w:t xml:space="preserve">?</w:t>
      </w:r>
      <w:r/>
    </w:p>
    <w:p w14:paraId="1EA53661">
      <w:pPr>
        <w:pBdr/>
        <w:spacing/>
        <w:ind/>
        <w:jc w:val="both"/>
        <w:rPr/>
      </w:pPr>
      <w:r>
        <w:rPr>
          <w:highlight w:val="none"/>
          <w:lang w:val="es-ES"/>
        </w:rPr>
      </w:r>
      <w:r>
        <w:t xml:space="preserve">Actualmente, Gacela se ha convertido en una pieza fundamental dentro de Golabs, permitiendo llevar un control extremadamente detallado de toda la operación desde un solo sistema centralizado. Además de optimizar procesos internos, la plataforma se ha trans</w:t>
      </w:r>
      <w:r>
        <w:t xml:space="preserve">formado en una ventaja competitiva que facilita la toma de decisiones estratégicas basadas en datos y mejora continuamente la eficiencia de la organización.</w:t>
      </w:r>
      <w:r>
        <w:rPr>
          <w:highlight w:val="none"/>
          <w:lang w:val="es-ES"/>
        </w:rPr>
      </w:r>
      <w:r>
        <w:rPr>
          <w:highlight w:val="none"/>
          <w:lang w:val="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9C65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17A49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8E731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0D628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9C65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29C65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2026-05-16T21:21:05Z</dcterms:modified>
</cp:coreProperties>
</file>