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Actividad 1.2. Dibuje su propio marco de gestión tecnológica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Sobre la compañía </w:t>
      </w:r>
      <w:r>
        <w:rPr/>
        <w:t>elegida</w:t>
      </w:r>
      <w:r>
        <w:rPr/>
        <w:t>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both"/>
        <w:rPr/>
      </w:pPr>
      <w:r>
        <w:rPr>
          <w:b/>
          <w:bCs/>
        </w:rPr>
        <w:t>Subaxa</w:t>
      </w:r>
      <w:r>
        <w:rPr/>
        <w:t xml:space="preserve"> es una empresa </w:t>
      </w:r>
      <w:r>
        <w:rPr>
          <w:rStyle w:val="Strong"/>
        </w:rPr>
        <w:t>PropTech</w:t>
      </w:r>
      <w:r>
        <w:rPr/>
        <w:t xml:space="preserve"> que ofrece una plataforma especializada para la inversión en remates judiciales en Costa Rica. Nuestra solución combina un mapa interactivo de oportunidades, análisis avanzado mediante inteligencia artificial y el acompañamiento de un equipo multidisciplinario de expertos en inversión y asuntos legales, brindando a los inversionistas las herramientas necesarias para tomar decisiones informadas y minimizar riesgos.</w:t>
      </w:r>
    </w:p>
    <w:p>
      <w:pPr>
        <w:pStyle w:val="BodyText"/>
        <w:bidi w:val="0"/>
        <w:jc w:val="both"/>
        <w:rPr/>
      </w:pPr>
      <w:r>
        <w:rPr/>
        <w:t>Nuestros clientes son personas e inversionistas interesados en el mercado inmobiliario que buscan acceder a oportunidades de inversión respaldadas por información actualizada, confiable y analizada de manera objetiva. A través de nuestra plataforma, facilitamos el acceso a datos que tradicionalmente son difíciles de obtener, permitiendo evaluar cada oportunidad con mayor seguridad y confianza.</w:t>
      </w:r>
    </w:p>
    <w:p>
      <w:pPr>
        <w:pStyle w:val="BodyText"/>
        <w:bidi w:val="0"/>
        <w:jc w:val="both"/>
        <w:rPr/>
      </w:pPr>
      <w:r>
        <w:rPr/>
        <w:t xml:space="preserve">El equipo de Subaxa acompaña a cada inversionista durante todo el proceso de inversión. Desde la identificación de propiedades que se ajustan a su perfil y objetivos financieros, pasando por un análisis exhaustivo o </w:t>
      </w:r>
      <w:r>
        <w:rPr>
          <w:rStyle w:val="Emphasis"/>
        </w:rPr>
        <w:t>due diligence</w:t>
      </w:r>
      <w:r>
        <w:rPr/>
        <w:t xml:space="preserve"> de cada inmueble </w:t>
      </w:r>
      <w:r>
        <w:rPr/>
        <w:t>(</w:t>
      </w:r>
      <w:r>
        <w:rPr/>
        <w:t>incluyendo aspectos legales, financieros y comerciales</w:t>
      </w:r>
      <w:r>
        <w:rPr/>
        <w:t>)</w:t>
      </w:r>
      <w:r>
        <w:rPr/>
        <w:t>, hasta el acompañamiento presencial durante el remate judicial en cualquiera de los tribunales de Costa Rica. Nuestro objetivo es convertir un proceso tradicionalmente complejo y poco accesible en una experiencia transparente, eficiente y respaldada por tecnología de vanguardia y asesoría especializada.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Diagrama OPM: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El diagrama que se muestra acontinuacion muestra un proceso que ocurre todos los días de manera automática y es la fuente de la información que se ofrece en la plataforma.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133350</wp:posOffset>
            </wp:positionV>
            <wp:extent cx="6680835" cy="40119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835" cy="401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Explicación del diagrama: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both"/>
        <w:rPr/>
      </w:pPr>
      <w:r>
        <w:rPr/>
        <w:t xml:space="preserve">El elemento central de este modelo es el objeto </w:t>
      </w:r>
      <w:r>
        <w:rPr>
          <w:rStyle w:val="Strong"/>
        </w:rPr>
        <w:t>Propiedad</w:t>
      </w:r>
      <w:r>
        <w:rPr/>
        <w:t xml:space="preserve">, ya que representa la entidad principal sobre la que trabajan todos los procesos del sistema. Cada propiedad avanza progresivamente a través de cuatro estados: </w:t>
      </w:r>
      <w:r>
        <w:rPr>
          <w:rStyle w:val="Strong"/>
        </w:rPr>
        <w:t>borrador</w:t>
      </w:r>
      <w:r>
        <w:rPr/>
        <w:t xml:space="preserve">, </w:t>
      </w:r>
      <w:r>
        <w:rPr>
          <w:rStyle w:val="Strong"/>
        </w:rPr>
        <w:t>autocompletado</w:t>
      </w:r>
      <w:r>
        <w:rPr/>
        <w:t xml:space="preserve">, </w:t>
      </w:r>
      <w:r>
        <w:rPr>
          <w:rStyle w:val="Strong"/>
        </w:rPr>
        <w:t>normalizado</w:t>
      </w:r>
      <w:r>
        <w:rPr/>
        <w:t xml:space="preserve"> y </w:t>
      </w:r>
      <w:r>
        <w:rPr>
          <w:rStyle w:val="Strong"/>
        </w:rPr>
        <w:t>localizada</w:t>
      </w:r>
      <w:r>
        <w:rPr/>
        <w:t>. El objetivo de toda la plataforma es transformar información no estructurada proveniente del Boletín Judicial en una propiedad completamente identificada, validada y georreferenciada, lista para ser analizada por los inversionistas.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El proceso inicia con la publicación del </w:t>
      </w:r>
      <w:r>
        <w:rPr>
          <w:rStyle w:val="Strong"/>
          <w:b/>
          <w:bCs/>
        </w:rPr>
        <w:t>Boletín Judicial</w:t>
      </w:r>
      <w:r>
        <w:rPr>
          <w:b w:val="false"/>
          <w:bCs w:val="false"/>
        </w:rPr>
        <w:t xml:space="preserve">, el cual es cargado al sistema mediante el proceso </w:t>
      </w:r>
      <w:r>
        <w:rPr>
          <w:rStyle w:val="Strong"/>
          <w:b/>
          <w:bCs/>
        </w:rPr>
        <w:t>Subir Boletín</w:t>
      </w:r>
      <w:r>
        <w:rPr>
          <w:b w:val="false"/>
          <w:bCs w:val="false"/>
        </w:rPr>
        <w:t xml:space="preserve">. Una vez almacenado como un objeto </w:t>
      </w:r>
      <w:r>
        <w:rPr>
          <w:rStyle w:val="Strong"/>
          <w:b w:val="false"/>
          <w:bCs w:val="false"/>
        </w:rPr>
        <w:t>Boletín</w:t>
      </w:r>
      <w:r>
        <w:rPr>
          <w:b w:val="false"/>
          <w:bCs w:val="false"/>
        </w:rPr>
        <w:t xml:space="preserve">, se ejecuta el proceso </w:t>
      </w:r>
      <w:r>
        <w:rPr>
          <w:rStyle w:val="Strong"/>
          <w:b/>
          <w:bCs/>
        </w:rPr>
        <w:t>Extraer Remates Judiciales</w:t>
      </w:r>
      <w:r>
        <w:rPr>
          <w:b w:val="false"/>
          <w:bCs w:val="false"/>
        </w:rPr>
        <w:t xml:space="preserve">, encargado de identificar todos los remates publicados y generar los correspondientes </w:t>
      </w:r>
      <w:r>
        <w:rPr>
          <w:rStyle w:val="Strong"/>
          <w:b w:val="false"/>
          <w:bCs w:val="false"/>
        </w:rPr>
        <w:t>Edictos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Posteriormente, cada edicto es procesado mediante </w:t>
      </w:r>
      <w:r>
        <w:rPr>
          <w:rStyle w:val="Strong"/>
          <w:b/>
          <w:bCs/>
        </w:rPr>
        <w:t>Extraer Edictos</w:t>
      </w:r>
      <w:r>
        <w:rPr>
          <w:b w:val="false"/>
          <w:bCs w:val="false"/>
        </w:rPr>
        <w:t xml:space="preserve">, un proceso que combina reglas tradicionales de procesamiento de texto con el apoyo de un </w:t>
      </w:r>
      <w:r>
        <w:rPr>
          <w:rStyle w:val="Strong"/>
          <w:b w:val="false"/>
          <w:bCs w:val="false"/>
        </w:rPr>
        <w:t>Agente de Inteligencia Artificial</w:t>
      </w:r>
      <w:r>
        <w:rPr>
          <w:b w:val="false"/>
          <w:bCs w:val="false"/>
        </w:rPr>
        <w:t xml:space="preserve"> para interpretar el contenido del documento. A partir de esta información se crea una nueva </w:t>
      </w:r>
      <w:r>
        <w:rPr>
          <w:rStyle w:val="Strong"/>
          <w:b/>
          <w:bCs/>
        </w:rPr>
        <w:t>Propiedad</w:t>
      </w:r>
      <w:r>
        <w:rPr>
          <w:b w:val="false"/>
          <w:bCs w:val="false"/>
        </w:rPr>
        <w:t xml:space="preserve"> en estado </w:t>
      </w:r>
      <w:r>
        <w:rPr>
          <w:rStyle w:val="Strong"/>
          <w:b/>
          <w:bCs/>
        </w:rPr>
        <w:t>borrador</w:t>
      </w:r>
      <w:r>
        <w:rPr>
          <w:b w:val="false"/>
          <w:bCs w:val="false"/>
        </w:rPr>
        <w:t>, donde la información aún puede estar incompleta o contener inconsistencias propias del lenguaje utilizado en los edictos judiciales.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El siguiente paso corresponde al proceso </w:t>
      </w:r>
      <w:r>
        <w:rPr>
          <w:rStyle w:val="Strong"/>
          <w:b/>
          <w:bCs/>
        </w:rPr>
        <w:t>Normalizar Propiedad</w:t>
      </w:r>
      <w:r>
        <w:rPr>
          <w:b w:val="false"/>
          <w:bCs w:val="false"/>
        </w:rPr>
        <w:t xml:space="preserve">, cuyo propósito es estandarizar toda la información extraída. Para ello utiliza un </w:t>
      </w:r>
      <w:r>
        <w:rPr>
          <w:rStyle w:val="Strong"/>
          <w:b w:val="false"/>
          <w:bCs w:val="false"/>
        </w:rPr>
        <w:t>Catálogo</w:t>
      </w:r>
      <w:r>
        <w:rPr>
          <w:b w:val="false"/>
          <w:bCs w:val="false"/>
        </w:rPr>
        <w:t xml:space="preserve"> de datos maestros que incluye provincias, cantones, distritos, acreedores y juzgados, permitiendo homologar nombres, corregir inconsistencias y completar información faltante. Como resultado, la propiedad pasa del estado </w:t>
      </w:r>
      <w:r>
        <w:rPr>
          <w:rStyle w:val="Strong"/>
          <w:b/>
          <w:bCs/>
        </w:rPr>
        <w:t>autocompletado</w:t>
      </w:r>
      <w:r>
        <w:rPr>
          <w:b w:val="false"/>
          <w:bCs w:val="false"/>
        </w:rPr>
        <w:t xml:space="preserve"> al estado </w:t>
      </w:r>
      <w:r>
        <w:rPr>
          <w:rStyle w:val="Strong"/>
          <w:b/>
          <w:bCs/>
        </w:rPr>
        <w:t>normalizado</w:t>
      </w:r>
      <w:r>
        <w:rPr>
          <w:b w:val="false"/>
          <w:bCs w:val="false"/>
        </w:rPr>
        <w:t>, garantizando que los datos sean consistentes y comparables con el resto de la plataforma.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/>
          <w:bCs/>
        </w:rPr>
      </w:pPr>
      <w:r>
        <w:rPr>
          <w:b w:val="false"/>
          <w:bCs w:val="false"/>
        </w:rPr>
        <w:t xml:space="preserve">Finalmente, el proceso </w:t>
      </w:r>
      <w:r>
        <w:rPr>
          <w:rStyle w:val="Strong"/>
          <w:b/>
          <w:bCs/>
        </w:rPr>
        <w:t>Ubicar Propiedad</w:t>
      </w:r>
      <w:r>
        <w:rPr>
          <w:b w:val="false"/>
          <w:bCs w:val="false"/>
        </w:rPr>
        <w:t xml:space="preserve"> utiliza la información ya normalizada para determinar la ubicación geográfica exacta del inmueble. Una vez que la propiedad ha sido localizada exitosamente, alcanza su estado final </w:t>
      </w:r>
      <w:r>
        <w:rPr>
          <w:rStyle w:val="Strong"/>
          <w:b/>
          <w:bCs/>
        </w:rPr>
        <w:t>localizada</w:t>
      </w:r>
      <w:r>
        <w:rPr>
          <w:b w:val="false"/>
          <w:bCs w:val="false"/>
        </w:rPr>
        <w:t xml:space="preserve">, quedando lista para ser presentada dentro del mapa de oportunidades de inversión y para continuar con las siguientes etapas del análisis de inversión y </w:t>
      </w:r>
      <w:r>
        <w:rPr>
          <w:rStyle w:val="Emphasis"/>
          <w:b w:val="false"/>
          <w:bCs w:val="false"/>
        </w:rPr>
        <w:t>due diligence</w:t>
      </w:r>
      <w:r>
        <w:rPr>
          <w:b w:val="false"/>
          <w:bCs w:val="false"/>
        </w:rPr>
        <w:t>.</w:t>
      </w:r>
    </w:p>
    <w:p>
      <w:pPr>
        <w:pStyle w:val="Normal"/>
        <w:bidi w:val="0"/>
        <w:jc w:val="both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both"/>
        <w:rPr>
          <w:b w:val="false"/>
          <w:bCs w:val="false"/>
        </w:rPr>
      </w:pPr>
      <w:r>
        <w:rPr>
          <w:b w:val="false"/>
          <w:bCs w:val="false"/>
        </w:rPr>
        <w:t>En conjunto, el diagrama representa un flujo de procesamiento de datos donde información inicialmente no estructurada se transforma, mediante una combinación de automatización, inteligencia artificial y validaciones basadas en catálogos, en un conjunto de propiedades confiables y estructuradas que sirven como base para la plataforma de inversión de Subaxa.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Segunda Parte: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¿Quién hace el </w:t>
      </w:r>
      <w:r>
        <w:rPr>
          <w:rStyle w:val="Emphasis"/>
          <w:b/>
          <w:bCs/>
        </w:rPr>
        <w:t>scouting</w:t>
      </w:r>
      <w:r>
        <w:rPr>
          <w:b/>
          <w:bCs/>
        </w:rPr>
        <w:t xml:space="preserve"> tecnológico en su empresa?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both"/>
        <w:rPr/>
      </w:pPr>
      <w:r>
        <w:rPr/>
        <w:t xml:space="preserve">El </w:t>
      </w:r>
      <w:r>
        <w:rPr>
          <w:rStyle w:val="Emphasis"/>
        </w:rPr>
        <w:t>scouting</w:t>
      </w:r>
      <w:r>
        <w:rPr/>
        <w:t xml:space="preserve"> tecnológico es liderado por el CTO, quien tiene la responsabilidad de identificar nuevas tecnologías, evaluar tendencias del mercado y analizar su posible impacto en la estrategia de la empresa. Sin embargo, este proceso no es exclusivo de un área o de una sola persona. En nuestra organización promovemos una cultura donde cualquier colaborador puede contribuir con nuevas ideas, herramientas o descubrimientos tecnológicos.</w:t>
      </w:r>
    </w:p>
    <w:p>
      <w:pPr>
        <w:pStyle w:val="BodyText"/>
        <w:bidi w:val="0"/>
        <w:jc w:val="both"/>
        <w:rPr/>
      </w:pPr>
      <w:r>
        <w:rPr/>
        <w:t>Consideramos que la innovación surge con mayor facilidad cuando todas las personas tienen la oportunidad de participar, independientemente de su antigüedad o posición dentro de la empresa. Desde un colaborador que lleva un día en la organización hasta los fundadores y el CEO pueden aportar perspectivas valiosas que eventualmente se conviertan en iniciativas de innovación.</w:t>
      </w:r>
    </w:p>
    <w:p>
      <w:pPr>
        <w:pStyle w:val="BodyText"/>
        <w:numPr>
          <w:ilvl w:val="0"/>
          <w:numId w:val="0"/>
        </w:numPr>
        <w:bidi w:val="0"/>
        <w:spacing w:before="0" w:after="0"/>
        <w:ind w:hanging="0" w:start="0"/>
        <w:jc w:val="start"/>
        <w:rPr/>
      </w:pPr>
      <w:r>
        <w:rPr/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  <w:t>¿Existen hojas de ruta tecnológicas?</w:t>
      </w:r>
    </w:p>
    <w:p>
      <w:pPr>
        <w:pStyle w:val="BodyText"/>
        <w:bidi w:val="0"/>
        <w:spacing w:before="0" w:after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spacing w:before="0" w:after="0"/>
        <w:jc w:val="both"/>
        <w:rPr/>
      </w:pPr>
      <w:r>
        <w:rPr/>
        <w:t>Sí. La empresa cuenta con hojas de ruta (</w:t>
      </w:r>
      <w:r>
        <w:rPr>
          <w:rStyle w:val="Emphasis"/>
        </w:rPr>
        <w:t>technology roadmaps</w:t>
      </w:r>
      <w:r>
        <w:rPr/>
        <w:t xml:space="preserve">) y </w:t>
      </w:r>
      <w:r>
        <w:rPr>
          <w:rStyle w:val="Emphasis"/>
        </w:rPr>
        <w:t>roadmaps</w:t>
      </w:r>
      <w:r>
        <w:rPr/>
        <w:t xml:space="preserve"> de producto formalmente definidos. Estos sirven como guía para la evolución tecnológica de la organización y permiten alinear las iniciativas de desarrollo con los objetivos estratégicos del negocio.</w:t>
      </w:r>
    </w:p>
    <w:p>
      <w:pPr>
        <w:pStyle w:val="BodyText"/>
        <w:bidi w:val="0"/>
        <w:jc w:val="both"/>
        <w:rPr/>
      </w:pPr>
      <w:r>
        <w:rPr/>
        <w:t xml:space="preserve">Los </w:t>
      </w:r>
      <w:r>
        <w:rPr>
          <w:rStyle w:val="Emphasis"/>
        </w:rPr>
        <w:t>roadmaps</w:t>
      </w:r>
      <w:r>
        <w:rPr/>
        <w:t xml:space="preserve"> se construyen considerando tanto las prioridades de la compañía como las necesidades y retroalimentación de los usuarios, permitiendo establecer una visión de corto, mediano y largo plazo sobre las capacidades que se desean desarrollar y las tecnologías que se incorporarán para generar mayor valor.</w:t>
      </w:r>
    </w:p>
    <w:p>
      <w:pPr>
        <w:pStyle w:val="BodyText"/>
        <w:bidi w:val="0"/>
        <w:spacing w:before="0" w:after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¿Quién decide y quién implementa el portafolio de proyectos de I + D?</w:t>
      </w:r>
    </w:p>
    <w:p>
      <w:pPr>
        <w:pStyle w:val="BodyText"/>
        <w:bidi w:val="0"/>
        <w:jc w:val="both"/>
        <w:rPr/>
      </w:pPr>
      <w:r>
        <w:rPr/>
        <w:t>La empresa cuenta con un departamento de Investigación y Desarrollo (I+D) que forma parte del área de Tecnología. Este equipo es responsable de identificar oportunidades de innovación, desarrollar pruebas de concepto (</w:t>
      </w:r>
      <w:r>
        <w:rPr>
          <w:rStyle w:val="Emphasis"/>
        </w:rPr>
        <w:t>Proof of Concept</w:t>
      </w:r>
      <w:r>
        <w:rPr/>
        <w:t xml:space="preserve"> o PoC), ejecutar proyectos piloto y evaluar nuevas tecnologías antes de su adopción a gran escala.</w:t>
      </w:r>
    </w:p>
    <w:p>
      <w:pPr>
        <w:pStyle w:val="BodyText"/>
        <w:bidi w:val="0"/>
        <w:jc w:val="both"/>
        <w:rPr/>
      </w:pPr>
      <w:r>
        <w:rPr/>
        <w:t>El departamento dispone de personal dedicado exclusivamente a estas iniciativas y de un presupuesto específico para actividades de investigación e innovación. De esta manera, la organización puede experimentar de forma continua con nuevas soluciones, validar su viabilidad técnica y de negocio, e incorporar aquellas que aporten ventajas competitivas y valor para los clientes.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Roboto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Roboto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Roboto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LibreOffice/26.2.5.1$Linux_X86_64 LibreOffice_project/620$Build-1</Application>
  <AppVersion>15.0000</AppVersion>
  <Pages>4</Pages>
  <Words>936</Words>
  <Characters>5626</Characters>
  <CharactersWithSpaces>6537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2026-07-18T10:29:59Z</dcterms:created>
  <dc:creator/>
  <dc:description/>
  <dc:language>en-US</dc:language>
  <cp:lastModifiedBy/>
  <dcterms:modified xsi:type="dcterms:W3CDTF">2026-07-18T11:56:31Z</dcterms:modified>
  <cp:revision>4</cp:revision>
  <dc:subject/>
  <dc:title/>
</cp:coreProperties>
</file>