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CC60E35">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Actividad 3.5: Construir su discurso: ¿hacia dónde nos dirigimos? </w:t>
      </w:r>
      <w:r/>
      <w:r>
        <w:rPr>
          <w:highlight w:val="none"/>
          <w:lang w:val="es-ES"/>
        </w:rPr>
      </w:r>
      <w:r>
        <w:rPr>
          <w:highlight w:val="none"/>
          <w:lang w:val="es-ES"/>
        </w:rPr>
      </w:r>
      <w:r>
        <w:rPr>
          <w:highlight w:val="none"/>
          <w:lang w:val="es-ES"/>
        </w:rPr>
      </w:r>
      <w:r>
        <w:rPr>
          <w:rFonts w:ascii="Times New Roman" w:hAnsi="Times New Roman" w:eastAsia="Times New Roman" w:cs="Times New Roman"/>
          <w:sz w:val="48"/>
        </w:rPr>
      </w:r>
    </w:p>
    <w:p>
      <w:pPr>
        <w:pBdr/>
        <w:spacing/>
        <w:ind/>
        <w:jc w:val="both"/>
        <w:rPr>
          <w:highlight w:val="none"/>
          <w:lang w:val="es-ES"/>
        </w:rPr>
      </w:pPr>
      <w:r>
        <w:rPr>
          <w:lang w:val="es-ES"/>
        </w:rPr>
        <w:t xml:space="preserve">Golabs es una compañía que tiene 12 años en el mercado y 6 de desarrollar proyectos de inteligencia artificial, esto </w:t>
      </w:r>
      <w:r>
        <w:rPr>
          <w:lang w:val="es-ES"/>
        </w:rPr>
        <w:t xml:space="preserve">último mucho antes de que salieran los LLMs y la enorme demanda de este tipo de servicios.</w:t>
      </w:r>
      <w:r>
        <w:rPr>
          <w:highlight w:val="none"/>
          <w:lang w:val="es-ES"/>
        </w:rPr>
      </w:r>
    </w:p>
    <w:p w14:paraId="620CA0EC">
      <w:pPr>
        <w:pBdr/>
        <w:spacing/>
        <w:ind/>
        <w:jc w:val="both"/>
        <w:rPr>
          <w:highlight w:val="none"/>
          <w:lang w:val="es-ES" w:bidi="es-ES"/>
        </w:rPr>
      </w:pPr>
      <w:r>
        <w:rPr>
          <w:highlight w:val="none"/>
          <w:lang w:val="es-ES" w:bidi="es-ES"/>
        </w:rPr>
      </w:r>
      <w:r>
        <w:t xml:space="preserve">Actualmente, aproximadamente un 20% del revenue de la compañía proviene de la unidad de AI. Sin embargo, estoy convencido de que en un par de años ese porcentaje se convertirá en el 80% de nuestros ingresos.</w:t>
      </w:r>
      <w:r>
        <w:rPr>
          <w:highlight w:val="none"/>
          <w:lang w:val="es-ES" w:bidi="es-ES"/>
        </w:rPr>
      </w:r>
      <w:r>
        <w:rPr>
          <w:highlight w:val="none"/>
          <w:lang w:val="es-ES"/>
        </w:rPr>
      </w:r>
    </w:p>
    <w:p w14:paraId="3336A473">
      <w:pPr>
        <w:pBdr/>
        <w:spacing/>
        <w:ind/>
        <w:jc w:val="both"/>
        <w:rPr>
          <w:highlight w:val="none"/>
          <w:lang w:val="es-ES" w:bidi="es-ES"/>
        </w:rPr>
      </w:pPr>
      <w:r>
        <w:rPr>
          <w:highlight w:val="none"/>
          <w:lang w:val="es-ES" w:bidi="es-ES"/>
        </w:rPr>
      </w:r>
      <w:r>
        <w:t xml:space="preserve">Hasta ahora, los servicios de AI se han comercializado principalmente bajo un modelo de proyectos “llave en mano”, es decir, proyectos de tiempo y costo fijos. Aunque este modelo ha sido exitoso para nosotros, requiere un esfuerzo constante y un flujo cont</w:t>
      </w:r>
      <w:r>
        <w:t xml:space="preserve">inuo de nuevos proyectos para poder escalar la unidad de negocio.</w:t>
      </w:r>
      <w:r>
        <w:rPr>
          <w:highlight w:val="none"/>
          <w:lang w:val="es-ES" w:bidi="es-ES"/>
        </w:rPr>
      </w:r>
      <w:r>
        <w:rPr>
          <w:highlight w:val="none"/>
          <w:lang w:val="es-ES"/>
        </w:rPr>
      </w:r>
    </w:p>
    <w:p w14:paraId="4698162F">
      <w:pPr>
        <w:pBdr/>
        <w:spacing/>
        <w:ind/>
        <w:jc w:val="both"/>
        <w:rPr>
          <w:highlight w:val="none"/>
          <w:lang w:val="es-ES" w:bidi="es-ES"/>
        </w:rPr>
      </w:pPr>
      <w:r>
        <w:rPr>
          <w:highlight w:val="none"/>
          <w:lang w:val="es-ES" w:bidi="es-ES"/>
        </w:rPr>
      </w:r>
      <w:r>
        <w:t xml:space="preserve">La visión que tengo para Golabs 2.0 es evolucionar hacia un modelo de “innovación como servicio”, claramente apoyado por herramientas de inteligencia artificial y bajo la premisa de que hoy un ingeniero puede producir lo que antes requería el trabajo de tr</w:t>
      </w:r>
      <w:r>
        <w:t xml:space="preserve">es ingenieros en el 2020.</w:t>
      </w:r>
      <w:r>
        <w:rPr>
          <w:highlight w:val="none"/>
          <w:lang w:val="es-ES" w:bidi="es-ES"/>
        </w:rPr>
      </w:r>
      <w:r>
        <w:rPr>
          <w:highlight w:val="none"/>
          <w:lang w:val="es-ES"/>
        </w:rPr>
      </w:r>
    </w:p>
    <w:p w14:paraId="31D63288">
      <w:pPr>
        <w:pBdr/>
        <w:spacing/>
        <w:ind/>
        <w:jc w:val="both"/>
        <w:rPr>
          <w:highlight w:val="none"/>
          <w:lang w:val="es-ES" w:bidi="es-ES"/>
        </w:rPr>
      </w:pPr>
      <w:r>
        <w:rPr>
          <w:highlight w:val="none"/>
          <w:lang w:val="es-ES" w:bidi="es-ES"/>
        </w:rPr>
      </w:r>
      <w:r>
        <w:t xml:space="preserve">Esto abre la oportunidad de asignar un consultor dedicado a cada empresa cliente. Esta persona sería responsable de evaluar la compañía, entender sus problemas y oportunidades, investigar las mejores soluciones para cada caso y finalmente desarrollar e imp</w:t>
      </w:r>
      <w:r>
        <w:t xml:space="preserve">lementar dichas soluciones hasta dejarlas operando de manera funcional en producción.</w:t>
      </w:r>
      <w:r>
        <w:rPr>
          <w:highlight w:val="none"/>
          <w:lang w:val="es-ES" w:bidi="es-ES"/>
        </w:rPr>
      </w:r>
      <w:r>
        <w:rPr>
          <w:highlight w:val="none"/>
          <w:lang w:val="es-ES"/>
        </w:rPr>
      </w:r>
    </w:p>
    <w:p w14:paraId="5DBE1255">
      <w:pPr>
        <w:pBdr/>
        <w:spacing/>
        <w:ind/>
        <w:jc w:val="both"/>
        <w:rPr>
          <w:highlight w:val="none"/>
          <w:lang w:val="es-ES" w:bidi="es-ES"/>
        </w:rPr>
      </w:pPr>
      <w:r>
        <w:rPr>
          <w:highlight w:val="none"/>
          <w:lang w:val="es-ES" w:bidi="es-ES"/>
        </w:rPr>
      </w:r>
      <w:r>
        <w:t xml:space="preserve">Este enfoque trae múltiples beneficios. Por ejemplo, permite reducir la dependencia de licencias de software costosas que muchas veces solo se utilizan parcialmente. Además, elimina las limitaciones de plataformas cerradas donde realizar cambios a la medid</w:t>
      </w:r>
      <w:r>
        <w:t xml:space="preserve">a suele ser extremadamente caro o, en algunos casos, prácticamente imposible.</w:t>
      </w:r>
      <w:r>
        <w:rPr>
          <w:highlight w:val="none"/>
          <w:lang w:val="es-ES" w:bidi="es-ES"/>
        </w:rPr>
      </w:r>
      <w:r>
        <w:rPr>
          <w:highlight w:val="none"/>
          <w:lang w:val="es-ES"/>
        </w:rPr>
      </w:r>
    </w:p>
    <w:p w14:paraId="5D7F5462">
      <w:pPr>
        <w:pBdr/>
        <w:spacing/>
        <w:ind/>
        <w:jc w:val="both"/>
        <w:rPr>
          <w:highlight w:val="none"/>
          <w:lang w:val="es-ES" w:bidi="es-ES"/>
        </w:rPr>
      </w:pPr>
      <w:r>
        <w:rPr>
          <w:highlight w:val="none"/>
          <w:lang w:val="es-ES" w:bidi="es-ES"/>
        </w:rPr>
      </w:r>
      <w:r>
        <w:t xml:space="preserve">El verdadero valor de este modelo es que cada empresa tendría a una persona dedicada a pensar constantemente en cómo optimizar y transformar su operación desde una perspectiva tecnológica e innovadora.</w:t>
      </w:r>
      <w:r>
        <w:rPr>
          <w:highlight w:val="none"/>
          <w:lang w:val="es-ES" w:bidi="es-ES"/>
        </w:rPr>
      </w:r>
      <w:r>
        <w:rPr>
          <w:highlight w:val="none"/>
          <w:lang w:val="es-ES" w:bidi="es-ES"/>
        </w:rPr>
      </w:r>
    </w:p>
    <w:p w14:paraId="7A1C957D">
      <w:pPr>
        <w:pBdr/>
        <w:spacing/>
        <w:ind/>
        <w:jc w:val="both"/>
        <w:rPr>
          <w:highlight w:val="none"/>
          <w:lang w:val="es-ES" w:bidi="es-ES"/>
        </w:rPr>
      </w:pPr>
      <w:r>
        <w:rPr>
          <w:highlight w:val="none"/>
          <w:lang w:val="es-ES" w:bidi="es-ES"/>
        </w:rPr>
      </w:r>
      <w:r>
        <w:t xml:space="preserve">Finalmente, este modelo también resuelve las limitaciones de los proyectos “llave en mano” de costo y tiempo fijos, ya que se transforma en un servicio recurrente, cobrado mensualmente, donde el consultor trabaja mano a mano con el cliente para implementar</w:t>
      </w:r>
      <w:r>
        <w:t xml:space="preserve"> y resolver tantos problemas como sea posible de manera continua.</w:t>
      </w:r>
      <w:r>
        <w:rPr>
          <w:highlight w:val="none"/>
          <w:lang w:val="es-ES" w:bidi="es-ES"/>
        </w:rPr>
      </w:r>
      <w:r>
        <w:rPr>
          <w:highlight w:val="none"/>
          <w:lang w:val="es-ES" w:bidi="es-ES"/>
        </w:rPr>
      </w:r>
    </w:p>
    <w:p w14:paraId="24217367">
      <w:pPr>
        <w:pBdr/>
        <w:spacing/>
        <w:ind/>
        <w:rPr>
          <w:b/>
          <w:bCs/>
          <w:highlight w:val="none"/>
        </w:rPr>
      </w:pPr>
      <w:r>
        <w:rPr>
          <w:b/>
          <w:bCs/>
          <w:highlight w:val="none"/>
        </w:rPr>
      </w:r>
      <w:r>
        <w:rPr>
          <w:b/>
          <w:bCs/>
          <w:highlight w:val="none"/>
        </w:rPr>
      </w:r>
      <w:r>
        <w:rPr>
          <w:b/>
          <w:bCs/>
          <w:highlight w:val="none"/>
        </w:rPr>
      </w:r>
    </w:p>
    <w:p w14:paraId="477DB897">
      <w:pPr>
        <w:pBdr/>
        <w:spacing/>
        <w:ind/>
        <w:rPr>
          <w:b/>
          <w:bCs/>
          <w:highlight w:val="none"/>
        </w:rPr>
      </w:pPr>
      <w:r>
        <w:rPr>
          <w:b/>
          <w:bCs/>
          <w:highlight w:val="none"/>
        </w:rPr>
      </w:r>
      <w:r>
        <w:rPr>
          <w:b/>
          <w:bCs/>
          <w:highlight w:val="none"/>
        </w:rPr>
      </w:r>
      <w:r>
        <w:rPr>
          <w:b/>
          <w:bCs/>
          <w:highlight w:val="none"/>
        </w:rPr>
      </w:r>
    </w:p>
    <w:p w14:paraId="061DF30D">
      <w:pPr>
        <w:pBdr/>
        <w:spacing/>
        <w:ind/>
        <w:rPr>
          <w:b/>
          <w:bCs/>
          <w:highlight w:val="none"/>
        </w:rPr>
      </w:pPr>
      <w:r>
        <w:rPr>
          <w:b/>
          <w:bCs/>
        </w:rPr>
        <w:t xml:space="preserve">¿Cuáles son las amenazas y las nuevas  oportunidades, especialmente aquellas oportunidades que sus competidores  están infravalorando? </w:t>
      </w:r>
      <w:r>
        <w:rPr>
          <w:highlight w:val="none"/>
          <w:lang w:val="es-ES"/>
        </w:rPr>
      </w:r>
    </w:p>
    <w:p w14:paraId="3F323E1B">
      <w:pPr>
        <w:pBdr>
          <w:top w:val="none" w:color="000000" w:sz="4" w:space="0"/>
          <w:left w:val="none" w:color="000000" w:sz="4" w:space="0"/>
          <w:bottom w:val="none" w:color="000000" w:sz="4" w:space="0"/>
          <w:right w:val="none" w:color="000000" w:sz="4" w:space="0"/>
        </w:pBdr>
        <w:spacing/>
        <w:ind w:right="0" w:firstLine="0" w:left="0"/>
        <w:jc w:val="both"/>
        <w:rPr/>
      </w:pPr>
      <w:r>
        <w:t xml:space="preserve">Las amenazas están directamente relacionadas con la velocidad con la que otros competidores puedan descubrir, construir o ejecutar un modelo igual o mejor que el nuestro. La inteligencia artificial está evolucionando a un ritmo extremadamente acelerado y l</w:t>
      </w:r>
      <w:r>
        <w:t xml:space="preserve">as barreras de entrada para desarrollar soluciones son cada vez menores, lo que genera un entorno altamente competitivo.</w:t>
      </w:r>
      <w:r/>
    </w:p>
    <w:p w14:paraId="28DE34C9">
      <w:pPr>
        <w:pBdr>
          <w:top w:val="none" w:color="000000" w:sz="4" w:space="0"/>
          <w:left w:val="none" w:color="000000" w:sz="4" w:space="0"/>
          <w:bottom w:val="none" w:color="000000" w:sz="4" w:space="0"/>
          <w:right w:val="none" w:color="000000" w:sz="4" w:space="0"/>
        </w:pBdr>
        <w:spacing/>
        <w:ind w:right="0" w:firstLine="0" w:left="0"/>
        <w:jc w:val="both"/>
        <w:rPr/>
      </w:pPr>
      <w:r>
        <w:t xml:space="preserve">Sin embargo, también creo que estamos frente a un mercado tan grande y en una transformación tan profunda, que existe espacio para múltiples jugadores. Esta nueva revolución tecnológica apenas está comenzando y la demanda por innovación basada en AI crecer</w:t>
      </w:r>
      <w:r>
        <w:t xml:space="preserve">á de manera exponencial en prácticamente todas las industrias.</w:t>
      </w:r>
      <w:r/>
    </w:p>
    <w:p w14:paraId="52AD2D85">
      <w:pPr>
        <w:pBdr/>
        <w:spacing/>
        <w:ind/>
        <w:rPr>
          <w:b w:val="0"/>
          <w:bCs w:val="0"/>
          <w:highlight w:val="none"/>
        </w:rPr>
      </w:pPr>
      <w:r>
        <w:rPr>
          <w:b/>
          <w:bCs/>
          <w:highlight w:val="none"/>
          <w:lang w:val="es-ES" w:bidi="es-ES"/>
        </w:rPr>
      </w:r>
      <w:r>
        <w:rPr>
          <w:b w:val="0"/>
          <w:bCs w:val="0"/>
          <w:highlight w:val="none"/>
        </w:rPr>
      </w:r>
    </w:p>
    <w:p w14:paraId="37C50CB9">
      <w:pPr>
        <w:pBdr/>
        <w:spacing/>
        <w:ind/>
        <w:rPr/>
      </w:pPr>
      <w:r>
        <w:rPr>
          <w:highlight w:val="none"/>
          <w:lang w:val="es-ES"/>
        </w:rPr>
      </w:r>
      <w:r>
        <w:rPr>
          <w:highlight w:val="none"/>
          <w:lang w:val="es-ES"/>
        </w:rPr>
      </w:r>
      <w:r>
        <w:rPr>
          <w:highlight w:val="none"/>
          <w:lang w:val="es-ES"/>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2026-05-12T05:05:58Z</dcterms:modified>
</cp:coreProperties>
</file>