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Declaración del problema del Equipo (Grupo 1):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Potencial afectación de la salud pública y ambiental en Houston Manchester y Port Neches por elevados niveles de gases contaminantes.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Aportes individuales de cada miembro del equipo: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Rafael Nicolas Rocha de Belloni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Las decisiones políticas sobre salud ambiental en Houston se ven influenciadas por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el nivel de visibilidad pública y representación política de las comunidades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afectadas.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Carlos Luis Rojas Aragonés:</w:t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Problemas de salud en la ciudad de Houston debido a los niveles de contaminación en algunas áreas aledañas a las fábricas.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David Gomez Diaz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En varios vecindarios del sureste de la ciudad, especialmente Manchester y Allendale, existe una convivencia urbana persistentemente riesgosa entre zonas residenciales y focos múltiples de emisiones tóxicas, lo que expone de manera recurrente a la población a una carga ambiental y sanitaria desproporcionada.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Pablo Ardon:</w:t>
        <w:br w:type="textWrapping"/>
      </w:r>
      <w:r w:rsidDel="00000000" w:rsidR="00000000" w:rsidRPr="00000000">
        <w:rPr>
          <w:rtl w:val="0"/>
        </w:rPr>
        <w:t xml:space="preserve">Los elevados niveles de contaminación de ciertos compuestos químicos, en algunas partes de la ciudad de Houston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Ulises Aquino: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Existe una Potencial afectación de la salud pública zonas industriales de Houston por  elevados niveles de gases contaminantes, sin embargo la medición del problema y sus consecuencias no es lo suficientemente rigurosa para generar un curso de acción concreto.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Yersy Bustamante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La contaminación por actividad industrial genera afectación en la salud pública de Houston en las zonas de Manchester y Port Neches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Gerardo Meza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Derivado de la contaminación emitida en zonas industriales de Houston, se requiere regulación por posibles afectaciones a la población.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