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_rels/document.xml.rels" ContentType="application/vnd.openxmlformats-package.relationships+xml"/>
  <Override PartName="/word/settings.xml" ContentType="application/vnd.openxmlformats-officedocument.wordprocessingml.settings+xml"/>
  <Override PartName="/word/media/image4.png" ContentType="image/png"/>
  <Override PartName="/word/media/image3.png" ContentType="image/png"/>
  <Override PartName="/word/media/image2.jpeg" ContentType="image/jpeg"/>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Arial" w:hAnsi="Arial"/>
          <w:sz w:val="56"/>
          <w:szCs w:val="56"/>
          <w:lang w:val="hr-HR"/>
        </w:rPr>
      </w:pPr>
      <w:r>
        <w:rPr>
          <w:rFonts w:ascii="Arial" w:hAnsi="Arial"/>
          <w:sz w:val="56"/>
          <w:szCs w:val="56"/>
          <w:lang w:val="hr-HR"/>
        </w:rPr>
      </w:r>
    </w:p>
    <w:p>
      <w:pPr>
        <w:pStyle w:val="Normal"/>
        <w:jc w:val="center"/>
        <w:rPr>
          <w:rFonts w:ascii="Arial" w:hAnsi="Arial"/>
          <w:sz w:val="56"/>
          <w:szCs w:val="56"/>
          <w:lang w:val="hr-HR"/>
        </w:rPr>
      </w:pPr>
      <w:r>
        <w:rPr>
          <w:rFonts w:ascii="Arial" w:hAnsi="Arial"/>
          <w:sz w:val="56"/>
          <w:szCs w:val="56"/>
          <w:lang w:val="hr-HR"/>
        </w:rPr>
      </w:r>
    </w:p>
    <w:p>
      <w:pPr>
        <w:pStyle w:val="Normal"/>
        <w:jc w:val="center"/>
        <w:rPr>
          <w:rFonts w:ascii="Arial" w:hAnsi="Arial"/>
          <w:sz w:val="56"/>
          <w:szCs w:val="56"/>
          <w:lang w:val="hr-HR"/>
        </w:rPr>
      </w:pPr>
      <w:r>
        <w:rPr>
          <w:rFonts w:ascii="Arial" w:hAnsi="Arial"/>
          <w:sz w:val="56"/>
          <w:szCs w:val="56"/>
          <w:lang w:val="hr-HR"/>
        </w:rPr>
      </w:r>
    </w:p>
    <w:p>
      <w:pPr>
        <w:pStyle w:val="Normal"/>
        <w:jc w:val="center"/>
        <w:rPr>
          <w:rFonts w:ascii="Arial" w:hAnsi="Arial"/>
          <w:sz w:val="56"/>
          <w:szCs w:val="56"/>
          <w:lang w:val="hr-HR"/>
        </w:rPr>
      </w:pPr>
      <w:r>
        <w:rPr>
          <w:rFonts w:ascii="Arial" w:hAnsi="Arial"/>
          <w:sz w:val="56"/>
          <w:szCs w:val="56"/>
          <w:lang w:val="hr-HR"/>
        </w:rPr>
      </w:r>
    </w:p>
    <w:p>
      <w:pPr>
        <w:pStyle w:val="Normal"/>
        <w:jc w:val="center"/>
        <w:rPr>
          <w:rFonts w:ascii="Arial" w:hAnsi="Arial"/>
          <w:sz w:val="56"/>
          <w:szCs w:val="56"/>
          <w:lang w:val="hr-HR"/>
        </w:rPr>
      </w:pPr>
      <w:r>
        <w:rPr>
          <w:rFonts w:ascii="Arial" w:hAnsi="Arial"/>
          <w:sz w:val="56"/>
          <w:szCs w:val="56"/>
          <w:lang w:val="hr-HR"/>
        </w:rPr>
      </w:r>
    </w:p>
    <w:p>
      <w:pPr>
        <w:pStyle w:val="Normal"/>
        <w:jc w:val="center"/>
        <w:rPr>
          <w:rFonts w:ascii="Arial" w:hAnsi="Arial"/>
          <w:sz w:val="56"/>
          <w:szCs w:val="56"/>
          <w:lang w:val="hr-HR"/>
        </w:rPr>
      </w:pPr>
      <w:r>
        <w:rPr>
          <w:rFonts w:ascii="Arial" w:hAnsi="Arial"/>
          <w:sz w:val="56"/>
          <w:szCs w:val="56"/>
          <w:lang w:val="hr-HR"/>
        </w:rPr>
      </w:r>
    </w:p>
    <w:p>
      <w:pPr>
        <w:pStyle w:val="Normal"/>
        <w:jc w:val="center"/>
        <w:rPr>
          <w:rFonts w:ascii="Arial" w:hAnsi="Arial"/>
          <w:sz w:val="56"/>
          <w:szCs w:val="56"/>
          <w:lang w:val="hr-HR"/>
        </w:rPr>
      </w:pPr>
      <w:r>
        <w:rPr>
          <w:rFonts w:ascii="Arial" w:hAnsi="Arial"/>
          <w:sz w:val="56"/>
          <w:szCs w:val="56"/>
          <w:lang w:val="hr-HR"/>
        </w:rPr>
      </w:r>
    </w:p>
    <w:p>
      <w:pPr>
        <w:pStyle w:val="Normal"/>
        <w:jc w:val="center"/>
        <w:rPr>
          <w:rFonts w:ascii="Arial" w:hAnsi="Arial"/>
          <w:sz w:val="56"/>
          <w:szCs w:val="56"/>
          <w:lang w:val="hr-HR"/>
        </w:rPr>
      </w:pPr>
      <w:r>
        <w:rPr>
          <w:rFonts w:ascii="Arial" w:hAnsi="Arial"/>
          <w:sz w:val="56"/>
          <w:szCs w:val="56"/>
          <w:lang w:val="hr-HR"/>
        </w:rPr>
      </w:r>
    </w:p>
    <w:p>
      <w:pPr>
        <w:pStyle w:val="Normal"/>
        <w:jc w:val="center"/>
        <w:rPr>
          <w:rFonts w:ascii="Arial" w:hAnsi="Arial"/>
          <w:sz w:val="56"/>
          <w:szCs w:val="56"/>
          <w:lang w:val="hr-HR"/>
        </w:rPr>
      </w:pPr>
      <w:r>
        <w:rPr>
          <w:rFonts w:ascii="Arial" w:hAnsi="Arial"/>
          <w:sz w:val="56"/>
          <w:szCs w:val="56"/>
          <w:lang w:val="hr-HR"/>
        </w:rPr>
      </w:r>
    </w:p>
    <w:p>
      <w:pPr>
        <w:pStyle w:val="Normal"/>
        <w:jc w:val="center"/>
        <w:rPr>
          <w:rFonts w:ascii="Arial" w:hAnsi="Arial"/>
          <w:sz w:val="48"/>
          <w:szCs w:val="48"/>
          <w:u w:val="single"/>
        </w:rPr>
      </w:pPr>
      <w:r>
        <w:rPr>
          <w:rFonts w:ascii="Arial" w:hAnsi="Arial"/>
          <w:sz w:val="48"/>
          <w:szCs w:val="48"/>
          <w:u w:val="single"/>
          <w:lang w:val="hr-HR"/>
        </w:rPr>
        <w:t>MARKETINŠKI PLAN</w:t>
      </w:r>
    </w:p>
    <w:p>
      <w:pPr>
        <w:pStyle w:val="Normal"/>
        <w:jc w:val="center"/>
        <w:rPr>
          <w:rFonts w:ascii="Arial" w:hAnsi="Arial"/>
          <w:sz w:val="48"/>
          <w:szCs w:val="48"/>
          <w:u w:val="single"/>
          <w:lang w:val="hr-HR"/>
        </w:rPr>
      </w:pPr>
      <w:r>
        <w:rPr>
          <w:rFonts w:ascii="Arial" w:hAnsi="Arial"/>
          <w:sz w:val="48"/>
          <w:szCs w:val="48"/>
          <w:u w:val="single"/>
          <w:lang w:val="hr-HR"/>
        </w:rPr>
      </w:r>
    </w:p>
    <w:p>
      <w:pPr>
        <w:pStyle w:val="Normal"/>
        <w:jc w:val="center"/>
        <w:rPr>
          <w:rFonts w:ascii="Arial" w:hAnsi="Arial"/>
          <w:b/>
          <w:b/>
          <w:bCs/>
          <w:sz w:val="56"/>
          <w:szCs w:val="56"/>
          <w:u w:val="none"/>
        </w:rPr>
      </w:pPr>
      <w:r>
        <w:rPr>
          <w:rFonts w:ascii="Arial" w:hAnsi="Arial"/>
          <w:b/>
          <w:bCs/>
          <w:sz w:val="56"/>
          <w:szCs w:val="56"/>
          <w:u w:val="none"/>
          <w:lang w:val="hr-HR"/>
        </w:rPr>
        <w:t>E - LEARNING</w:t>
      </w:r>
      <w:r>
        <w:br w:type="page"/>
      </w:r>
    </w:p>
    <w:p>
      <w:pPr>
        <w:pStyle w:val="Heading1"/>
        <w:numPr>
          <w:ilvl w:val="0"/>
          <w:numId w:val="2"/>
        </w:numPr>
        <w:spacing w:before="240" w:after="120"/>
        <w:ind w:left="0" w:hanging="0"/>
        <w:rPr>
          <w:rFonts w:ascii="Arial" w:hAnsi="Arial"/>
          <w:lang w:val="hr-HR"/>
        </w:rPr>
      </w:pPr>
      <w:r>
        <w:rPr>
          <w:rFonts w:ascii="Arial" w:hAnsi="Arial"/>
          <w:lang w:val="hr-HR"/>
        </w:rPr>
        <w:t>1. Sažetak za upravu</w:t>
      </w:r>
      <w:r>
        <w:br w:type="page"/>
      </w:r>
    </w:p>
    <w:p>
      <w:pPr>
        <w:pStyle w:val="Heading1"/>
        <w:numPr>
          <w:ilvl w:val="0"/>
          <w:numId w:val="2"/>
        </w:numPr>
        <w:spacing w:before="240" w:after="120"/>
        <w:ind w:left="0" w:hanging="0"/>
        <w:rPr>
          <w:rFonts w:ascii="Arial" w:hAnsi="Arial"/>
          <w:lang w:val="hr-HR"/>
        </w:rPr>
      </w:pPr>
      <w:r>
        <w:rPr>
          <w:rFonts w:ascii="Arial" w:hAnsi="Arial"/>
          <w:lang w:val="hr-HR"/>
        </w:rPr>
        <w:t>2. Vizija</w:t>
      </w:r>
    </w:p>
    <w:p>
      <w:pPr>
        <w:pStyle w:val="Normal"/>
        <w:rPr>
          <w:rFonts w:ascii="Arial" w:hAnsi="Arial"/>
          <w:lang w:val="hr-HR"/>
        </w:rPr>
      </w:pPr>
      <w:r>
        <w:rPr>
          <w:rFonts w:ascii="Arial" w:hAnsi="Arial"/>
          <w:lang w:val="hr-HR"/>
        </w:rPr>
      </w:r>
    </w:p>
    <w:p>
      <w:pPr>
        <w:pStyle w:val="Normal"/>
        <w:rPr>
          <w:rFonts w:ascii="Arial" w:hAnsi="Arial"/>
          <w:lang w:val="hr-HR"/>
        </w:rPr>
      </w:pPr>
      <w:r>
        <w:rPr>
          <w:rFonts w:ascii="Arial" w:hAnsi="Arial"/>
          <w:lang w:val="hr-HR"/>
        </w:rPr>
        <w:tab/>
        <w:t>Omogućiti dostupnost obrazovanja cijelom stanovništvu bez obzira na geografski položaj, standard ili startost</w:t>
      </w:r>
      <w:r>
        <w:rPr>
          <w:rFonts w:ascii="Arial" w:hAnsi="Arial"/>
          <w:lang w:val="hr-HR"/>
        </w:rPr>
        <w:t xml:space="preserve"> te postati jedna od najuspješnijih kompanija na području online obrazovanja</w:t>
      </w:r>
      <w:r>
        <w:rPr>
          <w:rFonts w:ascii="Arial" w:hAnsi="Arial"/>
          <w:lang w:val="hr-HR"/>
        </w:rPr>
        <w:t xml:space="preserve">. </w:t>
      </w:r>
    </w:p>
    <w:p>
      <w:pPr>
        <w:pStyle w:val="Normal"/>
        <w:rPr>
          <w:rFonts w:ascii="Arial" w:hAnsi="Arial"/>
          <w:lang w:val="hr-HR"/>
        </w:rPr>
      </w:pPr>
      <w:r>
        <w:rPr>
          <w:rFonts w:ascii="Arial" w:hAnsi="Arial"/>
          <w:lang w:val="hr-HR"/>
        </w:rPr>
      </w:r>
    </w:p>
    <w:p>
      <w:pPr>
        <w:pStyle w:val="Heading1"/>
        <w:numPr>
          <w:ilvl w:val="0"/>
          <w:numId w:val="1"/>
        </w:numPr>
        <w:ind w:left="0" w:hanging="0"/>
        <w:rPr>
          <w:rFonts w:ascii="Arial" w:hAnsi="Arial"/>
          <w:lang w:val="hr-HR"/>
        </w:rPr>
      </w:pPr>
      <w:r>
        <w:rPr>
          <w:rFonts w:ascii="Arial" w:hAnsi="Arial"/>
          <w:lang w:val="hr-HR"/>
        </w:rPr>
        <w:t>3. Misija</w:t>
      </w:r>
    </w:p>
    <w:p>
      <w:pPr>
        <w:pStyle w:val="Normal"/>
        <w:rPr>
          <w:rFonts w:ascii="Arial" w:hAnsi="Arial"/>
          <w:lang w:val="hr-HR"/>
        </w:rPr>
      </w:pPr>
      <w:r>
        <w:rPr>
          <w:rFonts w:ascii="Arial" w:hAnsi="Arial"/>
          <w:lang w:val="hr-HR"/>
        </w:rPr>
        <w:tab/>
        <w:t>Napredno e-učenje omogu</w:t>
      </w:r>
      <w:r>
        <w:rPr>
          <w:rFonts w:ascii="Arial" w:hAnsi="Arial"/>
          <w:lang w:val="hr-HR"/>
        </w:rPr>
        <w:t>ć</w:t>
      </w:r>
      <w:r>
        <w:rPr>
          <w:rFonts w:ascii="Arial" w:hAnsi="Arial"/>
          <w:lang w:val="hr-HR"/>
        </w:rPr>
        <w:t>i</w:t>
      </w:r>
      <w:r>
        <w:rPr>
          <w:rFonts w:ascii="Arial" w:hAnsi="Arial"/>
          <w:lang w:val="hr-HR"/>
        </w:rPr>
        <w:t>t</w:t>
      </w:r>
      <w:r>
        <w:rPr>
          <w:rFonts w:ascii="Arial" w:hAnsi="Arial"/>
          <w:lang w:val="hr-HR"/>
        </w:rPr>
        <w:t xml:space="preserve"> </w:t>
      </w:r>
      <w:r>
        <w:rPr>
          <w:rFonts w:ascii="Arial" w:hAnsi="Arial"/>
          <w:lang w:val="hr-HR"/>
        </w:rPr>
        <w:t>će</w:t>
      </w:r>
      <w:r>
        <w:rPr>
          <w:rFonts w:ascii="Arial" w:hAnsi="Arial"/>
          <w:lang w:val="hr-HR"/>
        </w:rPr>
        <w:t xml:space="preserve"> brže i jednostavnije obrazovanje i razvoj siromašnijih zemalja</w:t>
      </w:r>
      <w:r>
        <w:rPr>
          <w:rFonts w:ascii="Arial" w:hAnsi="Arial"/>
          <w:lang w:val="hr-HR"/>
        </w:rPr>
        <w:t xml:space="preserve"> te će potaknuti ekonomski napredak i povećati broj visokoobrazovanih ljudi.</w:t>
      </w:r>
    </w:p>
    <w:p>
      <w:pPr>
        <w:pStyle w:val="Normal"/>
        <w:rPr>
          <w:rFonts w:ascii="Arial" w:hAnsi="Arial"/>
          <w:lang w:val="hr-HR"/>
        </w:rPr>
      </w:pPr>
      <w:r>
        <w:rPr>
          <w:rFonts w:ascii="Arial" w:hAnsi="Arial"/>
          <w:lang w:val="hr-HR"/>
        </w:rPr>
      </w:r>
    </w:p>
    <w:p>
      <w:pPr>
        <w:pStyle w:val="Heading1"/>
        <w:numPr>
          <w:ilvl w:val="0"/>
          <w:numId w:val="1"/>
        </w:numPr>
        <w:ind w:left="0" w:hanging="0"/>
        <w:rPr>
          <w:rFonts w:ascii="Arial" w:hAnsi="Arial"/>
          <w:lang w:val="hr-HR"/>
        </w:rPr>
      </w:pPr>
      <w:r>
        <w:rPr>
          <w:rFonts w:ascii="Arial" w:hAnsi="Arial"/>
          <w:lang w:val="hr-HR"/>
        </w:rPr>
        <w:t>4. Ciljevi</w:t>
      </w:r>
    </w:p>
    <w:p>
      <w:pPr>
        <w:pStyle w:val="Normal"/>
        <w:rPr>
          <w:rFonts w:ascii="Arial" w:hAnsi="Arial"/>
          <w:lang w:val="hr-HR"/>
        </w:rPr>
      </w:pPr>
      <w:r>
        <w:rPr>
          <w:rFonts w:ascii="Arial" w:hAnsi="Arial"/>
          <w:lang w:val="hr-HR"/>
        </w:rPr>
      </w:r>
    </w:p>
    <w:p>
      <w:pPr>
        <w:pStyle w:val="Heading2"/>
        <w:rPr>
          <w:rFonts w:ascii="Arial" w:hAnsi="Arial"/>
          <w:lang w:val="hr-HR"/>
        </w:rPr>
      </w:pPr>
      <w:r>
        <w:rPr>
          <w:rFonts w:ascii="Arial" w:hAnsi="Arial"/>
          <w:lang w:val="hr-HR"/>
        </w:rPr>
        <w:t>4.1. Kratkoročni ciljevi</w:t>
      </w:r>
    </w:p>
    <w:p>
      <w:pPr>
        <w:pStyle w:val="Normal"/>
        <w:numPr>
          <w:ilvl w:val="0"/>
          <w:numId w:val="3"/>
        </w:numPr>
        <w:rPr>
          <w:rFonts w:ascii="Arial" w:hAnsi="Arial"/>
          <w:lang w:val="hr-HR"/>
        </w:rPr>
      </w:pPr>
      <w:r>
        <w:rPr>
          <w:rFonts w:ascii="Arial" w:hAnsi="Arial"/>
          <w:lang w:val="hr-HR"/>
        </w:rPr>
        <w:t>Tehnološki unaprijediti sustav</w:t>
      </w:r>
    </w:p>
    <w:p>
      <w:pPr>
        <w:pStyle w:val="Normal"/>
        <w:numPr>
          <w:ilvl w:val="0"/>
          <w:numId w:val="3"/>
        </w:numPr>
        <w:rPr>
          <w:rFonts w:ascii="Arial" w:hAnsi="Arial"/>
          <w:lang w:val="hr-HR"/>
        </w:rPr>
      </w:pPr>
      <w:r>
        <w:rPr>
          <w:rFonts w:ascii="Arial" w:hAnsi="Arial"/>
          <w:lang w:val="hr-HR"/>
        </w:rPr>
        <w:t>Omogućiti besplatne i certificirane tečajeve</w:t>
      </w:r>
    </w:p>
    <w:p>
      <w:pPr>
        <w:pStyle w:val="Normal"/>
        <w:numPr>
          <w:ilvl w:val="0"/>
          <w:numId w:val="3"/>
        </w:numPr>
        <w:rPr>
          <w:rFonts w:ascii="Arial" w:hAnsi="Arial"/>
          <w:lang w:val="hr-HR"/>
        </w:rPr>
      </w:pPr>
      <w:r>
        <w:rPr>
          <w:rFonts w:ascii="Arial" w:hAnsi="Arial"/>
          <w:lang w:val="hr-HR"/>
        </w:rPr>
        <w:t>Povećati svjest o ekološkom i ekonomskom stanju u svijetu</w:t>
      </w:r>
    </w:p>
    <w:p>
      <w:pPr>
        <w:pStyle w:val="Normal"/>
        <w:numPr>
          <w:ilvl w:val="0"/>
          <w:numId w:val="3"/>
        </w:numPr>
        <w:rPr>
          <w:rFonts w:ascii="Arial" w:hAnsi="Arial"/>
          <w:lang w:val="hr-HR"/>
        </w:rPr>
      </w:pPr>
      <w:r>
        <w:rPr>
          <w:rFonts w:ascii="Arial" w:hAnsi="Arial"/>
          <w:lang w:val="hr-HR"/>
        </w:rPr>
        <w:t>Približiti e-učenje informatički neobrazovanim osobama</w:t>
      </w:r>
    </w:p>
    <w:p>
      <w:pPr>
        <w:pStyle w:val="Normal"/>
        <w:rPr>
          <w:rFonts w:ascii="Arial" w:hAnsi="Arial"/>
          <w:lang w:val="hr-HR"/>
        </w:rPr>
      </w:pPr>
      <w:r>
        <w:rPr>
          <w:rFonts w:ascii="Arial" w:hAnsi="Arial"/>
          <w:lang w:val="hr-HR"/>
        </w:rPr>
      </w:r>
    </w:p>
    <w:p>
      <w:pPr>
        <w:pStyle w:val="Heading2"/>
        <w:rPr>
          <w:rFonts w:ascii="Arial" w:hAnsi="Arial"/>
          <w:lang w:val="hr-HR"/>
        </w:rPr>
      </w:pPr>
      <w:r>
        <w:rPr>
          <w:rFonts w:ascii="Arial" w:hAnsi="Arial"/>
          <w:lang w:val="hr-HR"/>
        </w:rPr>
        <w:t>4.</w:t>
      </w:r>
      <w:r>
        <w:rPr>
          <w:rFonts w:ascii="Arial" w:hAnsi="Arial"/>
          <w:lang w:val="hr-HR"/>
        </w:rPr>
        <w:t>2</w:t>
      </w:r>
      <w:r>
        <w:rPr>
          <w:rFonts w:ascii="Arial" w:hAnsi="Arial"/>
          <w:lang w:val="hr-HR"/>
        </w:rPr>
        <w:t xml:space="preserve">. </w:t>
      </w:r>
      <w:r>
        <w:rPr>
          <w:rFonts w:ascii="Arial" w:hAnsi="Arial"/>
          <w:lang w:val="hr-HR"/>
        </w:rPr>
        <w:t>Dugoročni</w:t>
      </w:r>
      <w:r>
        <w:rPr>
          <w:rFonts w:ascii="Arial" w:hAnsi="Arial"/>
          <w:lang w:val="hr-HR"/>
        </w:rPr>
        <w:t xml:space="preserve"> ciljevi</w:t>
      </w:r>
    </w:p>
    <w:p>
      <w:pPr>
        <w:pStyle w:val="Heading2"/>
        <w:numPr>
          <w:ilvl w:val="0"/>
          <w:numId w:val="4"/>
        </w:numPr>
        <w:rPr>
          <w:rFonts w:ascii="Arial" w:hAnsi="Arial"/>
          <w:sz w:val="24"/>
          <w:szCs w:val="24"/>
          <w:lang w:val="hr-HR"/>
        </w:rPr>
      </w:pPr>
      <w:r>
        <w:rPr>
          <w:rFonts w:ascii="Arial" w:hAnsi="Arial"/>
          <w:sz w:val="24"/>
          <w:szCs w:val="24"/>
          <w:lang w:val="hr-HR"/>
        </w:rPr>
        <w:t>Postati vodeća institucija u e-obrazovanju</w:t>
      </w:r>
    </w:p>
    <w:p>
      <w:pPr>
        <w:pStyle w:val="Normal"/>
        <w:numPr>
          <w:ilvl w:val="0"/>
          <w:numId w:val="4"/>
        </w:numPr>
        <w:rPr>
          <w:rFonts w:ascii="Arial" w:hAnsi="Arial"/>
          <w:sz w:val="24"/>
          <w:szCs w:val="24"/>
          <w:lang w:val="hr-HR"/>
        </w:rPr>
      </w:pPr>
      <w:r>
        <w:rPr>
          <w:rFonts w:ascii="Arial" w:hAnsi="Arial"/>
          <w:sz w:val="24"/>
          <w:szCs w:val="24"/>
          <w:lang w:val="hr-HR"/>
        </w:rPr>
        <w:t>Prednjačiti inovativnošću u e-učenju</w:t>
      </w:r>
    </w:p>
    <w:p>
      <w:pPr>
        <w:pStyle w:val="Normal"/>
        <w:numPr>
          <w:ilvl w:val="0"/>
          <w:numId w:val="4"/>
        </w:numPr>
        <w:rPr>
          <w:rFonts w:ascii="Arial" w:hAnsi="Arial"/>
          <w:sz w:val="24"/>
          <w:szCs w:val="24"/>
          <w:lang w:val="hr-HR"/>
        </w:rPr>
      </w:pPr>
      <w:r>
        <w:rPr>
          <w:rFonts w:ascii="Arial" w:hAnsi="Arial"/>
          <w:sz w:val="24"/>
          <w:szCs w:val="24"/>
          <w:lang w:val="hr-HR"/>
        </w:rPr>
        <w:t>Omogućiti e-učenje u većini obrazovnih ustanova</w:t>
      </w:r>
    </w:p>
    <w:p>
      <w:pPr>
        <w:pStyle w:val="Normal"/>
        <w:numPr>
          <w:ilvl w:val="0"/>
          <w:numId w:val="4"/>
        </w:numPr>
        <w:rPr>
          <w:rFonts w:ascii="Arial" w:hAnsi="Arial"/>
          <w:sz w:val="24"/>
          <w:szCs w:val="24"/>
          <w:lang w:val="hr-HR"/>
        </w:rPr>
      </w:pPr>
      <w:r>
        <w:rPr>
          <w:rFonts w:ascii="Arial" w:hAnsi="Arial"/>
          <w:sz w:val="24"/>
          <w:szCs w:val="24"/>
          <w:lang w:val="hr-HR"/>
        </w:rPr>
        <w:t>Potaknuti mlade na učenje kroz igru</w:t>
      </w:r>
    </w:p>
    <w:p>
      <w:pPr>
        <w:pStyle w:val="Normal"/>
        <w:numPr>
          <w:ilvl w:val="0"/>
          <w:numId w:val="4"/>
        </w:numPr>
        <w:rPr>
          <w:rFonts w:ascii="Arial" w:hAnsi="Arial"/>
          <w:sz w:val="24"/>
          <w:szCs w:val="24"/>
          <w:lang w:val="hr-HR"/>
        </w:rPr>
      </w:pPr>
      <w:r>
        <w:rPr>
          <w:rFonts w:ascii="Arial" w:hAnsi="Arial"/>
          <w:sz w:val="24"/>
          <w:szCs w:val="24"/>
          <w:lang w:val="hr-HR"/>
        </w:rPr>
        <w:t>Prilagoditi sustav e-učenja starijim osobama</w:t>
      </w:r>
      <w:r>
        <w:br w:type="page"/>
      </w:r>
    </w:p>
    <w:p>
      <w:pPr>
        <w:pStyle w:val="Heading1"/>
        <w:numPr>
          <w:ilvl w:val="0"/>
          <w:numId w:val="1"/>
        </w:numPr>
        <w:ind w:left="0" w:hanging="0"/>
        <w:rPr>
          <w:rFonts w:ascii="Arial" w:hAnsi="Arial"/>
          <w:lang w:val="hr-HR"/>
        </w:rPr>
      </w:pPr>
      <w:r>
        <w:rPr>
          <w:rFonts w:ascii="Arial" w:hAnsi="Arial"/>
          <w:lang w:val="hr-HR"/>
        </w:rPr>
        <w:t xml:space="preserve">5. </w:t>
      </w:r>
      <w:r>
        <w:rPr>
          <w:rFonts w:ascii="Arial" w:hAnsi="Arial"/>
          <w:lang w:val="hr-HR"/>
        </w:rPr>
        <w:t>E-learning sada i u budućnosti</w:t>
      </w:r>
    </w:p>
    <w:p>
      <w:pPr>
        <w:pStyle w:val="Normal"/>
        <w:rPr>
          <w:rFonts w:ascii="Arial" w:hAnsi="Arial"/>
          <w:lang w:val="hr-HR"/>
        </w:rPr>
      </w:pPr>
      <w:r>
        <w:rPr>
          <w:rFonts w:ascii="Arial" w:hAnsi="Arial"/>
          <w:lang w:val="hr-HR"/>
        </w:rPr>
        <w:tab/>
        <w:t>Većina kompanija i web stranica koje se bave pružanjem usluge online obrazovanja su vrlo slične u svim segmentima među kojima su video playliste tečajeva podjeljena na poglavlja, kvizovi i dodatan materijal u tekstualnom formatu</w:t>
      </w:r>
      <w:r>
        <w:rPr>
          <w:rFonts w:ascii="Arial" w:hAnsi="Arial"/>
          <w:lang w:val="hr-HR"/>
        </w:rPr>
        <w:t>. Osnovni tečajevi koji podučavaju osnovnim vještinama su obično besplatni i kraći, a napredni tečajevi koji su veće kvalitete, opširniji i teže ih je naći na internetu se nerijetko naplaćuju.</w:t>
      </w:r>
    </w:p>
    <w:p>
      <w:pPr>
        <w:pStyle w:val="Normal"/>
        <w:rPr>
          <w:rFonts w:ascii="Arial" w:hAnsi="Arial"/>
          <w:lang w:val="hr-HR"/>
        </w:rPr>
      </w:pPr>
      <w:r>
        <w:rPr>
          <w:rFonts w:ascii="Arial" w:hAnsi="Arial"/>
          <w:lang w:val="hr-HR"/>
        </w:rPr>
      </w:r>
    </w:p>
    <w:p>
      <w:pPr>
        <w:pStyle w:val="Normal"/>
        <w:rPr>
          <w:rFonts w:ascii="Arial" w:hAnsi="Arial"/>
          <w:lang w:val="hr-HR"/>
        </w:rPr>
      </w:pPr>
      <w:r>
        <w:rPr>
          <w:rFonts w:ascii="Arial" w:hAnsi="Arial"/>
          <w:lang w:val="hr-HR"/>
        </w:rPr>
      </w:r>
      <w:r>
        <mc:AlternateContent>
          <mc:Choice Requires="wps">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5144135" cy="3987800"/>
                <wp:effectExtent l="0" t="0" r="0" b="0"/>
                <wp:wrapTopAndBottom/>
                <wp:docPr id="1" name="Frame1"/>
                <a:graphic xmlns:a="http://schemas.openxmlformats.org/drawingml/2006/main">
                  <a:graphicData uri="http://schemas.microsoft.com/office/word/2010/wordprocessingShape">
                    <wps:wsp>
                      <wps:cNvSpPr txBox="1"/>
                      <wps:spPr>
                        <a:xfrm>
                          <a:off x="0" y="0"/>
                          <a:ext cx="5144135" cy="3987800"/>
                        </a:xfrm>
                        <a:prstGeom prst="rect"/>
                      </wps:spPr>
                      <wps:txbx>
                        <w:txbxContent>
                          <w:p>
                            <w:pPr>
                              <w:pStyle w:val="Slika"/>
                              <w:spacing w:before="120" w:after="120"/>
                              <w:rPr>
                                <w:lang w:val="hr-HR"/>
                              </w:rPr>
                            </w:pPr>
                            <w:r>
                              <w:rPr>
                                <w:lang w:val="hr-HR"/>
                              </w:rPr>
                              <w:drawing>
                                <wp:inline distT="0" distB="0" distL="0" distR="0">
                                  <wp:extent cx="5144135" cy="373634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2"/>
                                          <a:stretch>
                                            <a:fillRect/>
                                          </a:stretch>
                                        </pic:blipFill>
                                        <pic:spPr bwMode="auto">
                                          <a:xfrm>
                                            <a:off x="0" y="0"/>
                                            <a:ext cx="5144135" cy="3736340"/>
                                          </a:xfrm>
                                          <a:prstGeom prst="rect">
                                            <a:avLst/>
                                          </a:prstGeom>
                                        </pic:spPr>
                                      </pic:pic>
                                    </a:graphicData>
                                  </a:graphic>
                                </wp:inline>
                              </w:drawing>
                            </w:r>
                            <w:r>
                              <w:rPr>
                                <w:lang w:val="hr-HR"/>
                              </w:rPr>
                              <w:br/>
                              <w:t xml:space="preserve">Slika </w:t>
                            </w:r>
                            <w:r>
                              <w:rPr>
                                <w:lang w:val="hr-HR"/>
                              </w:rPr>
                              <w:fldChar w:fldCharType="begin"/>
                            </w:r>
                            <w:r>
                              <w:instrText> SEQ Slika \* ARABIC </w:instrText>
                            </w:r>
                            <w:r>
                              <w:fldChar w:fldCharType="separate"/>
                            </w:r>
                            <w:r>
                              <w:t>1</w:t>
                            </w:r>
                            <w:r>
                              <w:fldChar w:fldCharType="end"/>
                            </w:r>
                            <w:r>
                              <w:rPr>
                                <w:lang w:val="hr-HR"/>
                              </w:rPr>
                              <w:t>: Sučelje Pluralsight web stranice</w:t>
                            </w:r>
                          </w:p>
                        </w:txbxContent>
                      </wps:txbx>
                      <wps:bodyPr anchor="t" lIns="0" tIns="0" rIns="0" bIns="0">
                        <a:noAutofit/>
                      </wps:bodyPr>
                    </wps:wsp>
                  </a:graphicData>
                </a:graphic>
              </wp:anchor>
            </w:drawing>
          </mc:Choice>
          <mc:Fallback>
            <w:pict>
              <v:rect style="position:absolute;rotation:0;width:405.05pt;height:314pt;mso-wrap-distance-left:0pt;mso-wrap-distance-right:0pt;mso-wrap-distance-top:0pt;mso-wrap-distance-bottom:0pt;margin-top:0pt;mso-position-vertical:top;mso-position-vertical-relative:text;margin-left:38.45pt;mso-position-horizontal:center;mso-position-horizontal-relative:text">
                <v:textbox inset="0in,0in,0in,0in">
                  <w:txbxContent>
                    <w:p>
                      <w:pPr>
                        <w:pStyle w:val="Slika"/>
                        <w:spacing w:before="120" w:after="120"/>
                        <w:rPr>
                          <w:lang w:val="hr-HR"/>
                        </w:rPr>
                      </w:pPr>
                      <w:r>
                        <w:rPr>
                          <w:lang w:val="hr-HR"/>
                        </w:rPr>
                        <w:drawing>
                          <wp:inline distT="0" distB="0" distL="0" distR="0">
                            <wp:extent cx="5144135" cy="3736340"/>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2"/>
                                    <a:stretch>
                                      <a:fillRect/>
                                    </a:stretch>
                                  </pic:blipFill>
                                  <pic:spPr bwMode="auto">
                                    <a:xfrm>
                                      <a:off x="0" y="0"/>
                                      <a:ext cx="5144135" cy="3736340"/>
                                    </a:xfrm>
                                    <a:prstGeom prst="rect">
                                      <a:avLst/>
                                    </a:prstGeom>
                                  </pic:spPr>
                                </pic:pic>
                              </a:graphicData>
                            </a:graphic>
                          </wp:inline>
                        </w:drawing>
                      </w:r>
                      <w:r>
                        <w:rPr>
                          <w:lang w:val="hr-HR"/>
                        </w:rPr>
                        <w:br/>
                        <w:t xml:space="preserve">Slika </w:t>
                      </w:r>
                      <w:r>
                        <w:rPr>
                          <w:lang w:val="hr-HR"/>
                        </w:rPr>
                        <w:fldChar w:fldCharType="begin"/>
                      </w:r>
                      <w:r>
                        <w:instrText> SEQ Slika \* ARABIC </w:instrText>
                      </w:r>
                      <w:r>
                        <w:fldChar w:fldCharType="separate"/>
                      </w:r>
                      <w:r>
                        <w:t>1</w:t>
                      </w:r>
                      <w:r>
                        <w:fldChar w:fldCharType="end"/>
                      </w:r>
                      <w:r>
                        <w:rPr>
                          <w:lang w:val="hr-HR"/>
                        </w:rPr>
                        <w:t>: Sučelje Pluralsight web stranice</w:t>
                      </w:r>
                    </w:p>
                  </w:txbxContent>
                </v:textbox>
                <w10:wrap type="topAndBottom"/>
              </v:rect>
            </w:pict>
          </mc:Fallback>
        </mc:AlternateContent>
      </w:r>
    </w:p>
    <w:p>
      <w:pPr>
        <w:pStyle w:val="Normal"/>
        <w:rPr>
          <w:rFonts w:ascii="Arial" w:hAnsi="Arial"/>
          <w:lang w:val="hr-HR"/>
        </w:rPr>
      </w:pPr>
      <w:r>
        <w:rPr>
          <w:rFonts w:ascii="Arial" w:hAnsi="Arial"/>
          <w:lang w:val="hr-HR"/>
        </w:rPr>
        <w:t xml:space="preserve">Kako bi se razlikovali od drugih aplikacija i web stranica za učenje, uveli bi višu razinu zanimljivosti u tečajeve na način da korisnik kroz igru uči. Korisnik bi kroz interaktivne igre bio dulje zadržan uz obrazovni sadržaj, a da se pri tome zabavlja. Time bi se postigla veća efikasnost učenja, a ono bi bilo i </w:t>
      </w:r>
      <w:r>
        <w:rPr>
          <w:rFonts w:ascii="Arial" w:hAnsi="Arial"/>
          <w:lang w:val="hr-HR"/>
        </w:rPr>
        <w:t>više primjenjivo</w:t>
      </w:r>
      <w:r>
        <w:rPr>
          <w:rFonts w:ascii="Arial" w:hAnsi="Arial"/>
          <w:lang w:val="hr-HR"/>
        </w:rPr>
        <w:t xml:space="preserve"> za mlade, ali i starije osobe koje se ne znaju previše koristiti računalima ili mobilnim uređajima.</w:t>
      </w:r>
    </w:p>
    <w:p>
      <w:pPr>
        <w:pStyle w:val="Normal"/>
        <w:rPr>
          <w:rFonts w:ascii="Arial" w:hAnsi="Arial"/>
          <w:lang w:val="hr-HR"/>
        </w:rPr>
      </w:pPr>
      <w:r>
        <w:rPr>
          <w:rFonts w:ascii="Arial" w:hAnsi="Arial"/>
          <w:lang w:val="hr-HR"/>
        </w:rPr>
      </w:r>
    </w:p>
    <w:p>
      <w:pPr>
        <w:pStyle w:val="Normal"/>
        <w:rPr>
          <w:rFonts w:ascii="Arial" w:hAnsi="Arial"/>
          <w:lang w:val="hr-HR"/>
        </w:rPr>
      </w:pPr>
      <w:r>
        <w:rPr>
          <w:rFonts w:ascii="Arial" w:hAnsi="Arial"/>
          <w:lang w:val="hr-HR"/>
        </w:rPr>
        <w:t xml:space="preserve">Jedna od stvari koje su još uvijek u razvoju </w:t>
      </w:r>
      <w:r>
        <w:rPr>
          <w:rFonts w:ascii="Arial" w:hAnsi="Arial"/>
          <w:lang w:val="hr-HR"/>
        </w:rPr>
        <w:t>kod e-learninga su interaktivne grupe. Te su grupe zamišljene kao skupina ljudi koja se međusobno ne poznaju ali su pretplaćene na sadržaj tj. tečaj koji je napravljen tako da sadrži razne projekte koji moraju biti obavljene grupnim radom. Tako bi korisnici bili primorani na interakciju s ostalim članovima i uz učenje stekli i vještinu rada u timskom okruženju ali bi upoznali razne ljude i unaprijedili govor engleskog ili bilo kojeg drugog jezika.</w:t>
      </w:r>
    </w:p>
    <w:p>
      <w:pPr>
        <w:pStyle w:val="Normal"/>
        <w:rPr>
          <w:rFonts w:ascii="Arial" w:hAnsi="Arial"/>
          <w:lang w:val="hr-HR"/>
        </w:rPr>
      </w:pPr>
      <w:r>
        <w:rPr>
          <w:rFonts w:ascii="Arial" w:hAnsi="Arial"/>
          <w:lang w:val="hr-HR"/>
        </w:rPr>
      </w:r>
    </w:p>
    <w:p>
      <w:pPr>
        <w:pStyle w:val="Normal"/>
        <w:rPr>
          <w:rFonts w:ascii="Arial" w:hAnsi="Arial"/>
          <w:lang w:val="hr-HR"/>
        </w:rPr>
      </w:pPr>
      <w:r>
        <w:rPr>
          <w:rFonts w:ascii="Arial" w:hAnsi="Arial"/>
          <w:lang w:val="hr-HR"/>
        </w:rPr>
        <w:t xml:space="preserve">Također, jedna od stvari koja nije dovoljno razvijena kod online učenja je svakodnevno praćenje napretka. Pošto živimo u doba modernih tehnologija i pametnih telefona, lako je bilježiti svakodnevni napredak i bilo kakvu aktivnost koja je povezana s učenjem. Na taj način bi postigli bolji pregled vlastitog napredovanja i s tim podacima bi </w:t>
      </w:r>
      <w:r>
        <w:rPr>
          <w:rFonts w:ascii="Arial" w:hAnsi="Arial"/>
          <w:lang w:val="hr-HR"/>
        </w:rPr>
        <w:t>lakše mogli analizirati u kojem pravcu bi naše obrazovanje dalje trebalo ići.</w:t>
      </w:r>
      <w:r>
        <w:br w:type="page"/>
      </w:r>
    </w:p>
    <w:p>
      <w:pPr>
        <w:pStyle w:val="Normal"/>
        <w:rPr>
          <w:rFonts w:ascii="Arial" w:hAnsi="Arial"/>
          <w:lang w:val="hr-HR"/>
        </w:rPr>
      </w:pPr>
      <w:r>
        <w:rPr>
          <w:rFonts w:ascii="Arial" w:hAnsi="Arial"/>
          <w:lang w:val="hr-HR"/>
        </w:rPr>
        <w:t xml:space="preserve">Zadnja stvar koja će sigurno ugledati svijetlo dana na tržištu online učenja su razni gadgeti koji će nam u tome pomoći, a to su pametni satovi, </w:t>
      </w:r>
      <w:r>
        <w:rPr>
          <w:rFonts w:ascii="Arial" w:hAnsi="Arial"/>
          <w:lang w:val="hr-HR"/>
        </w:rPr>
        <w:t>uređaj</w:t>
      </w:r>
      <w:r>
        <w:rPr>
          <w:rFonts w:ascii="Arial" w:hAnsi="Arial"/>
          <w:lang w:val="hr-HR"/>
        </w:rPr>
        <w:t xml:space="preserve"> za vi</w:t>
      </w:r>
      <w:r>
        <w:rPr>
          <w:rFonts w:ascii="Arial" w:hAnsi="Arial"/>
          <w:lang w:val="hr-HR"/>
        </w:rPr>
        <w:t>rtualnu stvarnost i dakako pametni telefoni koji omogućuju učenje bilo gdije i bilo kada.</w:t>
      </w:r>
    </w:p>
    <w:p>
      <w:pPr>
        <w:pStyle w:val="Normal"/>
        <w:rPr>
          <w:rFonts w:ascii="Arial" w:hAnsi="Arial"/>
          <w:lang w:val="hr-HR"/>
        </w:rPr>
      </w:pPr>
      <w:r>
        <w:rPr>
          <w:rFonts w:ascii="Arial" w:hAnsi="Arial"/>
          <w:lang w:val="hr-HR"/>
        </w:rPr>
      </w:r>
    </w:p>
    <w:p>
      <w:pPr>
        <w:pStyle w:val="Normal"/>
        <w:rPr>
          <w:rFonts w:ascii="Arial" w:hAnsi="Arial"/>
          <w:lang w:val="hr-HR"/>
        </w:rPr>
      </w:pPr>
      <w:r>
        <w:rPr>
          <w:rFonts w:ascii="Arial" w:hAnsi="Arial"/>
          <w:lang w:val="hr-HR"/>
        </w:rPr>
      </w:r>
      <w:r>
        <mc:AlternateContent>
          <mc:Choice Requires="wps">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5715000" cy="3108960"/>
                <wp:effectExtent l="0" t="0" r="0" b="0"/>
                <wp:wrapTopAndBottom/>
                <wp:docPr id="4" name="Frame2"/>
                <a:graphic xmlns:a="http://schemas.openxmlformats.org/drawingml/2006/main">
                  <a:graphicData uri="http://schemas.microsoft.com/office/word/2010/wordprocessingShape">
                    <wps:wsp>
                      <wps:cNvSpPr txBox="1"/>
                      <wps:spPr>
                        <a:xfrm>
                          <a:off x="0" y="0"/>
                          <a:ext cx="5715000" cy="3108960"/>
                        </a:xfrm>
                        <a:prstGeom prst="rect"/>
                      </wps:spPr>
                      <wps:txbx>
                        <w:txbxContent>
                          <w:p>
                            <w:pPr>
                              <w:pStyle w:val="Slika"/>
                              <w:spacing w:before="120" w:after="120"/>
                              <w:rPr/>
                            </w:pPr>
                            <w:r>
                              <w:rPr/>
                              <w:drawing>
                                <wp:inline distT="0" distB="0" distL="0" distR="0">
                                  <wp:extent cx="5715000" cy="2857500"/>
                                  <wp:effectExtent l="0" t="0" r="0" b="0"/>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3"/>
                                          <a:stretch>
                                            <a:fillRect/>
                                          </a:stretch>
                                        </pic:blipFill>
                                        <pic:spPr bwMode="auto">
                                          <a:xfrm>
                                            <a:off x="0" y="0"/>
                                            <a:ext cx="5715000" cy="2857500"/>
                                          </a:xfrm>
                                          <a:prstGeom prst="rect">
                                            <a:avLst/>
                                          </a:prstGeom>
                                        </pic:spPr>
                                      </pic:pic>
                                    </a:graphicData>
                                  </a:graphic>
                                </wp:inline>
                              </w:drawing>
                            </w:r>
                            <w:r>
                              <w:rPr/>
                              <w:br/>
                              <w:t xml:space="preserve">Slika </w:t>
                            </w:r>
                            <w:r>
                              <w:rPr/>
                              <w:fldChar w:fldCharType="begin"/>
                            </w:r>
                            <w:r>
                              <w:instrText> SEQ Slika \* ARABIC </w:instrText>
                            </w:r>
                            <w:r>
                              <w:fldChar w:fldCharType="separate"/>
                            </w:r>
                            <w:r>
                              <w:t>2</w:t>
                            </w:r>
                            <w:r>
                              <w:fldChar w:fldCharType="end"/>
                            </w:r>
                            <w:r>
                              <w:rPr/>
                              <w:t>: Virtualna stvarnost</w:t>
                            </w:r>
                          </w:p>
                        </w:txbxContent>
                      </wps:txbx>
                      <wps:bodyPr anchor="t" lIns="0" tIns="0" rIns="0" bIns="0">
                        <a:noAutofit/>
                      </wps:bodyPr>
                    </wps:wsp>
                  </a:graphicData>
                </a:graphic>
              </wp:anchor>
            </w:drawing>
          </mc:Choice>
          <mc:Fallback>
            <w:pict>
              <v:rect style="position:absolute;rotation:0;width:450pt;height:244.8pt;mso-wrap-distance-left:0pt;mso-wrap-distance-right:0pt;mso-wrap-distance-top:0pt;mso-wrap-distance-bottom:0pt;margin-top:0pt;mso-position-vertical:top;mso-position-vertical-relative:text;margin-left:15.95pt;mso-position-horizontal:center;mso-position-horizontal-relative:text">
                <v:textbox inset="0in,0in,0in,0in">
                  <w:txbxContent>
                    <w:p>
                      <w:pPr>
                        <w:pStyle w:val="Slika"/>
                        <w:spacing w:before="120" w:after="120"/>
                        <w:rPr/>
                      </w:pPr>
                      <w:r>
                        <w:rPr/>
                        <w:drawing>
                          <wp:inline distT="0" distB="0" distL="0" distR="0">
                            <wp:extent cx="5715000" cy="285750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3"/>
                                    <a:stretch>
                                      <a:fillRect/>
                                    </a:stretch>
                                  </pic:blipFill>
                                  <pic:spPr bwMode="auto">
                                    <a:xfrm>
                                      <a:off x="0" y="0"/>
                                      <a:ext cx="5715000" cy="2857500"/>
                                    </a:xfrm>
                                    <a:prstGeom prst="rect">
                                      <a:avLst/>
                                    </a:prstGeom>
                                  </pic:spPr>
                                </pic:pic>
                              </a:graphicData>
                            </a:graphic>
                          </wp:inline>
                        </w:drawing>
                      </w:r>
                      <w:r>
                        <w:rPr/>
                        <w:br/>
                        <w:t xml:space="preserve">Slika </w:t>
                      </w:r>
                      <w:r>
                        <w:rPr/>
                        <w:fldChar w:fldCharType="begin"/>
                      </w:r>
                      <w:r>
                        <w:instrText> SEQ Slika \* ARABIC </w:instrText>
                      </w:r>
                      <w:r>
                        <w:fldChar w:fldCharType="separate"/>
                      </w:r>
                      <w:r>
                        <w:t>2</w:t>
                      </w:r>
                      <w:r>
                        <w:fldChar w:fldCharType="end"/>
                      </w:r>
                      <w:r>
                        <w:rPr/>
                        <w:t>: Virtualna stvarnost</w:t>
                      </w:r>
                    </w:p>
                  </w:txbxContent>
                </v:textbox>
                <w10:wrap type="topAndBottom"/>
              </v:rect>
            </w:pict>
          </mc:Fallback>
        </mc:AlternateContent>
      </w:r>
    </w:p>
    <w:p>
      <w:pPr>
        <w:sectPr>
          <w:type w:val="nextPage"/>
          <w:pgSz w:w="11906" w:h="16838"/>
          <w:pgMar w:left="1134" w:right="1134" w:header="0" w:top="1134" w:footer="0" w:bottom="1134" w:gutter="0"/>
          <w:pgNumType w:fmt="decimal"/>
          <w:formProt w:val="false"/>
          <w:textDirection w:val="lrTb"/>
          <w:docGrid w:type="default" w:linePitch="240" w:charSpace="4294961151"/>
        </w:sectPr>
        <w:pStyle w:val="Normal"/>
        <w:rPr>
          <w:rFonts w:ascii="Arial" w:hAnsi="Arial"/>
          <w:lang w:val="hr-HR"/>
        </w:rPr>
      </w:pPr>
      <w:r>
        <w:rPr>
          <w:rFonts w:ascii="Arial" w:hAnsi="Arial"/>
          <w:lang w:val="hr-HR"/>
        </w:rPr>
        <w:t>Iako su naočale za virtualnu stvarnost još poprilično cijenom neprihvatljive, brzi razvoj takve tehnologije uskoro bi mogao povećati njihovu pristupačnost široj publici. Ona bi nam mogla pružiti već opisano učenje kroz zabavu ali možda jednoga dana čak i virtualna predavanja koja će nam dati osjećaj kao da se nalazimo u dvorani za predavanje te sigurno i bolju interakciju s profesorom i ostalim "studentima".</w:t>
      </w:r>
    </w:p>
    <w:p>
      <w:pPr>
        <w:pStyle w:val="Heading1"/>
        <w:numPr>
          <w:ilvl w:val="0"/>
          <w:numId w:val="1"/>
        </w:numPr>
        <w:spacing w:before="240" w:after="0"/>
        <w:ind w:left="0" w:hanging="0"/>
        <w:rPr>
          <w:rFonts w:ascii="Arial" w:hAnsi="Arial"/>
        </w:rPr>
      </w:pPr>
      <w:r>
        <w:rPr>
          <w:rFonts w:ascii="Arial" w:hAnsi="Arial"/>
        </w:rPr>
        <w:t>5. Analiza stanja</w:t>
      </w:r>
    </w:p>
    <w:p>
      <w:pPr>
        <w:pStyle w:val="Normal"/>
        <w:rPr>
          <w:rFonts w:ascii="Arial" w:hAnsi="Arial"/>
        </w:rPr>
      </w:pPr>
      <w:r>
        <w:rPr>
          <w:rFonts w:ascii="Arial" w:hAnsi="Arial"/>
        </w:rPr>
      </w:r>
    </w:p>
    <w:p>
      <w:pPr>
        <w:pStyle w:val="Normal"/>
        <w:rPr>
          <w:rFonts w:ascii="Arial" w:hAnsi="Arial"/>
        </w:rPr>
      </w:pPr>
      <w:r>
        <w:rPr>
          <w:rFonts w:ascii="Arial" w:hAnsi="Arial"/>
          <w:sz w:val="24"/>
          <w:szCs w:val="24"/>
        </w:rPr>
        <w:t>Analizirat ćemo dvije tvrtke koje se ističu kao eLearning platforme – Pluralsight i Lynda.com.</w:t>
      </w:r>
    </w:p>
    <w:p>
      <w:pPr>
        <w:pStyle w:val="Normal"/>
        <w:rPr>
          <w:sz w:val="24"/>
          <w:szCs w:val="24"/>
        </w:rPr>
      </w:pPr>
      <w:r>
        <w:rPr>
          <w:rFonts w:ascii="Arial" w:hAnsi="Arial"/>
          <w:u w:val="single"/>
        </w:rPr>
      </w:r>
    </w:p>
    <w:p>
      <w:pPr>
        <w:pStyle w:val="Normal"/>
        <w:rPr>
          <w:rFonts w:ascii="Arial" w:hAnsi="Arial"/>
          <w:u w:val="single"/>
        </w:rPr>
      </w:pPr>
      <w:r>
        <w:rPr>
          <w:rFonts w:ascii="Arial" w:hAnsi="Arial"/>
          <w:sz w:val="24"/>
          <w:szCs w:val="24"/>
          <w:u w:val="single"/>
        </w:rPr>
        <w:t>Pluralsight:</w:t>
      </w:r>
    </w:p>
    <w:p>
      <w:pPr>
        <w:pStyle w:val="Normal"/>
        <w:rPr>
          <w:sz w:val="24"/>
          <w:szCs w:val="24"/>
        </w:rPr>
      </w:pPr>
      <w:r>
        <w:rPr>
          <w:rFonts w:ascii="Arial" w:hAnsi="Arial"/>
          <w:u w:val="single"/>
        </w:rPr>
      </w:r>
    </w:p>
    <w:p>
      <w:pPr>
        <w:pStyle w:val="ListParagraph"/>
        <w:numPr>
          <w:ilvl w:val="0"/>
          <w:numId w:val="5"/>
        </w:numPr>
        <w:rPr>
          <w:rFonts w:ascii="Arial" w:hAnsi="Arial"/>
        </w:rPr>
      </w:pPr>
      <w:r>
        <w:rPr>
          <w:rFonts w:ascii="Arial" w:hAnsi="Arial"/>
          <w:sz w:val="24"/>
          <w:szCs w:val="24"/>
        </w:rPr>
        <w:t>2004. godine: osnovana u Farmingtonu, Utah; Aaron Skonnard, Keith Brown, Fritz Onion, Bill Williams</w:t>
      </w:r>
    </w:p>
    <w:p>
      <w:pPr>
        <w:pStyle w:val="ListParagraph"/>
        <w:numPr>
          <w:ilvl w:val="0"/>
          <w:numId w:val="5"/>
        </w:numPr>
        <w:rPr>
          <w:rFonts w:ascii="Arial" w:hAnsi="Arial"/>
        </w:rPr>
      </w:pPr>
      <w:r>
        <w:rPr>
          <w:rFonts w:ascii="Arial" w:hAnsi="Arial"/>
          <w:sz w:val="24"/>
          <w:szCs w:val="24"/>
        </w:rPr>
        <w:t>Početna ideja bila je da instruktori odlaze do klijenata i tako ih educiraju</w:t>
      </w:r>
    </w:p>
    <w:p>
      <w:pPr>
        <w:pStyle w:val="ListParagraph"/>
        <w:numPr>
          <w:ilvl w:val="0"/>
          <w:numId w:val="5"/>
        </w:numPr>
        <w:spacing w:lineRule="auto" w:line="240"/>
        <w:rPr>
          <w:rFonts w:ascii="Arial" w:hAnsi="Arial"/>
        </w:rPr>
      </w:pPr>
      <w:r>
        <w:rPr>
          <w:rFonts w:ascii="Arial" w:hAnsi="Arial"/>
          <w:sz w:val="24"/>
          <w:szCs w:val="24"/>
        </w:rPr>
        <w:t>09. mjesec 2004. godine: preko 600 stručnjaka se pridružilo i počelo snimati tečajeve; nastalo je preko 4000 tečajeva, oko 750000 pretplatnika i više od 6000 suradnika i klijenata</w:t>
      </w:r>
    </w:p>
    <w:p>
      <w:pPr>
        <w:pStyle w:val="ListParagraph"/>
        <w:numPr>
          <w:ilvl w:val="0"/>
          <w:numId w:val="5"/>
        </w:numPr>
        <w:rPr>
          <w:rFonts w:ascii="Arial" w:hAnsi="Arial"/>
        </w:rPr>
      </w:pPr>
      <w:r>
        <w:rPr>
          <w:rFonts w:ascii="Arial" w:hAnsi="Arial"/>
          <w:sz w:val="24"/>
          <w:szCs w:val="24"/>
        </w:rPr>
        <w:t>2007. godine, naglasak se stavlja na „online“ tečajeve</w:t>
      </w:r>
    </w:p>
    <w:p>
      <w:pPr>
        <w:pStyle w:val="ListParagraph"/>
        <w:numPr>
          <w:ilvl w:val="0"/>
          <w:numId w:val="5"/>
        </w:numPr>
        <w:rPr>
          <w:rFonts w:ascii="Arial" w:hAnsi="Arial"/>
        </w:rPr>
      </w:pPr>
      <w:r>
        <w:rPr>
          <w:rFonts w:ascii="Arial" w:hAnsi="Arial"/>
          <w:sz w:val="24"/>
          <w:szCs w:val="24"/>
        </w:rPr>
        <w:t>2011. godine događa se brz rast i razvoj; imenovani su na popisu: „Inc. 5000“ kao jedni od 5000 najbrže rastućih tvrtki –  rank: #9 - kao edukacijska tvrtka  #19 – kao najbolje tvrtke iz Utah</w:t>
      </w:r>
    </w:p>
    <w:p>
      <w:pPr>
        <w:pStyle w:val="ListParagraph"/>
        <w:numPr>
          <w:ilvl w:val="0"/>
          <w:numId w:val="5"/>
        </w:numPr>
        <w:rPr>
          <w:rFonts w:ascii="Arial" w:hAnsi="Arial"/>
        </w:rPr>
      </w:pPr>
      <w:r>
        <w:rPr>
          <w:rFonts w:ascii="Arial" w:hAnsi="Arial"/>
          <w:sz w:val="24"/>
          <w:szCs w:val="24"/>
        </w:rPr>
        <w:t>24.06.2013. – sklopljen ugovor s PeepCode („open source“ tečajevi za programere) – time je dodano preko 100 novih tečajeva i nova kategorija („open source“)</w:t>
      </w:r>
    </w:p>
    <w:p>
      <w:pPr>
        <w:pStyle w:val="ListParagraph"/>
        <w:numPr>
          <w:ilvl w:val="0"/>
          <w:numId w:val="5"/>
        </w:numPr>
        <w:rPr>
          <w:rFonts w:ascii="Arial" w:hAnsi="Arial"/>
        </w:rPr>
      </w:pPr>
      <w:r>
        <w:rPr>
          <w:rFonts w:ascii="Arial" w:hAnsi="Arial"/>
          <w:sz w:val="24"/>
          <w:szCs w:val="24"/>
        </w:rPr>
        <w:t xml:space="preserve">Šire se na ostale tehnologije, do tad su se uglavnom bazirali na Microsoftovim </w:t>
      </w:r>
    </w:p>
    <w:p>
      <w:pPr>
        <w:pStyle w:val="ListParagraph"/>
        <w:numPr>
          <w:ilvl w:val="0"/>
          <w:numId w:val="5"/>
        </w:numPr>
        <w:rPr>
          <w:rFonts w:ascii="Arial" w:hAnsi="Arial"/>
        </w:rPr>
      </w:pPr>
      <w:r>
        <w:rPr>
          <w:rFonts w:ascii="Arial" w:hAnsi="Arial"/>
          <w:sz w:val="24"/>
          <w:szCs w:val="24"/>
        </w:rPr>
        <w:t>05.08.2013.  – TrainSignal se pridružuje</w:t>
      </w:r>
    </w:p>
    <w:p>
      <w:pPr>
        <w:pStyle w:val="ListParagraph"/>
        <w:numPr>
          <w:ilvl w:val="0"/>
          <w:numId w:val="5"/>
        </w:numPr>
        <w:rPr>
          <w:rFonts w:ascii="Arial" w:hAnsi="Arial"/>
        </w:rPr>
      </w:pPr>
      <w:r>
        <w:rPr>
          <w:rFonts w:ascii="Arial" w:hAnsi="Arial"/>
          <w:sz w:val="24"/>
          <w:szCs w:val="24"/>
        </w:rPr>
        <w:t>31.10.2013. – TekPub – stručnjaci se također pridružuju timu i postaju Pluralsight autori</w:t>
      </w:r>
    </w:p>
    <w:p>
      <w:pPr>
        <w:pStyle w:val="ListParagraph"/>
        <w:numPr>
          <w:ilvl w:val="0"/>
          <w:numId w:val="5"/>
        </w:numPr>
        <w:rPr>
          <w:rFonts w:ascii="Arial" w:hAnsi="Arial"/>
        </w:rPr>
      </w:pPr>
      <w:r>
        <w:rPr>
          <w:rFonts w:ascii="Arial" w:hAnsi="Arial"/>
          <w:sz w:val="24"/>
          <w:szCs w:val="24"/>
        </w:rPr>
        <w:t>09.04.2014. – Digital-Tutors (tečajevi za kreativne profesionalce) – proširenje za više od 3000 naslova, obogaćivanje s novim kategorijama i temama (dizajn softvera, programiranje, održavanje i poslovanje); preko 30 stručnjaka se pridružuje Pluralsight timu</w:t>
      </w:r>
    </w:p>
    <w:p>
      <w:pPr>
        <w:pStyle w:val="ListParagraph"/>
        <w:numPr>
          <w:ilvl w:val="0"/>
          <w:numId w:val="5"/>
        </w:numPr>
        <w:rPr>
          <w:rFonts w:ascii="Arial" w:hAnsi="Arial"/>
        </w:rPr>
      </w:pPr>
      <w:r>
        <w:rPr>
          <w:rFonts w:ascii="Arial" w:hAnsi="Arial"/>
          <w:sz w:val="24"/>
          <w:szCs w:val="24"/>
        </w:rPr>
        <w:t>19.11.2014. – pridružuje se Smarterer</w:t>
      </w:r>
    </w:p>
    <w:p>
      <w:pPr>
        <w:pStyle w:val="ListParagraph"/>
        <w:numPr>
          <w:ilvl w:val="0"/>
          <w:numId w:val="5"/>
        </w:numPr>
        <w:rPr>
          <w:rFonts w:ascii="Arial" w:hAnsi="Arial"/>
        </w:rPr>
      </w:pPr>
      <w:r>
        <w:rPr>
          <w:rFonts w:ascii="Arial" w:hAnsi="Arial"/>
          <w:sz w:val="24"/>
          <w:szCs w:val="24"/>
        </w:rPr>
        <w:t xml:space="preserve">26.01.2015. – pridružuje se Code School </w:t>
      </w:r>
    </w:p>
    <w:p>
      <w:pPr>
        <w:pStyle w:val="ListParagraph"/>
        <w:numPr>
          <w:ilvl w:val="0"/>
          <w:numId w:val="5"/>
        </w:numPr>
        <w:rPr>
          <w:rFonts w:ascii="Arial" w:hAnsi="Arial"/>
        </w:rPr>
      </w:pPr>
      <w:r>
        <w:rPr>
          <w:rFonts w:ascii="Arial" w:hAnsi="Arial"/>
          <w:sz w:val="24"/>
          <w:szCs w:val="24"/>
        </w:rPr>
        <w:t>09.07.2015. – kupnja HackHands (nudili su online pomoć na zahtjev, preko video chata ili instant poruka)</w:t>
      </w:r>
    </w:p>
    <w:p>
      <w:pPr>
        <w:pStyle w:val="ListParagraph"/>
        <w:numPr>
          <w:ilvl w:val="0"/>
          <w:numId w:val="5"/>
        </w:numPr>
        <w:rPr>
          <w:rFonts w:ascii="Arial" w:hAnsi="Arial"/>
        </w:rPr>
      </w:pPr>
      <w:r>
        <w:rPr>
          <w:rFonts w:ascii="Arial" w:hAnsi="Arial"/>
          <w:sz w:val="24"/>
          <w:szCs w:val="24"/>
        </w:rPr>
        <w:t>U manje od dvije godine, sklopljeno sedam poslova</w:t>
      </w:r>
    </w:p>
    <w:p>
      <w:pPr>
        <w:pStyle w:val="ListParagraph"/>
        <w:numPr>
          <w:ilvl w:val="0"/>
          <w:numId w:val="5"/>
        </w:numPr>
        <w:rPr>
          <w:rFonts w:ascii="Arial" w:hAnsi="Arial"/>
        </w:rPr>
      </w:pPr>
      <w:r>
        <w:rPr>
          <w:rFonts w:ascii="Arial" w:hAnsi="Arial"/>
          <w:sz w:val="24"/>
          <w:szCs w:val="24"/>
        </w:rPr>
        <w:t>Trenutno stanje: preko 1000 stručnjaka, 5000  tečajeva i 150 zemalja iz kojih dolaze pretplatnici</w:t>
      </w:r>
    </w:p>
    <w:p>
      <w:pPr>
        <w:pStyle w:val="ListParagraph"/>
        <w:numPr>
          <w:ilvl w:val="0"/>
          <w:numId w:val="2"/>
        </w:numPr>
        <w:rPr>
          <w:rFonts w:ascii="Arial" w:hAnsi="Arial"/>
          <w:sz w:val="24"/>
          <w:szCs w:val="24"/>
        </w:rPr>
      </w:pPr>
      <w:r>
        <w:rPr>
          <w:rFonts w:ascii="Arial" w:hAnsi="Arial"/>
          <w:sz w:val="24"/>
          <w:szCs w:val="24"/>
        </w:rPr>
      </w:r>
    </w:p>
    <w:p>
      <w:pPr>
        <w:pStyle w:val="Normal"/>
        <w:rPr>
          <w:rFonts w:ascii="Arial" w:hAnsi="Arial"/>
        </w:rPr>
      </w:pPr>
      <w:r>
        <w:rPr>
          <w:rFonts w:ascii="Arial" w:hAnsi="Arial"/>
          <w:sz w:val="24"/>
          <w:szCs w:val="24"/>
        </w:rPr>
        <w:t>Svaki od osnivača uložio je $5000. Prvih devet godina, nije bilo vanjskih financiranja. Od ožujka 2015.  godine, tvrtka je dobila $169 milijuna preko poduzetničkog financiranja.</w:t>
      </w:r>
    </w:p>
    <w:p>
      <w:pPr>
        <w:pStyle w:val="ListParagraph"/>
        <w:numPr>
          <w:ilvl w:val="0"/>
          <w:numId w:val="2"/>
        </w:numPr>
        <w:rPr>
          <w:sz w:val="24"/>
          <w:szCs w:val="24"/>
        </w:rPr>
      </w:pPr>
      <w:r>
        <w:rPr>
          <w:rFonts w:ascii="Arial" w:hAnsi="Arial"/>
        </w:rPr>
      </w:r>
    </w:p>
    <w:p>
      <w:pPr>
        <w:pStyle w:val="ListParagraph"/>
        <w:numPr>
          <w:ilvl w:val="0"/>
          <w:numId w:val="6"/>
        </w:numPr>
        <w:rPr>
          <w:rFonts w:ascii="Arial" w:hAnsi="Arial"/>
        </w:rPr>
      </w:pPr>
      <w:r>
        <w:rPr>
          <w:rFonts w:ascii="Arial" w:hAnsi="Arial"/>
          <w:sz w:val="24"/>
          <w:szCs w:val="24"/>
        </w:rPr>
        <w:t>12. mjesec 2012. – $27,5 milijuna od Insight Venture Partners, serija A</w:t>
      </w:r>
    </w:p>
    <w:p>
      <w:pPr>
        <w:pStyle w:val="ListParagraph"/>
        <w:numPr>
          <w:ilvl w:val="0"/>
          <w:numId w:val="6"/>
        </w:numPr>
        <w:rPr>
          <w:rFonts w:ascii="Arial" w:hAnsi="Arial"/>
        </w:rPr>
      </w:pPr>
      <w:r>
        <w:rPr>
          <w:rFonts w:ascii="Arial" w:hAnsi="Arial"/>
          <w:sz w:val="24"/>
          <w:szCs w:val="24"/>
        </w:rPr>
        <w:t>03. mjesec 2014. – dodatnih $2,5 milijuna, serija A</w:t>
      </w:r>
    </w:p>
    <w:p>
      <w:pPr>
        <w:pStyle w:val="ListParagraph"/>
        <w:numPr>
          <w:ilvl w:val="0"/>
          <w:numId w:val="6"/>
        </w:numPr>
        <w:rPr>
          <w:rFonts w:ascii="Arial" w:hAnsi="Arial"/>
        </w:rPr>
      </w:pPr>
      <w:r>
        <w:rPr>
          <w:rFonts w:ascii="Arial" w:hAnsi="Arial"/>
          <w:sz w:val="24"/>
          <w:szCs w:val="24"/>
        </w:rPr>
        <w:t>08. mjesec 2014. – dodatnih $135 milijuna, serija B</w:t>
      </w:r>
    </w:p>
    <w:p>
      <w:pPr>
        <w:pStyle w:val="Normal"/>
        <w:ind w:left="360" w:hanging="0"/>
        <w:rPr>
          <w:rFonts w:ascii="Arial" w:hAnsi="Arial"/>
        </w:rPr>
      </w:pPr>
      <w:r>
        <w:rPr>
          <w:rFonts w:ascii="Arial" w:hAnsi="Arial"/>
          <w:sz w:val="24"/>
          <w:szCs w:val="24"/>
        </w:rPr>
        <w:t>Nakon ovog kruga financiranja, vrijednost tvrtke porasla je sa manje od $100 milijuna u 2012. godini, na otprilike $1 bilijun.</w:t>
      </w:r>
    </w:p>
    <w:p>
      <w:pPr>
        <w:pStyle w:val="Normal"/>
        <w:rPr>
          <w:rFonts w:ascii="Arial" w:hAnsi="Arial"/>
          <w:sz w:val="24"/>
          <w:szCs w:val="24"/>
        </w:rPr>
      </w:pPr>
      <w:r>
        <w:rPr>
          <w:rFonts w:ascii="Arial" w:hAnsi="Arial"/>
          <w:sz w:val="24"/>
          <w:szCs w:val="24"/>
        </w:rPr>
      </w:r>
    </w:p>
    <w:p>
      <w:pPr>
        <w:pStyle w:val="Normal"/>
        <w:rPr>
          <w:sz w:val="24"/>
          <w:szCs w:val="24"/>
        </w:rPr>
      </w:pPr>
      <w:r>
        <w:rPr>
          <w:rFonts w:ascii="Arial" w:hAnsi="Arial"/>
          <w:u w:val="single"/>
        </w:rPr>
      </w:r>
      <w:r>
        <w:br w:type="page"/>
      </w:r>
    </w:p>
    <w:p>
      <w:pPr>
        <w:pStyle w:val="Normal"/>
        <w:rPr>
          <w:rFonts w:ascii="Arial" w:hAnsi="Arial"/>
          <w:u w:val="single"/>
        </w:rPr>
      </w:pPr>
      <w:r>
        <w:rPr>
          <w:rFonts w:ascii="Arial" w:hAnsi="Arial"/>
          <w:sz w:val="24"/>
          <w:szCs w:val="24"/>
          <w:u w:val="single"/>
        </w:rPr>
        <w:t>Lynda.com:</w:t>
      </w:r>
    </w:p>
    <w:p>
      <w:pPr>
        <w:pStyle w:val="Normal"/>
        <w:rPr>
          <w:sz w:val="24"/>
          <w:szCs w:val="24"/>
        </w:rPr>
      </w:pPr>
      <w:r>
        <w:rPr>
          <w:rFonts w:ascii="Arial" w:hAnsi="Arial"/>
          <w:u w:val="single"/>
        </w:rPr>
      </w:r>
    </w:p>
    <w:p>
      <w:pPr>
        <w:pStyle w:val="ListParagraph"/>
        <w:numPr>
          <w:ilvl w:val="0"/>
          <w:numId w:val="7"/>
        </w:numPr>
        <w:rPr>
          <w:rFonts w:ascii="Arial" w:hAnsi="Arial"/>
        </w:rPr>
      </w:pPr>
      <w:r>
        <w:rPr>
          <w:rFonts w:ascii="Arial" w:hAnsi="Arial"/>
          <w:sz w:val="24"/>
          <w:szCs w:val="24"/>
        </w:rPr>
        <w:t>Osnovana 1995. godine, Ojai California</w:t>
      </w:r>
    </w:p>
    <w:p>
      <w:pPr>
        <w:pStyle w:val="ListParagraph"/>
        <w:numPr>
          <w:ilvl w:val="0"/>
          <w:numId w:val="7"/>
        </w:numPr>
        <w:rPr>
          <w:rFonts w:ascii="Arial" w:hAnsi="Arial"/>
        </w:rPr>
      </w:pPr>
      <w:r>
        <w:rPr>
          <w:rFonts w:ascii="Arial" w:hAnsi="Arial"/>
          <w:sz w:val="24"/>
          <w:szCs w:val="24"/>
        </w:rPr>
        <w:t>Osniva Lynda Weinman (vlasnica tvrtke, instruktorica programiranja i autorica knjiga o programiranju) zajedno s mužem Bruceom Heavinom</w:t>
      </w:r>
    </w:p>
    <w:p>
      <w:pPr>
        <w:pStyle w:val="ListParagraph"/>
        <w:numPr>
          <w:ilvl w:val="0"/>
          <w:numId w:val="7"/>
        </w:numPr>
        <w:rPr>
          <w:rFonts w:ascii="Arial" w:hAnsi="Arial"/>
        </w:rPr>
      </w:pPr>
      <w:r>
        <w:rPr>
          <w:rFonts w:ascii="Arial" w:hAnsi="Arial"/>
          <w:sz w:val="24"/>
          <w:szCs w:val="24"/>
        </w:rPr>
        <w:t>2002. godine – kreću s online tečajevima</w:t>
      </w:r>
    </w:p>
    <w:p>
      <w:pPr>
        <w:pStyle w:val="ListParagraph"/>
        <w:numPr>
          <w:ilvl w:val="0"/>
          <w:numId w:val="7"/>
        </w:numPr>
        <w:rPr>
          <w:rFonts w:ascii="Arial" w:hAnsi="Arial"/>
        </w:rPr>
      </w:pPr>
      <w:r>
        <w:rPr>
          <w:rFonts w:ascii="Arial" w:hAnsi="Arial"/>
          <w:sz w:val="24"/>
          <w:szCs w:val="24"/>
        </w:rPr>
        <w:t>2004. godine – oko 100 tečajeva je bilo dostupno</w:t>
      </w:r>
    </w:p>
    <w:p>
      <w:pPr>
        <w:pStyle w:val="ListParagraph"/>
        <w:numPr>
          <w:ilvl w:val="0"/>
          <w:numId w:val="7"/>
        </w:numPr>
        <w:rPr>
          <w:rFonts w:ascii="Arial" w:hAnsi="Arial"/>
        </w:rPr>
      </w:pPr>
      <w:r>
        <w:rPr>
          <w:rFonts w:ascii="Arial" w:hAnsi="Arial"/>
          <w:sz w:val="24"/>
          <w:szCs w:val="24"/>
        </w:rPr>
        <w:t>2013. godine – prvo vanjsko ulaganje, $103 milijuna od strane Accel Partners i Spectrum Equity</w:t>
      </w:r>
    </w:p>
    <w:p>
      <w:pPr>
        <w:pStyle w:val="ListParagraph"/>
        <w:numPr>
          <w:ilvl w:val="0"/>
          <w:numId w:val="7"/>
        </w:numPr>
        <w:rPr>
          <w:rFonts w:ascii="Arial" w:hAnsi="Arial"/>
        </w:rPr>
      </w:pPr>
      <w:r>
        <w:rPr>
          <w:rFonts w:ascii="Arial" w:hAnsi="Arial"/>
          <w:sz w:val="24"/>
          <w:szCs w:val="24"/>
        </w:rPr>
        <w:t>02. mjesec 2013. – sklopili ugovor s video2brain (online tečajevi web dizajna i programiranja, dostupni na engleskom, francuskom, španjolskom i njemačkom jeziku)</w:t>
      </w:r>
    </w:p>
    <w:p>
      <w:pPr>
        <w:pStyle w:val="ListParagraph"/>
        <w:numPr>
          <w:ilvl w:val="0"/>
          <w:numId w:val="7"/>
        </w:numPr>
        <w:rPr>
          <w:rFonts w:ascii="Arial" w:hAnsi="Arial"/>
        </w:rPr>
      </w:pPr>
      <w:r>
        <w:rPr>
          <w:rFonts w:ascii="Arial" w:hAnsi="Arial"/>
          <w:sz w:val="24"/>
          <w:szCs w:val="24"/>
        </w:rPr>
        <w:t>Od 2013. zapošljavaju preko 500 zaposlenika i 140 učitelja</w:t>
      </w:r>
    </w:p>
    <w:p>
      <w:pPr>
        <w:pStyle w:val="ListParagraph"/>
        <w:numPr>
          <w:ilvl w:val="0"/>
          <w:numId w:val="7"/>
        </w:numPr>
        <w:rPr>
          <w:rFonts w:ascii="Arial" w:hAnsi="Arial"/>
        </w:rPr>
      </w:pPr>
      <w:r>
        <w:rPr>
          <w:rFonts w:ascii="Arial" w:hAnsi="Arial"/>
          <w:sz w:val="24"/>
          <w:szCs w:val="24"/>
        </w:rPr>
        <w:t>07.04.2014. – kupljen Compilr</w:t>
      </w:r>
    </w:p>
    <w:p>
      <w:pPr>
        <w:pStyle w:val="ListParagraph"/>
        <w:numPr>
          <w:ilvl w:val="0"/>
          <w:numId w:val="7"/>
        </w:numPr>
        <w:rPr>
          <w:rFonts w:ascii="Arial" w:hAnsi="Arial"/>
        </w:rPr>
      </w:pPr>
      <w:r>
        <w:rPr>
          <w:rFonts w:ascii="Arial" w:hAnsi="Arial"/>
          <w:sz w:val="24"/>
          <w:szCs w:val="24"/>
        </w:rPr>
        <w:t>14.01.2015. – objavljeno je da su dobili ulog od $186 milijuna od TPG Capital</w:t>
      </w:r>
    </w:p>
    <w:p>
      <w:pPr>
        <w:pStyle w:val="ListParagraph"/>
        <w:numPr>
          <w:ilvl w:val="0"/>
          <w:numId w:val="7"/>
        </w:numPr>
        <w:rPr>
          <w:rFonts w:ascii="Arial" w:hAnsi="Arial"/>
        </w:rPr>
      </w:pPr>
      <w:r>
        <w:rPr>
          <w:rFonts w:ascii="Arial" w:hAnsi="Arial"/>
          <w:sz w:val="24"/>
          <w:szCs w:val="24"/>
        </w:rPr>
        <w:t>14.05.2015. LinkedIn kupuje Lynda.com za $1.5 bilijun (Postaje „</w:t>
      </w:r>
      <w:r>
        <w:rPr>
          <w:rFonts w:ascii="Arial" w:hAnsi="Arial"/>
          <w:i/>
          <w:sz w:val="24"/>
          <w:szCs w:val="24"/>
        </w:rPr>
        <w:t>Lynda.com, a LinkedIn Company“</w:t>
      </w:r>
      <w:r>
        <w:rPr>
          <w:rFonts w:ascii="Arial" w:hAnsi="Arial"/>
          <w:sz w:val="24"/>
          <w:szCs w:val="24"/>
        </w:rPr>
        <w:t>)</w:t>
      </w:r>
    </w:p>
    <w:p>
      <w:pPr>
        <w:pStyle w:val="ListParagraph"/>
        <w:numPr>
          <w:ilvl w:val="0"/>
          <w:numId w:val="7"/>
        </w:numPr>
        <w:rPr>
          <w:rFonts w:ascii="Arial" w:hAnsi="Arial"/>
        </w:rPr>
      </w:pPr>
      <w:r>
        <w:rPr>
          <w:rFonts w:ascii="Arial" w:hAnsi="Arial"/>
          <w:sz w:val="24"/>
          <w:szCs w:val="24"/>
        </w:rPr>
        <w:t>Početkom 2016. godine, počeli su emitirati tečajeve na njihovoj Apple TV aplikaciji</w:t>
      </w:r>
    </w:p>
    <w:p>
      <w:pPr>
        <w:pStyle w:val="ListParagraph"/>
        <w:numPr>
          <w:ilvl w:val="0"/>
          <w:numId w:val="7"/>
        </w:numPr>
        <w:rPr>
          <w:rFonts w:ascii="Arial" w:hAnsi="Arial"/>
        </w:rPr>
      </w:pPr>
      <w:r>
        <w:rPr>
          <w:rFonts w:ascii="Arial" w:hAnsi="Arial"/>
          <w:sz w:val="24"/>
          <w:szCs w:val="24"/>
        </w:rPr>
        <w:t>08.12.2016. Microsoft kupuje LinkedIn, nadređenu tvrtku za $26,2 milijarde</w:t>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r>
        <mc:AlternateContent>
          <mc:Choice Requires="wps">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3238500" cy="1680210"/>
                <wp:effectExtent l="0" t="0" r="0" b="0"/>
                <wp:wrapTopAndBottom/>
                <wp:docPr id="7" name="Frame3"/>
                <a:graphic xmlns:a="http://schemas.openxmlformats.org/drawingml/2006/main">
                  <a:graphicData uri="http://schemas.microsoft.com/office/word/2010/wordprocessingShape">
                    <wps:wsp>
                      <wps:cNvSpPr txBox="1"/>
                      <wps:spPr>
                        <a:xfrm>
                          <a:off x="0" y="0"/>
                          <a:ext cx="3238500" cy="1680210"/>
                        </a:xfrm>
                        <a:prstGeom prst="rect"/>
                      </wps:spPr>
                      <wps:txbx>
                        <w:txbxContent>
                          <w:p>
                            <w:pPr>
                              <w:pStyle w:val="Slika"/>
                              <w:spacing w:before="120" w:after="120"/>
                              <w:rPr/>
                            </w:pPr>
                            <w:r>
                              <w:rPr/>
                              <w:drawing>
                                <wp:inline distT="0" distB="0" distL="0" distR="0">
                                  <wp:extent cx="3238500" cy="1428750"/>
                                  <wp:effectExtent l="0" t="0" r="0" b="0"/>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4"/>
                                          <a:stretch>
                                            <a:fillRect/>
                                          </a:stretch>
                                        </pic:blipFill>
                                        <pic:spPr bwMode="auto">
                                          <a:xfrm>
                                            <a:off x="0" y="0"/>
                                            <a:ext cx="3238500" cy="1428750"/>
                                          </a:xfrm>
                                          <a:prstGeom prst="rect">
                                            <a:avLst/>
                                          </a:prstGeom>
                                        </pic:spPr>
                                      </pic:pic>
                                    </a:graphicData>
                                  </a:graphic>
                                </wp:inline>
                              </w:drawing>
                            </w:r>
                            <w:r>
                              <w:rPr/>
                              <w:br/>
                              <w:t xml:space="preserve">Slika </w:t>
                            </w:r>
                            <w:r>
                              <w:rPr/>
                              <w:fldChar w:fldCharType="begin"/>
                            </w:r>
                            <w:r>
                              <w:instrText> SEQ Slika \* ARABIC </w:instrText>
                            </w:r>
                            <w:r>
                              <w:fldChar w:fldCharType="separate"/>
                            </w:r>
                            <w:r>
                              <w:t>3</w:t>
                            </w:r>
                            <w:r>
                              <w:fldChar w:fldCharType="end"/>
                            </w:r>
                            <w:r>
                              <w:rPr/>
                              <w:t xml:space="preserve">: Posjećenost </w:t>
                            </w:r>
                            <w:r>
                              <w:rPr/>
                              <w:t>P</w:t>
                            </w:r>
                            <w:r>
                              <w:rPr/>
                              <w:t>luralsight web stranice</w:t>
                            </w:r>
                          </w:p>
                        </w:txbxContent>
                      </wps:txbx>
                      <wps:bodyPr anchor="t" lIns="0" tIns="0" rIns="0" bIns="0">
                        <a:noAutofit/>
                      </wps:bodyPr>
                    </wps:wsp>
                  </a:graphicData>
                </a:graphic>
              </wp:anchor>
            </w:drawing>
          </mc:Choice>
          <mc:Fallback>
            <w:pict>
              <v:rect style="position:absolute;rotation:0;width:255pt;height:132.3pt;mso-wrap-distance-left:0pt;mso-wrap-distance-right:0pt;mso-wrap-distance-top:0pt;mso-wrap-distance-bottom:0pt;margin-top:0pt;mso-position-vertical:top;mso-position-vertical-relative:text;margin-left:113.45pt;mso-position-horizontal:center;mso-position-horizontal-relative:text">
                <v:textbox inset="0in,0in,0in,0in">
                  <w:txbxContent>
                    <w:p>
                      <w:pPr>
                        <w:pStyle w:val="Slika"/>
                        <w:spacing w:before="120" w:after="120"/>
                        <w:rPr/>
                      </w:pPr>
                      <w:r>
                        <w:rPr/>
                        <w:drawing>
                          <wp:inline distT="0" distB="0" distL="0" distR="0">
                            <wp:extent cx="3238500" cy="1428750"/>
                            <wp:effectExtent l="0" t="0" r="0" b="0"/>
                            <wp:docPr id="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descr=""/>
                                    <pic:cNvPicPr>
                                      <a:picLocks noChangeAspect="1" noChangeArrowheads="1"/>
                                    </pic:cNvPicPr>
                                  </pic:nvPicPr>
                                  <pic:blipFill>
                                    <a:blip r:embed="rId4"/>
                                    <a:stretch>
                                      <a:fillRect/>
                                    </a:stretch>
                                  </pic:blipFill>
                                  <pic:spPr bwMode="auto">
                                    <a:xfrm>
                                      <a:off x="0" y="0"/>
                                      <a:ext cx="3238500" cy="1428750"/>
                                    </a:xfrm>
                                    <a:prstGeom prst="rect">
                                      <a:avLst/>
                                    </a:prstGeom>
                                  </pic:spPr>
                                </pic:pic>
                              </a:graphicData>
                            </a:graphic>
                          </wp:inline>
                        </w:drawing>
                      </w:r>
                      <w:r>
                        <w:rPr/>
                        <w:br/>
                        <w:t xml:space="preserve">Slika </w:t>
                      </w:r>
                      <w:r>
                        <w:rPr/>
                        <w:fldChar w:fldCharType="begin"/>
                      </w:r>
                      <w:r>
                        <w:instrText> SEQ Slika \* ARABIC </w:instrText>
                      </w:r>
                      <w:r>
                        <w:fldChar w:fldCharType="separate"/>
                      </w:r>
                      <w:r>
                        <w:t>3</w:t>
                      </w:r>
                      <w:r>
                        <w:fldChar w:fldCharType="end"/>
                      </w:r>
                      <w:r>
                        <w:rPr/>
                        <w:t xml:space="preserve">: Posjećenost </w:t>
                      </w:r>
                      <w:r>
                        <w:rPr/>
                        <w:t>P</w:t>
                      </w:r>
                      <w:r>
                        <w:rPr/>
                        <w:t>luralsight web stranice</w:t>
                      </w:r>
                    </w:p>
                  </w:txbxContent>
                </v:textbox>
                <w10:wrap type="topAndBottom"/>
              </v:rect>
            </w:pict>
          </mc:Fallback>
        </mc:AlternateContent>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r>
        <mc:AlternateContent>
          <mc:Choice Requires="wps">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3238500" cy="1680210"/>
                <wp:effectExtent l="0" t="0" r="0" b="0"/>
                <wp:wrapSquare wrapText="largest"/>
                <wp:docPr id="10" name="Frame4"/>
                <a:graphic xmlns:a="http://schemas.openxmlformats.org/drawingml/2006/main">
                  <a:graphicData uri="http://schemas.microsoft.com/office/word/2010/wordprocessingShape">
                    <wps:wsp>
                      <wps:cNvSpPr txBox="1"/>
                      <wps:spPr>
                        <a:xfrm>
                          <a:off x="0" y="0"/>
                          <a:ext cx="3238500" cy="1680210"/>
                        </a:xfrm>
                        <a:prstGeom prst="rect"/>
                      </wps:spPr>
                      <wps:txbx>
                        <w:txbxContent>
                          <w:p>
                            <w:pPr>
                              <w:pStyle w:val="Slika"/>
                              <w:spacing w:before="120" w:after="120"/>
                              <w:rPr/>
                            </w:pPr>
                            <w:r>
                              <w:rPr/>
                              <w:drawing>
                                <wp:inline distT="0" distB="0" distL="0" distR="0">
                                  <wp:extent cx="3238500" cy="1428750"/>
                                  <wp:effectExtent l="0" t="0" r="0" b="0"/>
                                  <wp:docPr id="1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pic:cNvPicPr>
                                            <a:picLocks noChangeAspect="1" noChangeArrowheads="1"/>
                                          </pic:cNvPicPr>
                                        </pic:nvPicPr>
                                        <pic:blipFill>
                                          <a:blip r:embed="rId5"/>
                                          <a:stretch>
                                            <a:fillRect/>
                                          </a:stretch>
                                        </pic:blipFill>
                                        <pic:spPr bwMode="auto">
                                          <a:xfrm>
                                            <a:off x="0" y="0"/>
                                            <a:ext cx="3238500" cy="1428750"/>
                                          </a:xfrm>
                                          <a:prstGeom prst="rect">
                                            <a:avLst/>
                                          </a:prstGeom>
                                        </pic:spPr>
                                      </pic:pic>
                                    </a:graphicData>
                                  </a:graphic>
                                </wp:inline>
                              </w:drawing>
                            </w:r>
                            <w:r>
                              <w:rPr/>
                              <w:br/>
                              <w:t xml:space="preserve">Slika </w:t>
                            </w:r>
                            <w:r>
                              <w:rPr/>
                              <w:fldChar w:fldCharType="begin"/>
                            </w:r>
                            <w:r>
                              <w:instrText> SEQ Slika \* ARABIC </w:instrText>
                            </w:r>
                            <w:r>
                              <w:fldChar w:fldCharType="separate"/>
                            </w:r>
                            <w:r>
                              <w:t>4</w:t>
                            </w:r>
                            <w:r>
                              <w:fldChar w:fldCharType="end"/>
                            </w:r>
                            <w:r>
                              <w:rPr/>
                              <w:t>: Posjećenost Lynda web stranice</w:t>
                            </w:r>
                          </w:p>
                        </w:txbxContent>
                      </wps:txbx>
                      <wps:bodyPr anchor="t" lIns="0" tIns="0" rIns="0" bIns="0">
                        <a:noAutofit/>
                      </wps:bodyPr>
                    </wps:wsp>
                  </a:graphicData>
                </a:graphic>
              </wp:anchor>
            </w:drawing>
          </mc:Choice>
          <mc:Fallback>
            <w:pict>
              <v:rect style="position:absolute;rotation:0;width:255pt;height:132.3pt;mso-wrap-distance-left:0pt;mso-wrap-distance-right:0pt;mso-wrap-distance-top:0pt;mso-wrap-distance-bottom:0pt;margin-top:0pt;mso-position-vertical:top;mso-position-vertical-relative:text;margin-left:113.45pt;mso-position-horizontal:center;mso-position-horizontal-relative:text">
                <v:textbox inset="0in,0in,0in,0in">
                  <w:txbxContent>
                    <w:p>
                      <w:pPr>
                        <w:pStyle w:val="Slika"/>
                        <w:spacing w:before="120" w:after="120"/>
                        <w:rPr/>
                      </w:pPr>
                      <w:r>
                        <w:rPr/>
                        <w:drawing>
                          <wp:inline distT="0" distB="0" distL="0" distR="0">
                            <wp:extent cx="3238500" cy="1428750"/>
                            <wp:effectExtent l="0" t="0" r="0" b="0"/>
                            <wp:docPr id="1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pic:cNvPicPr>
                                      <a:picLocks noChangeAspect="1" noChangeArrowheads="1"/>
                                    </pic:cNvPicPr>
                                  </pic:nvPicPr>
                                  <pic:blipFill>
                                    <a:blip r:embed="rId5"/>
                                    <a:stretch>
                                      <a:fillRect/>
                                    </a:stretch>
                                  </pic:blipFill>
                                  <pic:spPr bwMode="auto">
                                    <a:xfrm>
                                      <a:off x="0" y="0"/>
                                      <a:ext cx="3238500" cy="1428750"/>
                                    </a:xfrm>
                                    <a:prstGeom prst="rect">
                                      <a:avLst/>
                                    </a:prstGeom>
                                  </pic:spPr>
                                </pic:pic>
                              </a:graphicData>
                            </a:graphic>
                          </wp:inline>
                        </w:drawing>
                      </w:r>
                      <w:r>
                        <w:rPr/>
                        <w:br/>
                        <w:t xml:space="preserve">Slika </w:t>
                      </w:r>
                      <w:r>
                        <w:rPr/>
                        <w:fldChar w:fldCharType="begin"/>
                      </w:r>
                      <w:r>
                        <w:instrText> SEQ Slika \* ARABIC </w:instrText>
                      </w:r>
                      <w:r>
                        <w:fldChar w:fldCharType="separate"/>
                      </w:r>
                      <w:r>
                        <w:t>4</w:t>
                      </w:r>
                      <w:r>
                        <w:fldChar w:fldCharType="end"/>
                      </w:r>
                      <w:r>
                        <w:rPr/>
                        <w:t>: Posjećenost Lynda web stranice</w:t>
                      </w:r>
                    </w:p>
                  </w:txbxContent>
                </v:textbox>
                <w10:wrap type="square" side="largest"/>
              </v:rect>
            </w:pict>
          </mc:Fallback>
        </mc:AlternateContent>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Normal"/>
        <w:rPr>
          <w:rFonts w:ascii="Arial" w:hAnsi="Arial"/>
          <w:sz w:val="24"/>
          <w:szCs w:val="24"/>
        </w:rPr>
      </w:pPr>
      <w:r>
        <w:rPr>
          <w:rFonts w:ascii="Arial" w:hAnsi="Arial"/>
          <w:sz w:val="24"/>
          <w:szCs w:val="24"/>
        </w:rPr>
      </w:r>
    </w:p>
    <w:p>
      <w:pPr>
        <w:pStyle w:val="Heading1"/>
        <w:numPr>
          <w:ilvl w:val="0"/>
          <w:numId w:val="1"/>
        </w:numPr>
        <w:ind w:left="0" w:hanging="0"/>
        <w:rPr>
          <w:rFonts w:ascii="Arial" w:hAnsi="Arial"/>
        </w:rPr>
      </w:pPr>
      <w:r>
        <w:rPr>
          <w:rFonts w:ascii="Arial" w:hAnsi="Arial"/>
        </w:rPr>
      </w:r>
    </w:p>
    <w:p>
      <w:pPr>
        <w:pStyle w:val="Heading1"/>
        <w:numPr>
          <w:ilvl w:val="0"/>
          <w:numId w:val="1"/>
        </w:numPr>
        <w:ind w:left="0" w:hanging="0"/>
        <w:rPr>
          <w:rFonts w:ascii="Arial" w:hAnsi="Arial"/>
        </w:rPr>
      </w:pPr>
      <w:r>
        <w:rPr>
          <w:rFonts w:ascii="Arial" w:hAnsi="Arial"/>
        </w:rPr>
      </w:r>
    </w:p>
    <w:p>
      <w:pPr>
        <w:pStyle w:val="Heading1"/>
        <w:widowControl/>
        <w:numPr>
          <w:ilvl w:val="0"/>
          <w:numId w:val="0"/>
        </w:numPr>
        <w:ind w:left="0" w:hanging="0"/>
        <w:jc w:val="left"/>
        <w:outlineLvl w:val="0"/>
        <w:rPr>
          <w:rFonts w:ascii="Arial" w:hAnsi="Arial"/>
        </w:rPr>
      </w:pPr>
      <w:r>
        <w:rPr>
          <w:rFonts w:ascii="Arial" w:hAnsi="Arial"/>
        </w:rPr>
      </w:r>
      <w:r>
        <w:br w:type="page"/>
      </w:r>
    </w:p>
    <w:p>
      <w:pPr>
        <w:pStyle w:val="Heading1"/>
        <w:numPr>
          <w:ilvl w:val="0"/>
          <w:numId w:val="1"/>
        </w:numPr>
        <w:ind w:left="0" w:hanging="0"/>
        <w:rPr>
          <w:rFonts w:ascii="Arial" w:hAnsi="Arial"/>
        </w:rPr>
      </w:pPr>
      <w:r>
        <w:rPr>
          <w:rFonts w:ascii="Arial" w:hAnsi="Arial"/>
        </w:rPr>
        <w:t>6. Marketinško okruženje</w:t>
      </w:r>
    </w:p>
    <w:p>
      <w:pPr>
        <w:pStyle w:val="Normal"/>
        <w:rPr>
          <w:rFonts w:ascii="Arial" w:hAnsi="Arial"/>
        </w:rPr>
      </w:pPr>
      <w:r>
        <w:rPr>
          <w:rFonts w:ascii="Arial" w:hAnsi="Arial"/>
        </w:rPr>
      </w:r>
    </w:p>
    <w:p>
      <w:pPr>
        <w:pStyle w:val="Heading2"/>
        <w:rPr>
          <w:rFonts w:ascii="Arial" w:hAnsi="Arial"/>
        </w:rPr>
      </w:pPr>
      <w:r>
        <w:rPr>
          <w:rFonts w:ascii="Arial" w:hAnsi="Arial"/>
        </w:rPr>
        <w:t>6.1 Makro okruženje</w:t>
      </w:r>
    </w:p>
    <w:p>
      <w:pPr>
        <w:pStyle w:val="Normal"/>
        <w:rPr>
          <w:rFonts w:ascii="Arial" w:hAnsi="Arial"/>
        </w:rPr>
      </w:pPr>
      <w:r>
        <w:rPr>
          <w:rFonts w:ascii="Arial" w:hAnsi="Arial"/>
        </w:rPr>
      </w:r>
    </w:p>
    <w:p>
      <w:pPr>
        <w:pStyle w:val="Normal"/>
        <w:rPr>
          <w:rFonts w:ascii="Arial" w:hAnsi="Arial"/>
          <w:lang w:val="hr-HR"/>
        </w:rPr>
      </w:pPr>
      <w:r>
        <w:rPr>
          <w:rFonts w:ascii="Arial" w:hAnsi="Arial"/>
          <w:sz w:val="24"/>
          <w:szCs w:val="24"/>
          <w:lang w:val="hr-HR"/>
        </w:rPr>
        <w:t>Mnogi su bili skeptični te su smatrali da će se dovođenjem računala u učionice maknuti ljudski faktor koji je potreban u objašnjavanju i razumijevanju lekcija. Razvojem tehnologija, prihvaćanjem pametnih telefona u učionicama i uredima, korištenjem bogatstva koje pruža učenje na daljinu te sve većom informatičkom pismenošću čovjeka, postaje sve veća potreba za e-učenjem te se događa rapidan razv</w:t>
      </w:r>
      <w:bookmarkStart w:id="0" w:name="_GoBack"/>
      <w:bookmarkEnd w:id="0"/>
      <w:r>
        <w:rPr>
          <w:rFonts w:ascii="Arial" w:hAnsi="Arial"/>
          <w:sz w:val="24"/>
          <w:szCs w:val="24"/>
          <w:lang w:val="hr-HR"/>
        </w:rPr>
        <w:t xml:space="preserve">oj takvog načina učenja. Uporabom stranica poput Pluralsighta i Lynda.com, može se s lakoćom učiti iz udobnosti vlastitog doma. </w:t>
      </w:r>
    </w:p>
    <w:p>
      <w:pPr>
        <w:pStyle w:val="Normal"/>
        <w:rPr>
          <w:sz w:val="24"/>
          <w:szCs w:val="24"/>
        </w:rPr>
      </w:pPr>
      <w:r>
        <w:rPr>
          <w:rFonts w:ascii="Arial" w:hAnsi="Arial"/>
          <w:lang w:val="hr-HR"/>
        </w:rPr>
      </w:r>
    </w:p>
    <w:p>
      <w:pPr>
        <w:pStyle w:val="Heading2"/>
        <w:spacing w:before="240" w:after="120"/>
        <w:rPr>
          <w:rFonts w:ascii="Arial" w:hAnsi="Arial"/>
          <w:lang w:val="hr-HR"/>
        </w:rPr>
      </w:pPr>
      <w:r>
        <w:rPr>
          <w:rFonts w:ascii="Arial" w:hAnsi="Arial"/>
          <w:lang w:val="hr-HR"/>
        </w:rPr>
        <w:t>6.2 Mikro okruženje</w:t>
      </w:r>
    </w:p>
    <w:sectPr>
      <w:type w:val="nextPage"/>
      <w:pgSz w:w="11906" w:h="16838"/>
      <w:pgMar w:left="1134" w:right="1134" w:header="0" w:top="1134" w:footer="0" w:bottom="1134"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3">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szCs w:val="24"/>
        <w:lang w:val="hr-HR" w:eastAsia="zh-CN" w:bidi="hi-IN"/>
      </w:rPr>
    </w:rPrDefault>
    <w:pPrDefault>
      <w:pPr/>
    </w:pPrDefault>
  </w:docDefaults>
  <w:style w:type="paragraph" w:styleId="Normal">
    <w:name w:val="Normal"/>
    <w:qFormat/>
    <w:pPr>
      <w:widowControl/>
      <w:bidi w:val="0"/>
      <w:jc w:val="left"/>
    </w:pPr>
    <w:rPr>
      <w:rFonts w:ascii="Liberation Serif" w:hAnsi="Liberation Serif" w:eastAsia="Noto Sans CJK SC Regular" w:cs="FreeSans"/>
      <w:color w:val="00000A"/>
      <w:sz w:val="24"/>
      <w:szCs w:val="24"/>
      <w:lang w:eastAsia="zh-CN" w:bidi="hi-IN" w:val="hr-HR"/>
    </w:rPr>
  </w:style>
  <w:style w:type="paragraph" w:styleId="Heading1">
    <w:name w:val="Heading 1"/>
    <w:basedOn w:val="Heading"/>
    <w:qFormat/>
    <w:pPr>
      <w:numPr>
        <w:ilvl w:val="0"/>
        <w:numId w:val="1"/>
      </w:numPr>
      <w:spacing w:before="240" w:after="120"/>
      <w:ind w:left="0" w:hanging="0"/>
      <w:outlineLvl w:val="0"/>
      <w:outlineLvl w:val="0"/>
    </w:pPr>
    <w:rPr>
      <w:b/>
      <w:bCs/>
      <w:sz w:val="36"/>
      <w:szCs w:val="36"/>
    </w:rPr>
  </w:style>
  <w:style w:type="paragraph" w:styleId="Heading2">
    <w:name w:val="Heading 2"/>
    <w:basedOn w:val="Heading"/>
    <w:qFormat/>
    <w:pPr/>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lika">
    <w:name w:val="Slika"/>
    <w:basedOn w:val="Caption"/>
    <w:qFormat/>
    <w:pPr/>
    <w:rPr/>
  </w:style>
  <w:style w:type="paragraph" w:styleId="ListParagraph">
    <w:name w:val="List Paragraph"/>
    <w:basedOn w:val="Normal"/>
    <w:qFormat/>
    <w:pPr>
      <w:spacing w:before="0" w:after="160"/>
      <w:ind w:left="720" w:hanging="0"/>
      <w:contextualSpacing/>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184</TotalTime>
  <Application>LibreOffice/5.1.4.2$Linux_X86_64 LibreOffice_project/f99d75f39f1c57ebdd7ffc5f42867c12031db97a</Application>
  <Pages>8</Pages>
  <Words>1094</Words>
  <Characters>6170</Characters>
  <CharactersWithSpaces>7193</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2017-02-05T18:21:15Z</dcterms:created>
  <dc:creator/>
  <dc:description/>
  <dc:language>en-US</dc:language>
  <cp:lastModifiedBy/>
  <dcterms:modified xsi:type="dcterms:W3CDTF">2017-02-07T00:57:54Z</dcterms:modified>
  <cp:revision>38</cp:revision>
  <dc:subject/>
  <dc:title/>
</cp:coreProperties>
</file>