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4.png" ContentType="image/png"/>
  <Override PartName="/word/media/rId46.png" ContentType="image/png"/>
  <Override PartName="/word/media/rId49.png" ContentType="image/png"/>
  <Override PartName="/word/media/rId26.png" ContentType="image/png"/>
  <Override PartName="/word/media/rId66.png" ContentType="image/png"/>
  <Override PartName="/word/media/rId3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IAM</w:t>
      </w:r>
      <w:r>
        <w:t xml:space="preserve"> </w:t>
      </w:r>
      <w:r>
        <w:t xml:space="preserve">Reference</w:t>
      </w:r>
      <w:r>
        <w:t xml:space="preserve"> </w:t>
      </w:r>
      <w:r>
        <w:t xml:space="preserve">Architecture</w:t>
      </w:r>
      <w:r>
        <w:t xml:space="preserve"> </w:t>
      </w:r>
      <w:r>
        <w:t xml:space="preserve">Model</w:t>
      </w:r>
    </w:p>
    <w:p>
      <w:pPr>
        <w:pStyle w:val="Author"/>
      </w:pPr>
      <w:r>
        <w:t xml:space="preserve">George</w:t>
      </w:r>
      <w:r>
        <w:t xml:space="preserve"> </w:t>
      </w:r>
      <w:r>
        <w:t xml:space="preserve">B.</w:t>
      </w:r>
      <w:r>
        <w:t xml:space="preserve"> </w:t>
      </w:r>
      <w:r>
        <w:t xml:space="preserve">Dobbs</w:t>
      </w:r>
    </w:p>
    <w:p>
      <w:pPr>
        <w:pStyle w:val="Heading1"/>
      </w:pPr>
      <w:bookmarkStart w:id="20" w:name="abstract"/>
      <w:r>
        <w:t xml:space="preserve">Abstract</w:t>
      </w:r>
      <w:bookmarkEnd w:id="20"/>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Heading1"/>
      </w:pPr>
      <w:bookmarkStart w:id="21" w:name="introduction"/>
      <w:r>
        <w:t xml:space="preserve">Introduction</w:t>
      </w:r>
      <w:bookmarkEnd w:id="21"/>
    </w:p>
    <w:p>
      <w:pPr>
        <w:pStyle w:val="FirstParagraph"/>
      </w:pPr>
      <w:r>
        <w:t xml:space="preserve">It has been said that all models are wrong but some are useful.[Wikipedia - all models] This model attempts to find a level of generality that is broadly useful. Too general, and the model becomes untethered to reality and definitely not useful. Too specific, and the model will only work in some cases.</w:t>
      </w:r>
    </w:p>
    <w:p>
      <w:pPr>
        <w:pStyle w:val="BodyText"/>
      </w:pPr>
      <w:r>
        <w:t xml:space="preserve">The model has a technical slant, but it necessarily touches on some of the process, legal, and capability dimensions as well. This is intended to give the reader a set of concepts that can be applied when thinking about identity and access management.</w:t>
      </w:r>
    </w:p>
    <w:p>
      <w:pPr>
        <w:pStyle w:val="BodyText"/>
      </w:pPr>
      <w:r>
        <w:t xml:space="preserve">The model is based on the idea that the management of identities and access can (mostly) be separated from their use. This concept can apply to distributed systems as well as self-contained systems. So when you see IAM working together with, say, an application it may mean that these are separate physical systems or it could mean these parts are separate pieces of software running on a single system.</w:t>
      </w:r>
    </w:p>
    <w:p>
      <w:pPr>
        <w:pStyle w:val="BodyText"/>
      </w:pPr>
      <w:r>
        <w:t xml:space="preserve">The main goal of this article is allow consistent discussion of more specific use-cases.</w:t>
      </w:r>
    </w:p>
    <w:p>
      <w:pPr>
        <w:pStyle w:val="BodyText"/>
      </w:pPr>
      <w:r>
        <w:t xml:space="preserve">The model started with the ISO/IEC framing [ISO/IEC 24760-1][ISO/IEC 24760-2]. The UML detail was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original definition.</w:t>
      </w:r>
    </w:p>
    <w:p>
      <w:pPr>
        <w:pStyle w:val="BodyText"/>
      </w:pPr>
      <w:r>
        <w:t xml:space="preserve">In an attempt to adopt the most useful terminology, the model has been reviewed in conjunction with the [FICAM], [Internet 2], [NIST SP-800-63 definitions], [NIST Zero Trust frameworks], and with the Identity Stack presented at Identiverse 2019.</w:t>
      </w:r>
    </w:p>
    <w:p>
      <w:pPr>
        <w:pStyle w:val="BodyText"/>
      </w:pPr>
      <w:r>
        <w:t xml:space="preserve">The model can be used at different levels. Here are a couple of examples:</w:t>
      </w:r>
    </w:p>
    <w:p>
      <w:pPr>
        <w:pStyle w:val="Heading2"/>
      </w:pPr>
      <w:bookmarkStart w:id="22" w:name="example-1-distributed-systems"/>
      <w:r>
        <w:t xml:space="preserve">Example 1: Distributed Systems</w:t>
      </w:r>
      <w:bookmarkEnd w:id="22"/>
    </w:p>
    <w:p>
      <w:pPr>
        <w:pStyle w:val="FirstParagraph"/>
      </w:pPr>
      <w:r>
        <w:t xml:space="preserve">A modern architecture may have a web-hosted application (the RP) which relies on a cloud identity service (the Identity Provider). The RP in this case could be a customer facing application or a workforce facing application.</w:t>
      </w:r>
    </w:p>
    <w:p>
      <w:pPr>
        <w:pStyle w:val="Heading2"/>
      </w:pPr>
      <w:bookmarkStart w:id="23" w:name="example-2-single-system"/>
      <w:r>
        <w:t xml:space="preserve">Example 2: Single System</w:t>
      </w:r>
      <w:bookmarkEnd w:id="23"/>
    </w:p>
    <w:p>
      <w:pPr>
        <w:pStyle w:val="FirstParagraph"/>
      </w:pPr>
      <w:r>
        <w:t xml:space="preserve">A computer’s file system (the RP) provides access control based on the user information acquired at login (the IDP). In this case both the file system and the identity management function are encapsulated in an operating system.</w:t>
      </w:r>
    </w:p>
    <w:p>
      <w:pPr>
        <w:pStyle w:val="Heading1"/>
      </w:pPr>
      <w:bookmarkStart w:id="24" w:name="terminology"/>
      <w:r>
        <w:t xml:space="preserve">Terminology</w:t>
      </w:r>
      <w:bookmarkEnd w:id="24"/>
    </w:p>
    <w:p>
      <w:pPr>
        <w:pStyle w:val="FirstParagraph"/>
      </w:pPr>
      <w:r>
        <w:t xml:space="preserve">The terms are defined below. Those with a ✓ mark are the abstract components that comprise the model.</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Access Control</w:t>
            </w:r>
          </w:p>
        </w:tc>
        <w:tc>
          <w:p>
            <w:pPr>
              <w:pStyle w:val="Compact"/>
              <w:jc w:val="left"/>
            </w:pPr>
            <w:r>
              <w:t xml:space="preserve">Various methods to limit access to data, systems, services, resources, locations by a user, a device or thing, or a service.</w:t>
            </w:r>
          </w:p>
        </w:tc>
      </w:tr>
      <w:tr>
        <w:tc>
          <w:p>
            <w:pPr>
              <w:pStyle w:val="Compact"/>
              <w:jc w:val="left"/>
            </w:pPr>
            <w:r>
              <w:t xml:space="preserve">✓</w:t>
            </w: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t xml:space="preserve">✓</w:t>
            </w:r>
            <w:r>
              <w:rPr>
                <w:b/>
              </w:rPr>
              <w:t xml:space="preserve">Access Management</w:t>
            </w:r>
          </w:p>
        </w:tc>
        <w:tc>
          <w:p>
            <w:pPr>
              <w:pStyle w:val="Compact"/>
              <w:jc w:val="left"/>
            </w:pPr>
            <w:r>
              <w:t xml:space="preserve">This is a convenience grouping. It consists of the part of Authorization that is external to the relying party, and the Access Governance function.</w:t>
            </w:r>
          </w:p>
        </w:tc>
      </w:tr>
      <w:tr>
        <w:tc>
          <w:p>
            <w:pPr>
              <w:pStyle w:val="Compact"/>
              <w:jc w:val="left"/>
            </w:pPr>
            <w:r>
              <w:rPr>
                <w:b/>
              </w:rPr>
              <w:t xml:space="preserve">Assertion</w:t>
            </w:r>
          </w:p>
        </w:tc>
        <w:tc>
          <w:p>
            <w:pPr>
              <w:pStyle w:val="Compact"/>
              <w:jc w:val="left"/>
            </w:pPr>
            <w:r>
              <w:t xml:space="preserve">A formal message or token that conveys information about a principal, typically including a level of assurance about an authentication event and sometimes additional attribute information. Sometimes this is called a Security Token.</w:t>
            </w:r>
          </w:p>
        </w:tc>
      </w:tr>
      <w:tr>
        <w:tc>
          <w:p>
            <w:pPr>
              <w:pStyle w:val="Compact"/>
              <w:jc w:val="left"/>
            </w:pPr>
            <w:r>
              <w:t xml:space="preserve">✓</w:t>
            </w:r>
            <w:r>
              <w:rPr>
                <w:b/>
              </w:rPr>
              <w:t xml:space="preserve">Attribute Provider</w:t>
            </w:r>
          </w:p>
        </w:tc>
        <w:tc>
          <w:p>
            <w:pPr>
              <w:pStyle w:val="Compact"/>
              <w:jc w:val="left"/>
            </w:pPr>
            <w:r>
              <w:t xml:space="preserve">Sometimes the authority for attributes is distinguished from the authority for identities. In this case the term Attribute Provider is sometimes used. It is a subset or type of an Identity Information Authority.</w:t>
            </w:r>
          </w:p>
        </w:tc>
      </w:tr>
      <w:tr>
        <w:tc>
          <w:p>
            <w:pPr>
              <w:pStyle w:val="Compact"/>
              <w:jc w:val="left"/>
            </w:pPr>
            <w:r>
              <w:t xml:space="preserve">✓</w:t>
            </w:r>
            <w:r>
              <w:rPr>
                <w:b/>
              </w:rPr>
              <w:t xml:space="preserve">Audit Repository</w:t>
            </w:r>
          </w:p>
        </w:tc>
        <w:tc>
          <w:p>
            <w:pPr>
              <w:pStyle w:val="Compact"/>
              <w:jc w:val="left"/>
            </w:pPr>
            <w:r>
              <w:t xml:space="preserve">A component that stores records about all sorts of events that may be useful later to determine if a) operations are according to policy, support forensic investigations, and allow for pattern analysis. Typically it his highly controlled to prevent tampering. Audit Repository is the ISO name for this concept and is localized to the Identity Management System. In this model it is generalized to support event records from any part of the ecosystem.</w:t>
            </w:r>
          </w:p>
        </w:tc>
      </w:tr>
      <w:tr>
        <w:tc>
          <w:p>
            <w:pPr>
              <w:pStyle w:val="Compact"/>
              <w:jc w:val="left"/>
            </w:pPr>
            <w:r>
              <w:t xml:space="preserve">✓</w:t>
            </w:r>
            <w:r>
              <w:rPr>
                <w:b/>
              </w:rPr>
              <w:t xml:space="preserve">AuthN / Assertion</w:t>
            </w:r>
          </w:p>
        </w:tc>
        <w:tc>
          <w:p>
            <w:pPr>
              <w:pStyle w:val="Compact"/>
              <w:jc w:val="left"/>
            </w:pPr>
            <w:r>
              <w:t xml:space="preserve">The act of determining that to a level of assurance the principal/subject is authentic. Depending on the architecture this function may also produce a security token to</w:t>
            </w:r>
            <w:r>
              <w:t xml:space="preserve"> </w:t>
            </w:r>
            <w:r>
              <w:t xml:space="preserve">“</w:t>
            </w:r>
            <w:r>
              <w:t xml:space="preserve">assert</w:t>
            </w:r>
            <w:r>
              <w:t xml:space="preserve">”</w:t>
            </w:r>
            <w:r>
              <w:t xml:space="preserve"> </w:t>
            </w:r>
            <w:r>
              <w:t xml:space="preserve">authentication information securely to the RP.</w:t>
            </w:r>
          </w:p>
        </w:tc>
      </w:tr>
      <w:tr>
        <w:tc>
          <w:p>
            <w:pPr>
              <w:pStyle w:val="Compact"/>
              <w:jc w:val="left"/>
            </w:pPr>
            <w:r>
              <w:t xml:space="preserve">✓</w:t>
            </w:r>
            <w:r>
              <w:rPr>
                <w:b/>
              </w:rPr>
              <w:t xml:space="preserve">Shared or Local Authorization (AuthZ)</w:t>
            </w:r>
          </w:p>
        </w:tc>
        <w:tc>
          <w:p>
            <w:pPr>
              <w:pStyle w:val="Compact"/>
              <w:jc w:val="left"/>
            </w:pPr>
            <w:r>
              <w:t xml:space="preserve">Authorization is how a decision is made at run-time to allow access to a resource. We break this down into two types: shared and local. Local authorization is handled by the RP. Shared authorization is part of the access management grouping. The FICAM framework includes this as a subcomponent of the Access Management System. AuthZ is not included in the ISO or Internet 2 models.</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t xml:space="preserve">✓</w:t>
            </w: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 the credential for use, and subsequently manages the credentials. We include PKI information so the subscriber will include system components that need certificates and private keys. FICAM separates this into a first-class component called Credential Management System,</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also known as to privilege, access right, permission, or an authorization. An entitlement can be implmented in a variety of ways.</w:t>
            </w:r>
          </w:p>
        </w:tc>
      </w:tr>
      <w:tr>
        <w:tc>
          <w:p>
            <w:pPr>
              <w:pStyle w:val="Compact"/>
              <w:jc w:val="left"/>
            </w:pPr>
            <w:r>
              <w:t xml:space="preserve">✓</w:t>
            </w:r>
            <w:r>
              <w:rPr>
                <w:b/>
              </w:rPr>
              <w:t xml:space="preserve">Identity Information Authority (IIA)</w:t>
            </w:r>
          </w:p>
        </w:tc>
        <w:tc>
          <w:p>
            <w:pPr>
              <w:pStyle w:val="Compact"/>
              <w:jc w:val="left"/>
            </w:pPr>
            <w:r>
              <w:t xml:space="preserve">This represents one or more data sources that are used by the IDM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Internet 2.</w:t>
            </w:r>
          </w:p>
        </w:tc>
      </w:tr>
      <w:tr>
        <w:tc>
          <w:p>
            <w:pPr>
              <w:pStyle w:val="Compact"/>
              <w:jc w:val="left"/>
            </w:pPr>
            <w:r>
              <w:t xml:space="preserve">✓</w:t>
            </w:r>
            <w:r>
              <w:rPr>
                <w:b/>
              </w:rPr>
              <w:t xml:space="preserve">Identity Management (IDM)</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includes other data such as meta data to enable interoperability with other components. The IDM is shown with a dotted line to indicate that it is a conceptual grouping of components, not a full fledged system in itself.</w:t>
            </w:r>
          </w:p>
        </w:tc>
      </w:tr>
      <w:tr>
        <w:tc>
          <w:p>
            <w:pPr>
              <w:pStyle w:val="Compact"/>
              <w:jc w:val="left"/>
            </w:pPr>
            <w:r>
              <w:rPr>
                <w:b/>
              </w:rPr>
              <w:t xml:space="preserve">Identity Provider (IDP)</w:t>
            </w:r>
          </w:p>
        </w:tc>
        <w:tc>
          <w:p>
            <w:pPr>
              <w:pStyle w:val="Compact"/>
              <w:jc w:val="left"/>
            </w:pPr>
            <w:r>
              <w:t xml:space="preserve">Identity Provider or IDP is a common term. We treat this as subset of Identity Management. It consists of the service interfaces: AuthN/Assertion, Service Provisioning Agent, Session Mgmt, Discovery services, and Metadata Mgmt.</w:t>
            </w:r>
          </w:p>
        </w:tc>
      </w:tr>
      <w:tr>
        <w:tc>
          <w:p>
            <w:pPr>
              <w:pStyle w:val="Compact"/>
              <w:jc w:val="left"/>
            </w:pPr>
            <w:r>
              <w:t xml:space="preserve">✓</w:t>
            </w:r>
            <w:r>
              <w:rPr>
                <w:b/>
              </w:rPr>
              <w:t xml:space="preserve">Identity Register</w:t>
            </w:r>
          </w:p>
        </w:tc>
        <w:tc>
          <w:p>
            <w:pPr>
              <w:pStyle w:val="Compact"/>
              <w:jc w:val="left"/>
            </w:pPr>
            <w:r>
              <w:t xml:space="preserve">This is the data store that contains the enrolled entities, and their attributes, including credentials. See the IDM section for elaboration. The terms Directory, Identity Repository, and Attribute Store are sometimes used as synonyms.</w:t>
            </w:r>
          </w:p>
        </w:tc>
      </w:tr>
      <w:tr>
        <w:tc>
          <w:p>
            <w:pPr>
              <w:pStyle w:val="Compact"/>
              <w:jc w:val="left"/>
            </w:pPr>
            <w:r>
              <w:t xml:space="preserve">✓</w:t>
            </w:r>
            <w:r>
              <w:rPr>
                <w:b/>
              </w:rPr>
              <w:t xml:space="preserve">Metadata Management</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t xml:space="preserve">✓</w:t>
            </w:r>
            <w:r>
              <w:rPr>
                <w:b/>
              </w:rPr>
              <w:t xml:space="preserve">Relying Party (RP)</w:t>
            </w:r>
          </w:p>
        </w:tc>
        <w:tc>
          <w:p>
            <w:pPr>
              <w:pStyle w:val="Compact"/>
              <w:jc w:val="left"/>
            </w:pPr>
            <w:r>
              <w:t xml:space="preserve">A component, system or application that uses the IDP to identify its users. The RP has its own resources and logic. Note that the term Relying Service is used by ISO/IEC to encompass all types of components that use identity services, including systems, sub-systems, and applications, independent of the domain or operator. We will use the more common Relying Party (or RP). This roughly corresponds to the Agency Endpoint in the FICAM model, or to Identity Consumers in the Internet2 model.</w:t>
            </w:r>
          </w:p>
        </w:tc>
      </w:tr>
      <w:tr>
        <w:tc>
          <w:p>
            <w:pPr>
              <w:pStyle w:val="Compact"/>
              <w:jc w:val="left"/>
            </w:pPr>
            <w:r>
              <w:t xml:space="preserve">✓</w:t>
            </w: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to many of the inputs of the Policy Decision Point in [NIST Zero Trust].</w:t>
            </w:r>
          </w:p>
        </w:tc>
      </w:tr>
      <w:tr>
        <w:tc>
          <w:p>
            <w:pPr>
              <w:pStyle w:val="Compact"/>
              <w:jc w:val="left"/>
            </w:pPr>
            <w:r>
              <w:rPr>
                <w:b/>
              </w:rPr>
              <w:t xml:space="preserve">Session</w:t>
            </w:r>
          </w:p>
        </w:tc>
        <w:tc>
          <w:p>
            <w:pPr>
              <w:pStyle w:val="Compact"/>
              <w:jc w:val="left"/>
            </w:pPr>
            <w:r>
              <w:t xml:space="preserve">A period of time after an authentication event when an RP grants access to resources for the principal/subject.</w:t>
            </w:r>
          </w:p>
        </w:tc>
      </w:tr>
      <w:tr>
        <w:tc>
          <w:p>
            <w:pPr>
              <w:pStyle w:val="Compact"/>
              <w:jc w:val="left"/>
            </w:pPr>
            <w:r>
              <w:t xml:space="preserve">✓</w:t>
            </w:r>
            <w:r>
              <w:rPr>
                <w:b/>
              </w:rPr>
              <w:t xml:space="preserve">Session Management</w:t>
            </w:r>
          </w:p>
        </w:tc>
        <w:tc>
          <w:p>
            <w:pPr>
              <w:pStyle w:val="Compact"/>
              <w:jc w:val="left"/>
            </w:pPr>
            <w:r>
              <w:t xml:space="preserve">A coordinating function provided by an IDP to control sessions of subscribing relying parties.</w:t>
            </w:r>
          </w:p>
        </w:tc>
      </w:tr>
      <w:tr>
        <w:tc>
          <w:p>
            <w:pPr>
              <w:pStyle w:val="Compact"/>
              <w:jc w:val="left"/>
            </w:pPr>
            <w:r>
              <w:t xml:space="preserve">✓</w:t>
            </w: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1"/>
      </w:pPr>
      <w:bookmarkStart w:id="25" w:name="basic-structure-of-the-model"/>
      <w:r>
        <w:t xml:space="preserve">Basic Structure of the Model</w:t>
      </w:r>
      <w:bookmarkEnd w:id="25"/>
    </w:p>
    <w:p>
      <w:pPr>
        <w:pStyle w:val="FirstParagraph"/>
      </w:pPr>
      <w:r>
        <w:t xml:space="preserve">The most basic function of the identity system is to provide secure storage of the information about identities and a way for relying parties, to use that data to control access to resources. The following is the basic organization of an identity management system (IDM), supporting multiple relying services, or relying parties (RP).</w:t>
      </w:r>
    </w:p>
    <w:p>
      <w:pPr>
        <w:pStyle w:val="CaptionedFigure"/>
      </w:pPr>
      <w:r>
        <w:drawing>
          <wp:inline>
            <wp:extent cx="5731510" cy="4239895"/>
            <wp:effectExtent b="0" l="0" r="0" t="0"/>
            <wp:docPr descr="Basic Component Dependencies the identity management system supports multiple relying parties. The core components of the IDM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IDM are shown. The dotted arrowed lines show dependencies.</w:t>
      </w:r>
    </w:p>
    <w:p>
      <w:pPr>
        <w:pStyle w:val="Heading2"/>
      </w:pPr>
      <w:bookmarkStart w:id="27" w:name="identity-management"/>
      <w:r>
        <w:t xml:space="preserve">Identity Management</w:t>
      </w:r>
      <w:bookmarkEnd w:id="27"/>
    </w:p>
    <w:p>
      <w:pPr>
        <w:pStyle w:val="FirstParagraph"/>
      </w:pPr>
      <w:r>
        <w:t xml:space="preserve">Identity Management (IDM) is a set of policies, procedures, technology, and other resources for maintaining identity information. In this model it contains information about principals/subjects including credentials. It also includes other data such as meta data to enable interoperability with other components. The IDM is shown with a dotted line to indicate that it is a conceptual grouping of components, not a full fledged system in itself.</w:t>
      </w:r>
    </w:p>
    <w:p>
      <w:pPr>
        <w:pStyle w:val="Heading2"/>
      </w:pPr>
      <w:bookmarkStart w:id="28" w:name="relying-party"/>
      <w:r>
        <w:t xml:space="preserve">Relying Party</w:t>
      </w:r>
      <w:bookmarkEnd w:id="28"/>
    </w:p>
    <w:p>
      <w:pPr>
        <w:pStyle w:val="FirstParagraph"/>
      </w:pPr>
      <w:r>
        <w:t xml:space="preserve">The Relying Parting (RP) is a component, system or application that uses the IDM to identify its users. The RP has its own resources and logic. It comes in many forms, all of which use identity services, including systems, sub-systems, and applications, independent of the domain or operator.</w:t>
      </w:r>
    </w:p>
    <w:p>
      <w:pPr>
        <w:pStyle w:val="Heading2"/>
      </w:pPr>
      <w:bookmarkStart w:id="29" w:name="trust-anchor"/>
      <w:r>
        <w:t xml:space="preserve">Trust Anchor</w:t>
      </w:r>
      <w:bookmarkEnd w:id="29"/>
    </w:p>
    <w:p>
      <w:pPr>
        <w:pStyle w:val="FirstParagraph"/>
      </w:pPr>
      <w:r>
        <w:t xml:space="preserve">This component represents the legal, organizational and technical apparatus that enables trust between the Identity Management System and the Relying Parties. When the IDM and the RP are not in the same organization this may take on a salient aspect; when they are in the same organization the agreements may be more tacit. When the IDM and RP are both built into a single system the root of trust may be hidden in the system internals.</w:t>
      </w:r>
    </w:p>
    <w:p>
      <w:pPr>
        <w:pStyle w:val="BodyText"/>
      </w:pPr>
      <w:r>
        <w:t xml:space="preserve">There are three parts to the Trust Anchor:</w:t>
      </w:r>
    </w:p>
    <w:p>
      <w:pPr>
        <w:pStyle w:val="Heading2"/>
      </w:pPr>
      <w:bookmarkStart w:id="30" w:name="root-of-trust"/>
      <w:r>
        <w:t xml:space="preserve">Root of Trust</w:t>
      </w:r>
      <w:bookmarkEnd w:id="30"/>
    </w:p>
    <w:p>
      <w:pPr>
        <w:pStyle w:val="FirstParagraph"/>
      </w:pPr>
      <w:r>
        <w:t xml:space="preserve">There is a need for a technical root of trust. This may be done through a Public Key Infrastructure (PKI), where the parties agree to trust a common certificate authority which signs the certificates of all parties in the federation. This may be done through a set of several independent certificates that the parties agree to trust.</w:t>
      </w:r>
    </w:p>
    <w:p>
      <w:pPr>
        <w:pStyle w:val="Heading2"/>
      </w:pPr>
      <w:bookmarkStart w:id="31" w:name="trust-framework"/>
      <w:r>
        <w:t xml:space="preserve">Trust Framework</w:t>
      </w:r>
      <w:bookmarkEnd w:id="31"/>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2"/>
      </w:pPr>
      <w:bookmarkStart w:id="32" w:name="interoperations"/>
      <w:r>
        <w:t xml:space="preserve">Interoperations</w:t>
      </w:r>
      <w:bookmarkEnd w:id="32"/>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1"/>
      </w:pPr>
      <w:bookmarkStart w:id="33" w:name="provisioning"/>
      <w:r>
        <w:t xml:space="preserve">Provisioning</w:t>
      </w:r>
      <w:bookmarkEnd w:id="33"/>
    </w:p>
    <w:p>
      <w:pPr>
        <w:pStyle w:val="FirstParagraph"/>
      </w:pPr>
      <w:r>
        <w:t xml:space="preserve">Provisioning is a term that encompases the processes and methods that create, modify, and, eventually, delete the identity and profile information used by IT infrastructure and business applications. By these methods, records are created, or updated in the identity register, and removed from it. Often, provisioning needs to extend to applications to support authorization decisions. This is sometimes known as</w:t>
      </w:r>
      <w:r>
        <w:t xml:space="preserve"> </w:t>
      </w:r>
      <w:r>
        <w:t xml:space="preserve">‘</w:t>
      </w:r>
      <w:r>
        <w:t xml:space="preserve">downstream provisioning</w:t>
      </w:r>
      <w:r>
        <w:t xml:space="preserve">’</w:t>
      </w:r>
      <w:r>
        <w:t xml:space="preserve">.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731510" cy="5339715"/>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4"/>
                    <a:stretch>
                      <a:fillRect/>
                    </a:stretch>
                  </pic:blipFill>
                  <pic:spPr bwMode="auto">
                    <a:xfrm>
                      <a:off x="0" y="0"/>
                      <a:ext cx="5731510" cy="5339715"/>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2"/>
      </w:pPr>
      <w:bookmarkStart w:id="35" w:name="identity-information-authorities"/>
      <w:r>
        <w:t xml:space="preserve">Identity Information Authorities</w:t>
      </w:r>
      <w:bookmarkEnd w:id="35"/>
    </w:p>
    <w:p>
      <w:pPr>
        <w:pStyle w:val="FirstParagraph"/>
      </w:pPr>
      <w:r>
        <w:t xml:space="preserve">While, it is possible to have an identity management system that is populated without attaching to an external data service, this is typically not the case. Usually, employee or customer data needs to be imported. This can be referred to as upstream provisioning.</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Heading2"/>
      </w:pPr>
      <w:bookmarkStart w:id="36" w:name="governance"/>
      <w:r>
        <w:t xml:space="preserve">Governance</w:t>
      </w:r>
      <w:bookmarkEnd w:id="36"/>
    </w:p>
    <w:p>
      <w:pPr>
        <w:pStyle w:val="FirstParagraph"/>
      </w:pPr>
      <w:r>
        <w:t xml:space="preserve">The act of provisioning may include certain logic, best modeled as governance. In some cases the IGA system actually takes on all the provisioning duties.</w:t>
      </w:r>
    </w:p>
    <w:p>
      <w:pPr>
        <w:pStyle w:val="Heading2"/>
      </w:pPr>
      <w:bookmarkStart w:id="37" w:name="credential-services-enrollment"/>
      <w:r>
        <w:t xml:space="preserve">Credential Services &amp; Enrollment</w:t>
      </w:r>
      <w:bookmarkEnd w:id="37"/>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2"/>
      </w:pPr>
      <w:bookmarkStart w:id="38" w:name="enrollment"/>
      <w:r>
        <w:t xml:space="preserve">Enrollment</w:t>
      </w:r>
      <w:bookmarkEnd w:id="38"/>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 and ownership of their account’s credentials.</w:t>
      </w:r>
    </w:p>
    <w:p>
      <w:pPr>
        <w:pStyle w:val="Heading2"/>
      </w:pPr>
      <w:bookmarkStart w:id="39" w:name="credential-services"/>
      <w:r>
        <w:t xml:space="preserve">Credential Services</w:t>
      </w:r>
      <w:bookmarkEnd w:id="39"/>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2"/>
      </w:pPr>
      <w:bookmarkStart w:id="40" w:name="identity-register"/>
      <w:r>
        <w:t xml:space="preserve">Identity Register</w:t>
      </w:r>
      <w:bookmarkEnd w:id="40"/>
    </w:p>
    <w:p>
      <w:pPr>
        <w:pStyle w:val="FirstParagraph"/>
      </w:pPr>
      <w:r>
        <w:t xml:space="preserve">This is the data store that contains the enrolled entities, and their attributes, including credentials. In this model we use the singular, as if it were one singular database. In practice, designs may store some attributes separately from identities. We also use this term to include the storage related to credentials, although, all or some of the credentials may be stored in their own physical repository.</w:t>
      </w:r>
    </w:p>
    <w:p>
      <w:pPr>
        <w:pStyle w:val="BodyText"/>
      </w:pPr>
      <w:r>
        <w:t xml:space="preserve">Identity Registers by their nature have high availability requirements, so often at the physical level they contain multiple instances which are synchronized. The Identity Register could be implemented in several ways. Common methods include the use of general-purpose databases, optimized stores such directories i.e., a physical or a virtual directory.</w:t>
      </w:r>
    </w:p>
    <w:p>
      <w:pPr>
        <w:pStyle w:val="BodyText"/>
      </w:pPr>
      <w:r>
        <w:t xml:space="preserve">Importing data does not necessarily mean making a physical copy of data, although it often does. The notion also supports the idea of virtualization - where the import of identity information is done at run-time.</w:t>
      </w:r>
    </w:p>
    <w:p>
      <w:pPr>
        <w:pStyle w:val="Heading2"/>
      </w:pPr>
      <w:bookmarkStart w:id="41" w:name="service-provisioning-agent"/>
      <w:r>
        <w:t xml:space="preserve">Service Provisioning Agent</w:t>
      </w:r>
      <w:bookmarkEnd w:id="41"/>
    </w:p>
    <w:p>
      <w:pPr>
        <w:pStyle w:val="FirstParagraph"/>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2"/>
      </w:pPr>
      <w:bookmarkStart w:id="42" w:name="just-in-time-provisioning"/>
      <w:r>
        <w:t xml:space="preserve">Just in Time Provisioning</w:t>
      </w:r>
      <w:bookmarkEnd w:id="42"/>
    </w:p>
    <w:p>
      <w:pPr>
        <w:pStyle w:val="FirstParagraph"/>
      </w:pPr>
      <w:r>
        <w:t xml:space="preserve">So far, the discussion of the provisioning function has been focused on</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(See Authentication and Sessions). A similar case involves the relying service querying the identity management system in order to acquire attributes (Shown under Authorization)</w:t>
      </w:r>
    </w:p>
    <w:p>
      <w:pPr>
        <w:pStyle w:val="Heading2"/>
      </w:pPr>
      <w:bookmarkStart w:id="43" w:name="audit-repository"/>
      <w:r>
        <w:t xml:space="preserve">Audit Repository</w:t>
      </w:r>
      <w:bookmarkEnd w:id="43"/>
    </w:p>
    <w:p>
      <w:pPr>
        <w:pStyle w:val="FirstParagraph"/>
      </w:pPr>
      <w:r>
        <w:t xml:space="preserve">The audit repository is shown to indicate the accumulation of historical event data. To avoid clutter we assume audit information is written but call that out with arrows in the diagram.</w:t>
      </w:r>
    </w:p>
    <w:p>
      <w:pPr>
        <w:pStyle w:val="Heading1"/>
      </w:pPr>
      <w:bookmarkStart w:id="44" w:name="authentication-and-sessions"/>
      <w:r>
        <w:t xml:space="preserve">Authentication and Sessions</w:t>
      </w:r>
      <w:bookmarkEnd w:id="44"/>
    </w:p>
    <w:p>
      <w:pPr>
        <w:pStyle w:val="Heading2"/>
      </w:pPr>
      <w:bookmarkStart w:id="45" w:name="authentication"/>
      <w:r>
        <w:t xml:space="preserve">Authentication</w:t>
      </w:r>
      <w:bookmarkEnd w:id="45"/>
    </w:p>
    <w:p>
      <w:pPr>
        <w:pStyle w:val="FirstParagraph"/>
      </w:pPr>
      <w:r>
        <w:t xml:space="preserve">Authentication is the process by which a subject’s credentials are used to verify their identity. The IDP checks and verifies credentials that are presented to it. There are multiple scenarios. Typically, the Relying Party asks the Identity provider to gather the credentials from the user, and receives an assessment from the IDP regarding the level of certainty that the user is authentic. Often the assessment (and more information about the user) is delivered to the RP via a security token, which is protected by cryptography. There are several varieties of security tokens.</w:t>
      </w:r>
    </w:p>
    <w:p>
      <w:pPr>
        <w:pStyle w:val="CaptionedFigure"/>
      </w:pPr>
      <w:r>
        <w:drawing>
          <wp:inline>
            <wp:extent cx="5731510" cy="4239895"/>
            <wp:effectExtent b="0" l="0" r="0" t="0"/>
            <wp:docPr descr="Authentication and Sessions: The Identity Register supports authentication scenarios. The IDP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Authentication and Sessions: The Identity Register supports authentication scenarios. The IDP may monitor or participate if the full session lifecycle with the Relying services.</w:t>
      </w:r>
    </w:p>
    <w:p>
      <w:pPr>
        <w:pStyle w:val="Heading2"/>
      </w:pPr>
      <w:bookmarkStart w:id="47" w:name="sessions"/>
      <w:r>
        <w:t xml:space="preserve">Sessions</w:t>
      </w:r>
      <w:bookmarkEnd w:id="47"/>
    </w:p>
    <w:p>
      <w:pPr>
        <w:pStyle w:val="FirstParagraph"/>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IDP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facts presented by external risk monitors.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IDP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a one-time password from a phone app is required. The detection of the assurance gap and subsequent action will logically be done at the RP, but to avoid a poor user experience in multiple RP scenarios the step-up needs to be recorded in the session.</w:t>
      </w:r>
    </w:p>
    <w:p>
      <w:pPr>
        <w:pStyle w:val="Heading1"/>
      </w:pPr>
      <w:bookmarkStart w:id="48" w:name="authorization"/>
      <w:r>
        <w:t xml:space="preserve">Authorization</w:t>
      </w:r>
      <w:bookmarkEnd w:id="48"/>
    </w:p>
    <w:p>
      <w:pPr>
        <w:pStyle w:val="FirstParagraph"/>
      </w:pPr>
      <w:r>
        <w:t xml:space="preserve">Authorization models are many and diverse. The diagram illustrates two approaches for authorization: local and shared. As noted below, both approaches are subject to Access Governance.</w:t>
      </w:r>
    </w:p>
    <w:p>
      <w:pPr>
        <w:pStyle w:val="BodyText"/>
      </w:pPr>
      <w:r>
        <w:t xml:space="preserve">Both approaches typically use subject attributes help determine access, although some systems rely on direct enumerations mapping users to resources known as access control list.</w:t>
      </w:r>
    </w:p>
    <w:p>
      <w:pPr>
        <w:pStyle w:val="CaptionedFigure"/>
      </w:pPr>
      <w:r>
        <w:drawing>
          <wp:inline>
            <wp:extent cx="5731510" cy="53117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9"/>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2"/>
      </w:pPr>
      <w:bookmarkStart w:id="50" w:name="local-authoriziation"/>
      <w:r>
        <w:t xml:space="preserve">Local Authoriziation</w:t>
      </w:r>
      <w:bookmarkEnd w:id="50"/>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within the application. In this scenario the application makes the authorization decision and implements (enforces) the result.</w:t>
      </w:r>
    </w:p>
    <w:p>
      <w:pPr>
        <w:pStyle w:val="BodyText"/>
      </w:pPr>
      <w:r>
        <w:t xml:space="preserve">The controling values may have been provisioned into the local access data store by the Provisioning process described above. Or the values can be acquired at run-time from the Identity Management System as shown by the attribute query, which may provide the user’s role or other attributes during the signon, perhaps as a value in the security token.</w:t>
      </w:r>
    </w:p>
    <w:p>
      <w:pPr>
        <w:pStyle w:val="Heading2"/>
      </w:pPr>
      <w:bookmarkStart w:id="51" w:name="shared-authorization"/>
      <w:r>
        <w:t xml:space="preserve">Shared Authorization</w:t>
      </w:r>
      <w:bookmarkEnd w:id="51"/>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 NIST 800-207 ]. Shared authorization systems typically have a consistent approach to policy such as a standardized policy language. In this scenario the RP asks the shared authorization function to make the decision but implements (enforces) that itself.</w:t>
      </w:r>
    </w:p>
    <w:p>
      <w:pPr>
        <w:pStyle w:val="Heading2"/>
      </w:pPr>
      <w:bookmarkStart w:id="52" w:name="authorization-mechanisms"/>
      <w:r>
        <w:t xml:space="preserve">Authorization Mechanisms</w:t>
      </w:r>
      <w:bookmarkEnd w:id="52"/>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roles, permissions, and identities. Some controls rely on user attributes including group memberships or roles stored in an Identity Register. Some controls may rely on the properties of the accessed resource or the context of the request, such as time, device, or location.</w:t>
      </w:r>
    </w:p>
    <w:p>
      <w:pPr>
        <w:pStyle w:val="BodyText"/>
      </w:pPr>
      <w:r>
        <w:t xml:space="preserve">Each mechanism relies and a particular logical data structure to implement the access control and that data structure becomes and the focus of implementers. For instance, in role based access control, there is some art involved in</w:t>
      </w:r>
      <w:r>
        <w:t xml:space="preserve"> </w:t>
      </w:r>
      <w:r>
        <w:t xml:space="preserve">“</w:t>
      </w:r>
      <w:r>
        <w:t xml:space="preserve">Role Management</w:t>
      </w:r>
      <w:r>
        <w:t xml:space="preserve">”</w:t>
      </w:r>
      <w:r>
        <w:t xml:space="preserve">, (defining and managing a useful set of roles), since too many roles becomes difficult to manage and too few leads to users with access to things they don’t need. Similarly, in the case of policy based access control the set of policies (the Policy Rules) needs to be designed, stored and managed.</w:t>
      </w:r>
    </w:p>
    <w:p>
      <w:pPr>
        <w:pStyle w:val="Heading1"/>
      </w:pPr>
      <w:bookmarkStart w:id="53" w:name="access-governance-iga"/>
      <w:r>
        <w:t xml:space="preserve">Access governance (IGA)</w:t>
      </w:r>
      <w:bookmarkEnd w:id="53"/>
    </w:p>
    <w:p>
      <w:pPr>
        <w:pStyle w:val="FirstParagraph"/>
      </w:pPr>
      <w:r>
        <w:t xml:space="preserve">Access Governance provides control over access rights implemented in multiple local or shared authorization systems. This function is often broken into the administration of these rights and the oversight needed to ensure that these rights are in good order over time.</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CaptionedFigure"/>
      </w:pPr>
      <w:r>
        <w:drawing>
          <wp:inline>
            <wp:extent cx="5731510" cy="53117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54"/>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2"/>
      </w:pPr>
      <w:bookmarkStart w:id="55" w:name="control"/>
      <w:r>
        <w:t xml:space="preserve">Control</w:t>
      </w:r>
      <w:bookmarkEnd w:id="55"/>
    </w:p>
    <w:p>
      <w:pPr>
        <w:pStyle w:val="FirstParagraph"/>
      </w:pPr>
      <w:r>
        <w:t xml:space="preserve">The controls may also include methods such as procedures and workflows to ensure proper review. Typically, a request for access to resources is passed to one or more approvers and an audit trail is created.</w:t>
      </w:r>
    </w:p>
    <w:p>
      <w:pPr>
        <w:pStyle w:val="BodyText"/>
      </w:pPr>
      <w:r>
        <w:t xml:space="preserve">Often deployed to prevent internal fraud is the</w:t>
      </w:r>
      <w:r>
        <w:t xml:space="preserve"> </w:t>
      </w:r>
      <w:r>
        <w:t xml:space="preserve">“</w:t>
      </w:r>
      <w:r>
        <w:t xml:space="preserve">segregation of duties</w:t>
      </w:r>
      <w:r>
        <w:t xml:space="preserve">”</w:t>
      </w:r>
      <w:r>
        <w:t xml:space="preserve"> </w:t>
      </w:r>
      <w:r>
        <w:t xml:space="preserve">control. The control defines groups of access rights that cannot be held by the same person. This is best done in a location that has visability to all the implicated access rights, i.e. the IGA system.</w:t>
      </w:r>
    </w:p>
    <w:p>
      <w:pPr>
        <w:pStyle w:val="Heading2"/>
      </w:pPr>
      <w:bookmarkStart w:id="56" w:name="oversight"/>
      <w:r>
        <w:t xml:space="preserve">Oversight</w:t>
      </w:r>
      <w:bookmarkEnd w:id="56"/>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Additional tools to ensure that IAM policies are effective at enforcing their stated controls include internal and external audits as well as analytic reports.</w:t>
      </w:r>
    </w:p>
    <w:p>
      <w:pPr>
        <w:pStyle w:val="Heading2"/>
      </w:pPr>
      <w:bookmarkStart w:id="57" w:name="risk-context"/>
      <w:r>
        <w:t xml:space="preserve">Risk Context</w:t>
      </w:r>
      <w:bookmarkEnd w:id="57"/>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BodyText"/>
      </w:pPr>
      <w:r>
        <w:t xml:space="preserve">The linkage from the Audit Repository illustrates that the Risk Context may consume the local historical data about events.</w:t>
      </w:r>
    </w:p>
    <w:p>
      <w:pPr>
        <w:pStyle w:val="CaptionedFigure"/>
      </w:pPr>
      <w:r>
        <w:drawing>
          <wp:inline>
            <wp:extent cx="5731510" cy="5317490"/>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8"/>
                    <a:stretch>
                      <a:fillRect/>
                    </a:stretch>
                  </pic:blipFill>
                  <pic:spPr bwMode="auto">
                    <a:xfrm>
                      <a:off x="0" y="0"/>
                      <a:ext cx="5731510" cy="5317490"/>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BodyText"/>
      </w:pPr>
      <w:r>
        <w:t xml:space="preserve">External events may be visible to the Identity Management System operator through consortia or vendor packages. In some mutual-support scenarios, it may be possible for the IDM operator to also publish events for the benefit of others, supporting other operators’ risk management requirement.</w:t>
      </w:r>
    </w:p>
    <w:p>
      <w:pPr>
        <w:pStyle w:val="BodyText"/>
      </w:pPr>
      <w:r>
        <w:t xml:space="preserve">Events need to be delivered into the IDM so that they can selectively be used to modify the behavior of the authentication function. For example, armed with additional event data, the authentication function may request a step-up authentication or even plainly deny access.</w:t>
      </w:r>
    </w:p>
    <w:p>
      <w:pPr>
        <w:pStyle w:val="BodyText"/>
      </w:pPr>
      <w:r>
        <w:t xml:space="preserve">In some severe scenarios it may be desirable to attach the events to the session management function so that current sessions can be reviewed and terminated if needed. The OpenID Shared Signals and Events working group is developing standard ways to deliver these signals. [OIDF]</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Heading2"/>
      </w:pPr>
      <w:bookmarkStart w:id="59" w:name="example-information-in-the-request"/>
      <w:r>
        <w:t xml:space="preserve">Example: Information in the request</w:t>
      </w:r>
      <w:bookmarkEnd w:id="59"/>
    </w:p>
    <w:p>
      <w:pPr>
        <w:pStyle w:val="Heading2"/>
      </w:pPr>
      <w:bookmarkStart w:id="60" w:name="boundary-control"/>
      <w:r>
        <w:t xml:space="preserve">Boundary control</w:t>
      </w:r>
      <w:bookmarkEnd w:id="60"/>
    </w:p>
    <w:p>
      <w:pPr>
        <w:pStyle w:val="FirstParagraph"/>
      </w:pPr>
      <w:r>
        <w:t xml:space="preserve">An authentication or authorization decision may be influenced by specific criteria such as whether a request is coming from a known or unknown network. A more sophisticated version of this attempts to prohibit access from, say, certain countries.</w:t>
      </w:r>
    </w:p>
    <w:p>
      <w:pPr>
        <w:pStyle w:val="Heading2"/>
      </w:pPr>
      <w:bookmarkStart w:id="61" w:name="examples-historical-usage"/>
      <w:r>
        <w:t xml:space="preserve">Examples: Historical usage</w:t>
      </w:r>
      <w:bookmarkEnd w:id="61"/>
    </w:p>
    <w:p>
      <w:pPr>
        <w:pStyle w:val="Heading2"/>
      </w:pPr>
      <w:bookmarkStart w:id="62" w:name="usage-pattern-match"/>
      <w:r>
        <w:t xml:space="preserve">Usage pattern match</w:t>
      </w:r>
      <w:bookmarkEnd w:id="62"/>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2"/>
      </w:pPr>
      <w:bookmarkStart w:id="63" w:name="land-speed-violation"/>
      <w:r>
        <w:t xml:space="preserve">Land speed violation</w:t>
      </w:r>
      <w:bookmarkEnd w:id="63"/>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2"/>
      </w:pPr>
      <w:bookmarkStart w:id="64" w:name="example-third-party"/>
      <w:r>
        <w:t xml:space="preserve">Example: Third party</w:t>
      </w:r>
      <w:bookmarkEnd w:id="64"/>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acquire these in the hope that users will use the same password at other sites. A counter measure is for the Identity Management System operator to require additional certainty if one of those passwords were presented.</w:t>
      </w:r>
    </w:p>
    <w:p>
      <w:pPr>
        <w:pStyle w:val="Heading1"/>
      </w:pPr>
      <w:bookmarkStart w:id="65" w:name="metadata-and-discovery"/>
      <w:r>
        <w:t xml:space="preserve">Metadata and Discovery</w:t>
      </w:r>
      <w:bookmarkEnd w:id="65"/>
    </w:p>
    <w:p>
      <w:pPr>
        <w:pStyle w:val="FirstParagraph"/>
      </w:pPr>
      <w:r>
        <w:t xml:space="preserve">Metadata refers to control data that allows the Identity Management System and the Relying Parties to interoperate.</w:t>
      </w:r>
    </w:p>
    <w:p>
      <w:pPr>
        <w:pStyle w:val="CaptionedFigure"/>
      </w:pPr>
      <w:r>
        <w:drawing>
          <wp:inline>
            <wp:extent cx="5731510" cy="4239895"/>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 At run-time for distributed systems the technial root of trust is needed to validate the security channel (PKI)</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[OIDF discovery]. The concept is more supported by other methods such as SAML. A Discovery service can advise where specific data can be accessed and which end-points are maintained to allow a relying party to use the identity service.</w:t>
      </w:r>
    </w:p>
    <w:p>
      <w:pPr>
        <w:pStyle w:val="Heading1"/>
      </w:pPr>
      <w:bookmarkStart w:id="67" w:name="author-bio"/>
      <w:r>
        <w:t xml:space="preserve">Author Bio</w:t>
      </w:r>
      <w:bookmarkEnd w:id="67"/>
    </w:p>
    <w:p>
      <w:pPr>
        <w:pStyle w:val="FirstParagraph"/>
      </w:pPr>
      <w:r>
        <w:t xml:space="preserve">George Dobbs manages architects at a major insurance company. He is also the chairman of the IDPro Body of Knowledge Committee. One of his interests is modernizing the use of Identity and Access Management techniques used by the firm. He is particularly interested in the area of customer-facing applications including approaches to fraud prevention in call center and digital contexts. Related to this, he is interested in the evolution of distributed session management – notably distributed session termination. He is a founding member of IDPro and represented his firm in the Identity Ecosystem Steering Group (IDESG). Prior to his current position, he lead the development of customer facing identity for web sites at three other insurers. He has led a local identity and access management user group since 2004. Prior to that he was the chairman of the Network Applications Consortium.</w:t>
      </w:r>
    </w:p>
    <w:p>
      <w:pPr>
        <w:pStyle w:val="Heading1"/>
      </w:pPr>
      <w:bookmarkStart w:id="68" w:name="acknowlegements"/>
      <w:r>
        <w:t xml:space="preserve">Acknowlegements</w:t>
      </w:r>
      <w:bookmarkEnd w:id="68"/>
    </w:p>
    <w:p>
      <w:pPr>
        <w:pStyle w:val="FirstParagraph"/>
      </w:pPr>
      <w:r>
        <w:t xml:space="preserve">The author would like to express gratitude to Ian Glazer, Graham Williamson, and Corey Scholefeld for detailed review of early drafts; Jon Lehtinen and Steve Hutchinson for some of the definitions from their unpublished Introduction to Identity Part 3 document; and Betrand Carlier for his thorough and thoughtful review.</w:t>
      </w:r>
    </w:p>
    <w:p>
      <w:pPr>
        <w:pStyle w:val="Heading1"/>
      </w:pPr>
      <w:bookmarkStart w:id="69" w:name="references"/>
      <w:r>
        <w:t xml:space="preserve">References</w:t>
      </w:r>
      <w:bookmarkEnd w:id="69"/>
    </w:p>
    <w:p>
      <w:pPr>
        <w:pStyle w:val="FirstParagraph"/>
      </w:pPr>
      <w:r>
        <w:t xml:space="preserve">[ISO/IEC 24760-1] Second edition provided improved naming and granularity (specifically breaking out CSP and Enrolment).</w:t>
      </w:r>
      <w:r>
        <w:t xml:space="preserve"> </w:t>
      </w:r>
      <w:hyperlink r:id="rId70">
        <w:r>
          <w:rPr>
            <w:rStyle w:val="Hyperlink"/>
          </w:rPr>
          <w:t xml:space="preserve">https://www.iso.org/standard/77582.html</w:t>
        </w:r>
      </w:hyperlink>
    </w:p>
    <w:p>
      <w:pPr>
        <w:pStyle w:val="BodyText"/>
      </w:pPr>
      <w:r>
        <w:t xml:space="preserve">[ISO/IEC 24760-2]: , 2015 Figure C.1 provided the starting point.</w:t>
      </w:r>
      <w:r>
        <w:t xml:space="preserve"> </w:t>
      </w:r>
      <w:hyperlink r:id="rId71">
        <w:r>
          <w:rPr>
            <w:rStyle w:val="Hyperlink"/>
          </w:rPr>
          <w:t xml:space="preserve">https://www.iso.org/standard/57915.html</w:t>
        </w:r>
      </w:hyperlink>
    </w:p>
    <w:p>
      <w:pPr>
        <w:pStyle w:val="BodyText"/>
      </w:pPr>
      <w:r>
        <w:t xml:space="preserve">[FICAM] </w:t>
      </w:r>
      <w:hyperlink r:id="rId72">
        <w:r>
          <w:rPr>
            <w:rStyle w:val="Hyperlink"/>
          </w:rPr>
          <w:t xml:space="preserve">https://playbooks.idmanagement.gov/arch/components/</w:t>
        </w:r>
      </w:hyperlink>
    </w:p>
    <w:p>
      <w:pPr>
        <w:pStyle w:val="BodyText"/>
      </w:pPr>
      <w:r>
        <w:t xml:space="preserve">[Internet 2] </w:t>
      </w:r>
      <w:hyperlink r:id="rId72">
        <w:r>
          <w:rPr>
            <w:rStyle w:val="Hyperlink"/>
          </w:rPr>
          <w:t xml:space="preserve">https://playbooks.idmanagement.gov/arch/components/</w:t>
        </w:r>
      </w:hyperlink>
    </w:p>
    <w:p>
      <w:pPr>
        <w:pStyle w:val="BodyText"/>
      </w:pPr>
      <w:r>
        <w:t xml:space="preserve">[NIST Internal Report 8149]</w:t>
      </w:r>
      <w:r>
        <w:t xml:space="preserve"> </w:t>
      </w:r>
      <w:hyperlink r:id="rId73">
        <w:r>
          <w:rPr>
            <w:rStyle w:val="Hyperlink"/>
          </w:rPr>
          <w:t xml:space="preserve">https://nvlpubs.nist.gov/nistpubs/ir/2018/NIST.IR.8149.pdf</w:t>
        </w:r>
      </w:hyperlink>
    </w:p>
    <w:p>
      <w:pPr>
        <w:pStyle w:val="BodyText"/>
      </w:pPr>
      <w:r>
        <w:t xml:space="preserve">[NIST SP-800-63 definitions]</w:t>
      </w:r>
      <w:r>
        <w:t xml:space="preserve"> </w:t>
      </w:r>
      <w:hyperlink r:id="rId74">
        <w:r>
          <w:rPr>
            <w:rStyle w:val="Hyperlink"/>
          </w:rPr>
          <w:t xml:space="preserve">https://nvlpubs.nist.gov/nistpubs/SpecialPublications/NIST.SP.800-63-3.pdf</w:t>
        </w:r>
      </w:hyperlink>
    </w:p>
    <w:p>
      <w:pPr>
        <w:pStyle w:val="BodyText"/>
      </w:pPr>
      <w:r>
        <w:t xml:space="preserve">[NIST SP-800-207 Zero Trust]</w:t>
      </w:r>
      <w:r>
        <w:t xml:space="preserve"> </w:t>
      </w:r>
      <w:hyperlink r:id="rId75">
        <w:r>
          <w:rPr>
            <w:rStyle w:val="Hyperlink"/>
          </w:rPr>
          <w:t xml:space="preserve">https://nvlpubs.nist.gov/nistpubs/SpecialPublications/NIST.SP.800-207.pdf</w:t>
        </w:r>
      </w:hyperlink>
    </w:p>
    <w:p>
      <w:pPr>
        <w:pStyle w:val="BodyText"/>
      </w:pPr>
      <w:r>
        <w:t xml:space="preserve">[OIDF discovery] OpenID Connect discovery</w:t>
      </w:r>
      <w:r>
        <w:t xml:space="preserve"> </w:t>
      </w:r>
      <w:hyperlink r:id="rId76">
        <w:r>
          <w:rPr>
            <w:rStyle w:val="Hyperlink"/>
          </w:rPr>
          <w:t xml:space="preserve">https://openid.net/specs/openid-connect-discovery-1_0.html</w:t>
        </w:r>
      </w:hyperlink>
    </w:p>
    <w:p>
      <w:pPr>
        <w:pStyle w:val="BodyText"/>
      </w:pPr>
      <w:r>
        <w:t xml:space="preserve">[OIDF SSE] Shared Signals and Events</w:t>
      </w:r>
      <w:r>
        <w:t xml:space="preserve"> </w:t>
      </w:r>
      <w:hyperlink r:id="rId77">
        <w:r>
          <w:rPr>
            <w:rStyle w:val="Hyperlink"/>
          </w:rPr>
          <w:t xml:space="preserve">https://openid.net/2021/08/21/implementers-drafts-of-two-sse-specifications-approved/</w:t>
        </w:r>
      </w:hyperlink>
    </w:p>
    <w:p>
      <w:pPr>
        <w:pStyle w:val="BodyText"/>
      </w:pPr>
      <w:r>
        <w:t xml:space="preserve">[OASIS] SAML discovery</w:t>
      </w:r>
      <w:r>
        <w:t xml:space="preserve"> </w:t>
      </w:r>
      <w:hyperlink r:id="rId78">
        <w:r>
          <w:rPr>
            <w:rStyle w:val="Hyperlink"/>
          </w:rPr>
          <w:t xml:space="preserve">http://docs.oasis-open.org/security/saml/Post2.0/sstc-saml-idp-discovery.pdf</w:t>
        </w:r>
      </w:hyperlink>
    </w:p>
    <w:p>
      <w:pPr>
        <w:pStyle w:val="BodyText"/>
      </w:pPr>
      <w:r>
        <w:t xml:space="preserve">[Wikipedia - all models]</w:t>
      </w:r>
      <w:r>
        <w:t xml:space="preserve"> </w:t>
      </w:r>
      <w:hyperlink r:id="rId79">
        <w:r>
          <w:rPr>
            <w:rStyle w:val="Hyperlink"/>
          </w:rPr>
          <w:t xml:space="preserve">https://en.wikipedia.org/wiki/All_models_are_wrong</w:t>
        </w:r>
      </w:hyperlink>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hyperlink" Id="rId78" Target="http://docs.oasis-open.org/security/saml/Post2.0/sstc-saml-idp-discovery.pdf" TargetMode="External" /><Relationship Type="http://schemas.openxmlformats.org/officeDocument/2006/relationships/hyperlink" Id="rId79" Target="https://en.wikipedia.org/wiki/All_models_are_wrong" TargetMode="External" /><Relationship Type="http://schemas.openxmlformats.org/officeDocument/2006/relationships/hyperlink" Id="rId75" Target="https://nvlpubs.nist.gov/nistpubs/SpecialPublications/NIST.SP.800-207.pdf" TargetMode="External" /><Relationship Type="http://schemas.openxmlformats.org/officeDocument/2006/relationships/hyperlink" Id="rId74" Target="https://nvlpubs.nist.gov/nistpubs/SpecialPublications/NIST.SP.800-63-3.pdf" TargetMode="External" /><Relationship Type="http://schemas.openxmlformats.org/officeDocument/2006/relationships/hyperlink" Id="rId73" Target="https://nvlpubs.nist.gov/nistpubs/ir/2018/NIST.IR.8149.pdf" TargetMode="External" /><Relationship Type="http://schemas.openxmlformats.org/officeDocument/2006/relationships/hyperlink" Id="rId77" Target="https://openid.net/2021/08/21/implementers-drafts-of-two-sse-specifications-approved/" TargetMode="External" /><Relationship Type="http://schemas.openxmlformats.org/officeDocument/2006/relationships/hyperlink" Id="rId76" Target="https://openid.net/specs/openid-connect-discovery-1_0.html" TargetMode="External" /><Relationship Type="http://schemas.openxmlformats.org/officeDocument/2006/relationships/hyperlink" Id="rId72" Target="https://playbooks.idmanagement.gov/arch/components/" TargetMode="External" /><Relationship Type="http://schemas.openxmlformats.org/officeDocument/2006/relationships/hyperlink" Id="rId71" Target="https://www.iso.org/standard/57915.html" TargetMode="External" /><Relationship Type="http://schemas.openxmlformats.org/officeDocument/2006/relationships/hyperlink" Id="rId70" Target="https://www.iso.org/standard/77582.html" TargetMode="External" /></Relationships>
</file>

<file path=word/_rels/footnotes.xml.rels><?xml version="1.0" encoding="UTF-8"?>
<Relationships xmlns="http://schemas.openxmlformats.org/package/2006/relationships"><Relationship Type="http://schemas.openxmlformats.org/officeDocument/2006/relationships/hyperlink" Id="rId78" Target="http://docs.oasis-open.org/security/saml/Post2.0/sstc-saml-idp-discovery.pdf" TargetMode="External" /><Relationship Type="http://schemas.openxmlformats.org/officeDocument/2006/relationships/hyperlink" Id="rId79" Target="https://en.wikipedia.org/wiki/All_models_are_wrong" TargetMode="External" /><Relationship Type="http://schemas.openxmlformats.org/officeDocument/2006/relationships/hyperlink" Id="rId75" Target="https://nvlpubs.nist.gov/nistpubs/SpecialPublications/NIST.SP.800-207.pdf" TargetMode="External" /><Relationship Type="http://schemas.openxmlformats.org/officeDocument/2006/relationships/hyperlink" Id="rId74" Target="https://nvlpubs.nist.gov/nistpubs/SpecialPublications/NIST.SP.800-63-3.pdf" TargetMode="External" /><Relationship Type="http://schemas.openxmlformats.org/officeDocument/2006/relationships/hyperlink" Id="rId73" Target="https://nvlpubs.nist.gov/nistpubs/ir/2018/NIST.IR.8149.pdf" TargetMode="External" /><Relationship Type="http://schemas.openxmlformats.org/officeDocument/2006/relationships/hyperlink" Id="rId77" Target="https://openid.net/2021/08/21/implementers-drafts-of-two-sse-specifications-approved/" TargetMode="External" /><Relationship Type="http://schemas.openxmlformats.org/officeDocument/2006/relationships/hyperlink" Id="rId76" Target="https://openid.net/specs/openid-connect-discovery-1_0.html" TargetMode="External" /><Relationship Type="http://schemas.openxmlformats.org/officeDocument/2006/relationships/hyperlink" Id="rId72" Target="https://playbooks.idmanagement.gov/arch/components/" TargetMode="External" /><Relationship Type="http://schemas.openxmlformats.org/officeDocument/2006/relationships/hyperlink" Id="rId71" Target="https://www.iso.org/standard/57915.html" TargetMode="External" /><Relationship Type="http://schemas.openxmlformats.org/officeDocument/2006/relationships/hyperlink" Id="rId70" Target="https://www.iso.org/standard/775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 Model</dc:title>
  <dc:creator>George B. Dobbs</dc:creator>
  <cp:keywords/>
  <dcterms:created xsi:type="dcterms:W3CDTF">2021-08-22T15:00:53Z</dcterms:created>
  <dcterms:modified xsi:type="dcterms:W3CDTF">2021-08-22T15:00:53Z</dcterms:modified>
</cp:coreProperties>
</file>