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charts/chart4.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DEA" w:rsidRPr="00897DEA" w:rsidRDefault="00897DEA" w:rsidP="00897DEA">
      <w:pPr>
        <w:jc w:val="center"/>
        <w:rPr>
          <w:b/>
          <w:sz w:val="26"/>
          <w:szCs w:val="26"/>
        </w:rPr>
      </w:pPr>
      <w:r w:rsidRPr="00897DEA">
        <w:rPr>
          <w:b/>
          <w:bCs/>
          <w:sz w:val="26"/>
          <w:szCs w:val="26"/>
        </w:rPr>
        <w:t>INDIA: National Dairy Support Project</w:t>
      </w:r>
    </w:p>
    <w:p w:rsidR="00897DEA" w:rsidRPr="00C9210C" w:rsidRDefault="00897DEA" w:rsidP="00897DEA">
      <w:pPr>
        <w:pStyle w:val="Title"/>
        <w:spacing w:before="0" w:after="0"/>
        <w:rPr>
          <w:rFonts w:ascii="Arial" w:hAnsi="Arial"/>
          <w:sz w:val="10"/>
          <w:szCs w:val="10"/>
        </w:rPr>
      </w:pPr>
    </w:p>
    <w:p w:rsidR="00897DEA" w:rsidRPr="000C7BF8" w:rsidRDefault="00897DEA" w:rsidP="00897DEA">
      <w:pPr>
        <w:pStyle w:val="Title"/>
        <w:spacing w:before="0" w:after="0"/>
        <w:rPr>
          <w:rFonts w:ascii="Arial" w:hAnsi="Arial"/>
          <w:sz w:val="16"/>
          <w:szCs w:val="16"/>
        </w:rPr>
      </w:pPr>
    </w:p>
    <w:p w:rsidR="00A47D5A" w:rsidRDefault="005B05D5" w:rsidP="005B05D5">
      <w:pPr>
        <w:pStyle w:val="Title"/>
        <w:spacing w:before="0" w:after="0"/>
        <w:rPr>
          <w:rFonts w:ascii="Arial" w:hAnsi="Arial"/>
          <w:sz w:val="22"/>
          <w:szCs w:val="22"/>
        </w:rPr>
      </w:pPr>
      <w:r>
        <w:rPr>
          <w:rFonts w:ascii="Arial" w:hAnsi="Arial"/>
          <w:sz w:val="22"/>
          <w:szCs w:val="22"/>
        </w:rPr>
        <w:t>Economic and Financial Analysis</w:t>
      </w:r>
    </w:p>
    <w:p w:rsidR="005B05D5" w:rsidRPr="002E5D1E" w:rsidRDefault="005B05D5" w:rsidP="005B05D5">
      <w:pPr>
        <w:pStyle w:val="Title"/>
        <w:spacing w:before="0" w:after="0"/>
        <w:rPr>
          <w:b w:val="0"/>
          <w:bCs/>
        </w:rPr>
      </w:pPr>
    </w:p>
    <w:p w:rsidR="00A47D5A" w:rsidRPr="00184FA9" w:rsidRDefault="00A47D5A" w:rsidP="00AC2F9F">
      <w:pPr>
        <w:pStyle w:val="ListParagraph"/>
        <w:numPr>
          <w:ilvl w:val="0"/>
          <w:numId w:val="18"/>
        </w:numPr>
        <w:autoSpaceDE w:val="0"/>
        <w:autoSpaceDN w:val="0"/>
        <w:adjustRightInd w:val="0"/>
        <w:spacing w:after="120"/>
        <w:ind w:left="0" w:firstLine="0"/>
        <w:jc w:val="both"/>
      </w:pPr>
      <w:r>
        <w:rPr>
          <w:lang w:val="en-GB"/>
        </w:rPr>
        <w:t xml:space="preserve"> </w:t>
      </w:r>
      <w:r w:rsidRPr="00184FA9">
        <w:rPr>
          <w:lang w:val="en-GB"/>
        </w:rPr>
        <w:t xml:space="preserve">The project includes two main components. Component A - </w:t>
      </w:r>
      <w:r w:rsidRPr="00184FA9">
        <w:rPr>
          <w:i/>
          <w:iCs/>
          <w:lang w:val="en-GB"/>
        </w:rPr>
        <w:t>Productivity Enhancement</w:t>
      </w:r>
      <w:r w:rsidRPr="00184FA9">
        <w:rPr>
          <w:lang w:val="en-GB"/>
        </w:rPr>
        <w:t xml:space="preserve"> –will increase milk productivity through improved animal breeding, nutrition, and delivery of Artificial Insemination (AI) services. Component B - </w:t>
      </w:r>
      <w:r w:rsidRPr="00184FA9">
        <w:rPr>
          <w:i/>
          <w:iCs/>
          <w:lang w:val="en-GB"/>
        </w:rPr>
        <w:t>Milk Collection and Bulking</w:t>
      </w:r>
      <w:r w:rsidRPr="00184FA9">
        <w:rPr>
          <w:lang w:val="en-GB"/>
        </w:rPr>
        <w:t xml:space="preserve"> – will improve access to markets by investing in village level milk collection and bulking facilities and formation of producer companies and dairy cooperative societies</w:t>
      </w:r>
      <w:r>
        <w:rPr>
          <w:lang w:val="en-GB"/>
        </w:rPr>
        <w:t>.</w:t>
      </w:r>
    </w:p>
    <w:p w:rsidR="00A47D5A" w:rsidRPr="00C9210C" w:rsidRDefault="00A47D5A" w:rsidP="00A47D5A">
      <w:pPr>
        <w:pStyle w:val="Default"/>
        <w:tabs>
          <w:tab w:val="left" w:pos="360"/>
        </w:tabs>
        <w:rPr>
          <w:rFonts w:ascii="Times New Roman" w:hAnsi="Times New Roman" w:cs="Times New Roman"/>
          <w:sz w:val="10"/>
          <w:szCs w:val="10"/>
        </w:rPr>
      </w:pPr>
    </w:p>
    <w:p w:rsidR="00A47D5A" w:rsidRPr="00184FA9" w:rsidRDefault="00A47D5A" w:rsidP="00AC2F9F">
      <w:pPr>
        <w:pStyle w:val="ListParagraph"/>
        <w:numPr>
          <w:ilvl w:val="0"/>
          <w:numId w:val="18"/>
        </w:numPr>
        <w:autoSpaceDE w:val="0"/>
        <w:autoSpaceDN w:val="0"/>
        <w:adjustRightInd w:val="0"/>
        <w:spacing w:after="120"/>
        <w:ind w:left="0" w:firstLine="0"/>
        <w:jc w:val="both"/>
      </w:pPr>
      <w:r w:rsidRPr="00184FA9">
        <w:rPr>
          <w:b/>
        </w:rPr>
        <w:t xml:space="preserve">Project interventions in participating states. </w:t>
      </w:r>
      <w:r w:rsidRPr="00184FA9">
        <w:t xml:space="preserve">The project </w:t>
      </w:r>
      <w:r>
        <w:t xml:space="preserve">aims to cover </w:t>
      </w:r>
      <w:r w:rsidRPr="00184FA9">
        <w:t xml:space="preserve">14 states. </w:t>
      </w:r>
      <w:r>
        <w:t xml:space="preserve">However, </w:t>
      </w:r>
      <w:r w:rsidRPr="00184FA9">
        <w:t xml:space="preserve">coverage of project interventions will differ across states, and it is possible to group participating states into two broad “zones”. </w:t>
      </w:r>
      <w:r>
        <w:t xml:space="preserve"> </w:t>
      </w:r>
      <w:r w:rsidRPr="00184FA9">
        <w:t xml:space="preserve">Zone 1 includes </w:t>
      </w:r>
      <w:r>
        <w:t xml:space="preserve">about 20,000 villages in </w:t>
      </w:r>
      <w:r w:rsidRPr="00184FA9">
        <w:t>5 states</w:t>
      </w:r>
      <w:r w:rsidRPr="00184FA9">
        <w:rPr>
          <w:rStyle w:val="FootnoteReference"/>
        </w:rPr>
        <w:footnoteReference w:id="2"/>
      </w:r>
      <w:r w:rsidRPr="00184FA9">
        <w:t xml:space="preserve"> </w:t>
      </w:r>
      <w:r>
        <w:t xml:space="preserve">where producer companies will be promoted.  These areas </w:t>
      </w:r>
      <w:r w:rsidRPr="00184FA9">
        <w:t xml:space="preserve">will </w:t>
      </w:r>
      <w:r>
        <w:t xml:space="preserve">receive </w:t>
      </w:r>
      <w:r w:rsidRPr="00184FA9">
        <w:t>all project interventions, including b</w:t>
      </w:r>
      <w:r w:rsidRPr="00184FA9">
        <w:rPr>
          <w:lang w:val="en-GB"/>
        </w:rPr>
        <w:t>ull production, semen production, AI, Ration Balancing Program, and milk pooling and bulking</w:t>
      </w:r>
      <w:r w:rsidRPr="00184FA9">
        <w:t xml:space="preserve">. </w:t>
      </w:r>
      <w:r>
        <w:t xml:space="preserve"> </w:t>
      </w:r>
      <w:r w:rsidRPr="00184FA9">
        <w:t>In this zone, the economic and financial analysis will count all project benefits.  Zone 2 includes</w:t>
      </w:r>
      <w:r>
        <w:t xml:space="preserve"> an additional about 20,000 villages </w:t>
      </w:r>
      <w:r w:rsidRPr="00184FA9">
        <w:rPr>
          <w:lang w:val="en-GB"/>
        </w:rPr>
        <w:t xml:space="preserve">where cooperatives already exist. </w:t>
      </w:r>
      <w:r>
        <w:rPr>
          <w:lang w:val="en-GB"/>
        </w:rPr>
        <w:t xml:space="preserve"> </w:t>
      </w:r>
      <w:r w:rsidRPr="00184FA9">
        <w:rPr>
          <w:lang w:val="en-GB"/>
        </w:rPr>
        <w:t xml:space="preserve">AI services in these </w:t>
      </w:r>
      <w:r>
        <w:rPr>
          <w:lang w:val="en-GB"/>
        </w:rPr>
        <w:t xml:space="preserve">villages </w:t>
      </w:r>
      <w:r w:rsidRPr="00184FA9">
        <w:rPr>
          <w:lang w:val="en-GB"/>
        </w:rPr>
        <w:t xml:space="preserve">will continue to be provided through the existing systems (mostly government and NGOs). </w:t>
      </w:r>
      <w:r>
        <w:rPr>
          <w:lang w:val="en-GB"/>
        </w:rPr>
        <w:t xml:space="preserve"> </w:t>
      </w:r>
      <w:r w:rsidRPr="00184FA9">
        <w:rPr>
          <w:lang w:val="en-GB"/>
        </w:rPr>
        <w:t xml:space="preserve">The project will provide the other interventions, including expanding milk pooling and bulking through formation of dairy cooperative societies and ration balancing program. </w:t>
      </w:r>
      <w:r>
        <w:rPr>
          <w:lang w:val="en-GB"/>
        </w:rPr>
        <w:t xml:space="preserve"> </w:t>
      </w:r>
      <w:r w:rsidRPr="00184FA9">
        <w:rPr>
          <w:rFonts w:eastAsia="SimSun"/>
          <w:lang w:val="en-GB" w:eastAsia="zh-CN"/>
        </w:rPr>
        <w:t xml:space="preserve">In zone 2 the economic and financial analysis only counts </w:t>
      </w:r>
      <w:r w:rsidRPr="00184FA9">
        <w:t xml:space="preserve">benefits of ration balancing program and milk collection and bulking interventions. </w:t>
      </w:r>
      <w:r>
        <w:t xml:space="preserve"> </w:t>
      </w:r>
      <w:r w:rsidRPr="00184FA9">
        <w:t>Overall, the economic and financial analysis only counts benefits in these two zones, even though s</w:t>
      </w:r>
      <w:r w:rsidRPr="00184FA9">
        <w:rPr>
          <w:lang w:val="en-GB"/>
        </w:rPr>
        <w:t xml:space="preserve">emen produced through the project will be available for use throughout </w:t>
      </w:r>
      <w:r>
        <w:rPr>
          <w:lang w:val="en-GB"/>
        </w:rPr>
        <w:t>the country</w:t>
      </w:r>
      <w:r w:rsidR="00042C4B">
        <w:rPr>
          <w:lang w:val="en-GB"/>
        </w:rPr>
        <w:t>. NDSP impact zones are captured in detail in Annex.5</w:t>
      </w:r>
      <w:r w:rsidRPr="00184FA9">
        <w:rPr>
          <w:lang w:val="en-GB"/>
        </w:rPr>
        <w:t>.</w:t>
      </w:r>
    </w:p>
    <w:p w:rsidR="00A47D5A" w:rsidRPr="00C9210C" w:rsidRDefault="00A47D5A" w:rsidP="00A47D5A">
      <w:pPr>
        <w:rPr>
          <w:sz w:val="10"/>
          <w:szCs w:val="10"/>
        </w:rPr>
      </w:pPr>
    </w:p>
    <w:p w:rsidR="00A47D5A" w:rsidRPr="00184FA9" w:rsidRDefault="00A47D5A" w:rsidP="00AC2F9F">
      <w:pPr>
        <w:pStyle w:val="ListParagraph"/>
        <w:numPr>
          <w:ilvl w:val="0"/>
          <w:numId w:val="18"/>
        </w:numPr>
        <w:autoSpaceDE w:val="0"/>
        <w:autoSpaceDN w:val="0"/>
        <w:adjustRightInd w:val="0"/>
        <w:spacing w:after="120"/>
        <w:ind w:left="0" w:firstLine="0"/>
        <w:jc w:val="both"/>
      </w:pPr>
      <w:r w:rsidRPr="00184FA9">
        <w:rPr>
          <w:b/>
        </w:rPr>
        <w:t xml:space="preserve">Detailed description of project benefits. </w:t>
      </w:r>
      <w:r w:rsidRPr="00184FA9">
        <w:t>Project benefits are quantified for the following investments:</w:t>
      </w:r>
    </w:p>
    <w:p w:rsidR="00A47D5A" w:rsidRPr="00C9210C" w:rsidRDefault="00A47D5A" w:rsidP="00A47D5A">
      <w:pPr>
        <w:pStyle w:val="ListParagraph"/>
        <w:tabs>
          <w:tab w:val="left" w:pos="360"/>
        </w:tabs>
        <w:ind w:left="0"/>
        <w:rPr>
          <w:b/>
          <w:sz w:val="10"/>
          <w:szCs w:val="10"/>
        </w:rPr>
      </w:pPr>
    </w:p>
    <w:p w:rsidR="00A47D5A" w:rsidRPr="00184FA9" w:rsidRDefault="00A47D5A" w:rsidP="00AC2F9F">
      <w:pPr>
        <w:pStyle w:val="ListParagraph"/>
        <w:tabs>
          <w:tab w:val="left" w:pos="360"/>
        </w:tabs>
        <w:ind w:left="0"/>
        <w:jc w:val="both"/>
      </w:pPr>
      <w:r w:rsidRPr="00184FA9">
        <w:rPr>
          <w:b/>
        </w:rPr>
        <w:t>Component A - productivity enhancement -</w:t>
      </w:r>
      <w:r w:rsidR="00C9210C">
        <w:t xml:space="preserve"> account for 57% of </w:t>
      </w:r>
      <w:r w:rsidRPr="00184FA9">
        <w:t xml:space="preserve">total project costs, which are shared between animal breed improvement and AI services (36%) and animal nutrition (21%). </w:t>
      </w:r>
    </w:p>
    <w:p w:rsidR="00A47D5A" w:rsidRPr="00C9210C" w:rsidRDefault="00A47D5A" w:rsidP="00A47D5A">
      <w:pPr>
        <w:pStyle w:val="ListParagraph"/>
        <w:tabs>
          <w:tab w:val="left" w:pos="360"/>
        </w:tabs>
        <w:ind w:left="0"/>
        <w:rPr>
          <w:sz w:val="10"/>
          <w:szCs w:val="10"/>
        </w:rPr>
      </w:pPr>
    </w:p>
    <w:p w:rsidR="00A47D5A" w:rsidRDefault="00A47D5A" w:rsidP="00AC2F9F">
      <w:pPr>
        <w:pStyle w:val="ListParagraph"/>
        <w:numPr>
          <w:ilvl w:val="0"/>
          <w:numId w:val="18"/>
        </w:numPr>
        <w:autoSpaceDE w:val="0"/>
        <w:autoSpaceDN w:val="0"/>
        <w:adjustRightInd w:val="0"/>
        <w:spacing w:after="120"/>
        <w:ind w:left="0" w:firstLine="0"/>
        <w:jc w:val="both"/>
      </w:pPr>
      <w:r w:rsidRPr="00184FA9">
        <w:rPr>
          <w:u w:val="single"/>
        </w:rPr>
        <w:t>Animal breed improvement and AI services:</w:t>
      </w:r>
      <w:r w:rsidRPr="00184FA9">
        <w:t xml:space="preserve"> </w:t>
      </w:r>
      <w:r>
        <w:t>The project builds on existing 4 PT programs which have been operating in the country since 1992. Initially, bulls from these programs will be ranked on genetic merit based on daughters ‘progeny’ performance, and the top 5-10% bulls will be mated to top performing dams. These planned matings will produce h</w:t>
      </w:r>
      <w:r w:rsidRPr="00DF02B2">
        <w:t xml:space="preserve">igh genetic merit (HGM) </w:t>
      </w:r>
      <w:r>
        <w:t xml:space="preserve">young </w:t>
      </w:r>
      <w:r w:rsidRPr="00DF02B2">
        <w:t>bulls</w:t>
      </w:r>
      <w:r>
        <w:t xml:space="preserve"> for AI. Overall, h</w:t>
      </w:r>
      <w:r w:rsidRPr="00EA5C85">
        <w:t xml:space="preserve">igh genetic merit (HGM) bulls </w:t>
      </w:r>
      <w:r>
        <w:t xml:space="preserve">in the project </w:t>
      </w:r>
      <w:r w:rsidRPr="00EA5C85">
        <w:t xml:space="preserve">will supply about 3.85 million semen doses annually leading to </w:t>
      </w:r>
      <w:r w:rsidRPr="00EA5C85">
        <w:rPr>
          <w:i/>
        </w:rPr>
        <w:t>increased milk productivity through better genetics,</w:t>
      </w:r>
      <w:r w:rsidRPr="00EA5C85">
        <w:t xml:space="preserve"> while quality AI services delivered through 3000 trained Mobile AI Technicians (MAITs) will lead to </w:t>
      </w:r>
      <w:r w:rsidRPr="00EA5C85">
        <w:rPr>
          <w:i/>
        </w:rPr>
        <w:t>reduced inter-calving period</w:t>
      </w:r>
      <w:r w:rsidRPr="00EA5C85">
        <w:t xml:space="preserve"> </w:t>
      </w:r>
      <w:r w:rsidRPr="00EA5C85">
        <w:rPr>
          <w:i/>
        </w:rPr>
        <w:t>due to improved conception rate</w:t>
      </w:r>
      <w:r w:rsidRPr="00EA5C85">
        <w:t xml:space="preserve">. These benefits are only counted in Zone 1.  </w:t>
      </w:r>
    </w:p>
    <w:p w:rsidR="00A47D5A" w:rsidRPr="00C9210C" w:rsidRDefault="00A47D5A" w:rsidP="00A47D5A">
      <w:pPr>
        <w:pStyle w:val="ListParagraph"/>
        <w:tabs>
          <w:tab w:val="left" w:pos="360"/>
        </w:tabs>
        <w:ind w:left="0"/>
        <w:rPr>
          <w:sz w:val="10"/>
          <w:szCs w:val="10"/>
        </w:rPr>
      </w:pPr>
    </w:p>
    <w:p w:rsidR="00AC2F9F" w:rsidRDefault="00A47D5A" w:rsidP="00AC2F9F">
      <w:pPr>
        <w:pStyle w:val="ListParagraph"/>
        <w:numPr>
          <w:ilvl w:val="0"/>
          <w:numId w:val="15"/>
        </w:numPr>
        <w:tabs>
          <w:tab w:val="left" w:pos="360"/>
        </w:tabs>
        <w:ind w:left="0" w:firstLine="0"/>
        <w:contextualSpacing/>
        <w:jc w:val="both"/>
      </w:pPr>
      <w:r w:rsidRPr="00184FA9">
        <w:rPr>
          <w:i/>
        </w:rPr>
        <w:lastRenderedPageBreak/>
        <w:t>Increased milk productivity due to better genetics</w:t>
      </w:r>
      <w:r w:rsidRPr="00184FA9">
        <w:t>. Without project (WOP), improved genetics would increase milk productivity annually by 0.2% due to l</w:t>
      </w:r>
      <w:r>
        <w:t xml:space="preserve">imited </w:t>
      </w:r>
      <w:r w:rsidRPr="00184FA9">
        <w:t xml:space="preserve">breed </w:t>
      </w:r>
      <w:r>
        <w:t xml:space="preserve">improvement </w:t>
      </w:r>
      <w:r w:rsidR="00B77E6D">
        <w:rPr>
          <w:noProof/>
        </w:rPr>
        <w:drawing>
          <wp:anchor distT="67056" distB="67945" distL="169164" distR="172339" simplePos="0" relativeHeight="251667456" behindDoc="0" locked="0" layoutInCell="1" allowOverlap="1">
            <wp:simplePos x="0" y="0"/>
            <wp:positionH relativeFrom="column">
              <wp:posOffset>3074416</wp:posOffset>
            </wp:positionH>
            <wp:positionV relativeFrom="paragraph">
              <wp:posOffset>-72154</wp:posOffset>
            </wp:positionV>
            <wp:extent cx="2868168" cy="1553678"/>
            <wp:effectExtent l="0" t="0" r="0" b="0"/>
            <wp:wrapSquare wrapText="bothSides"/>
            <wp:docPr id="22"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t xml:space="preserve">programs </w:t>
      </w:r>
      <w:r w:rsidRPr="00184FA9">
        <w:t>animals in the country</w:t>
      </w:r>
      <w:r w:rsidRPr="00184FA9">
        <w:rPr>
          <w:rStyle w:val="FootnoteReference"/>
        </w:rPr>
        <w:footnoteReference w:id="3"/>
      </w:r>
      <w:r w:rsidRPr="00184FA9">
        <w:t>. With project</w:t>
      </w:r>
      <w:r w:rsidRPr="00184FA9">
        <w:rPr>
          <w:rStyle w:val="FootnoteReference"/>
        </w:rPr>
        <w:footnoteReference w:id="4"/>
      </w:r>
      <w:r w:rsidRPr="00184FA9">
        <w:t xml:space="preserve"> (WP), milk productivity due to pure genetics will increase by 5% for daughters </w:t>
      </w:r>
      <w:r>
        <w:t xml:space="preserve">milking </w:t>
      </w:r>
      <w:r w:rsidRPr="00184FA9">
        <w:t>in 5</w:t>
      </w:r>
      <w:r w:rsidRPr="00184FA9">
        <w:rPr>
          <w:vertAlign w:val="superscript"/>
        </w:rPr>
        <w:t>th</w:t>
      </w:r>
      <w:r w:rsidRPr="00184FA9">
        <w:t xml:space="preserve"> year (cross bred cows) or 6</w:t>
      </w:r>
      <w:r w:rsidRPr="00184FA9">
        <w:rPr>
          <w:vertAlign w:val="superscript"/>
        </w:rPr>
        <w:t>th</w:t>
      </w:r>
      <w:r w:rsidRPr="00184FA9">
        <w:t xml:space="preserve"> year (indigenous cows and buffaloes) – after which milk productivity will increase at an annual compounded rate of 1%. </w:t>
      </w:r>
      <w:r>
        <w:t xml:space="preserve"> </w:t>
      </w:r>
      <w:r w:rsidRPr="00184FA9">
        <w:t xml:space="preserve">But cross bred daughters produced from indigenous cows will achieve higher milk productivity – jumping to 220% in year 6 – after which it will also increase at an annual compounded rate of 1%. In accounting for these benefits, the analysis has considered a conservative time lag of two more years for the milk productivity benefits to start flowing. </w:t>
      </w:r>
      <w:r>
        <w:t xml:space="preserve"> The </w:t>
      </w:r>
      <w:r w:rsidRPr="008323D0">
        <w:t>analysis begins to count milk productivity benefits from year 7.</w:t>
      </w:r>
    </w:p>
    <w:p w:rsidR="00A47D5A" w:rsidRPr="008323D0" w:rsidRDefault="00A47D5A" w:rsidP="00AC2F9F">
      <w:pPr>
        <w:pStyle w:val="ListParagraph"/>
        <w:tabs>
          <w:tab w:val="left" w:pos="360"/>
        </w:tabs>
        <w:ind w:left="0"/>
        <w:contextualSpacing/>
        <w:jc w:val="both"/>
      </w:pPr>
    </w:p>
    <w:p w:rsidR="00A47D5A" w:rsidRPr="00184FA9" w:rsidRDefault="00A47D5A" w:rsidP="00AC2F9F">
      <w:pPr>
        <w:pStyle w:val="ListParagraph"/>
        <w:tabs>
          <w:tab w:val="left" w:pos="360"/>
        </w:tabs>
        <w:ind w:left="0"/>
        <w:jc w:val="both"/>
      </w:pPr>
      <w:r w:rsidRPr="00184FA9">
        <w:t>On average, compared to WOP, milk yield with improved genetics will increase by 12% in year 7, 16% in year 8 and 26% in year 20 (see figure 1 and table 1). Average annual growth in milk productivity due to improved genetics over the project life of 20 years will be 1.5% compared to only about 0.2% WOP.</w:t>
      </w:r>
    </w:p>
    <w:p w:rsidR="00A47D5A" w:rsidRPr="00184FA9" w:rsidRDefault="00A47D5A" w:rsidP="00A47D5A">
      <w:pPr>
        <w:pStyle w:val="ListParagraph"/>
        <w:tabs>
          <w:tab w:val="left" w:pos="360"/>
        </w:tabs>
        <w:ind w:left="0"/>
      </w:pPr>
      <w:r w:rsidRPr="00184FA9">
        <w:t xml:space="preserve"> </w:t>
      </w:r>
    </w:p>
    <w:p w:rsidR="00A47D5A" w:rsidRPr="00184FA9" w:rsidRDefault="00B77E6D" w:rsidP="00AC2F9F">
      <w:pPr>
        <w:pStyle w:val="ListParagraph"/>
        <w:tabs>
          <w:tab w:val="left" w:pos="360"/>
        </w:tabs>
        <w:ind w:left="0"/>
        <w:jc w:val="both"/>
      </w:pPr>
      <w:r>
        <w:rPr>
          <w:noProof/>
        </w:rPr>
        <w:drawing>
          <wp:anchor distT="60960" distB="51181" distL="175260" distR="146812" simplePos="0" relativeHeight="251661312" behindDoc="0" locked="0" layoutInCell="1" allowOverlap="1">
            <wp:simplePos x="0" y="0"/>
            <wp:positionH relativeFrom="column">
              <wp:posOffset>-87630</wp:posOffset>
            </wp:positionH>
            <wp:positionV relativeFrom="paragraph">
              <wp:posOffset>15875</wp:posOffset>
            </wp:positionV>
            <wp:extent cx="2916047" cy="1690751"/>
            <wp:effectExtent l="0" t="0" r="0" b="0"/>
            <wp:wrapSquare wrapText="bothSides"/>
            <wp:docPr id="21"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A47D5A" w:rsidRPr="00184FA9">
        <w:t xml:space="preserve">By year 7 about 36,170 improved and cross bred (CB) lactating bovines will be produced. The numbers will increase and stabilize at 3.5 million annually from year 15 onwards. Annual incremental milk production will reach 24,440 tons in year 7 and 1.99 million tons in year 20 (see figure 2 and table 2). </w:t>
      </w:r>
      <w:r w:rsidR="00A47D5A">
        <w:t xml:space="preserve"> </w:t>
      </w:r>
      <w:r w:rsidR="00A47D5A" w:rsidRPr="00184FA9">
        <w:t xml:space="preserve">Average financial gross margin across lactating bovines is Rupees (Rs) 3065 per metric ton. </w:t>
      </w:r>
      <w:r w:rsidR="00A47D5A">
        <w:t xml:space="preserve"> </w:t>
      </w:r>
      <w:r w:rsidR="00A47D5A" w:rsidRPr="00184FA9">
        <w:t>This means genetic improvement alone will improve annual financial gross margin to Rs 75 million in year 7 and to Rs 6100 million in year 15.</w:t>
      </w:r>
      <w:r w:rsidR="00A47D5A" w:rsidRPr="00184FA9">
        <w:rPr>
          <w:i/>
          <w:noProof/>
        </w:rPr>
        <w:t xml:space="preserve"> </w:t>
      </w:r>
    </w:p>
    <w:p w:rsidR="00A47D5A" w:rsidRPr="00184FA9" w:rsidRDefault="00A47D5A" w:rsidP="00A47D5A">
      <w:pPr>
        <w:pStyle w:val="ListParagraph"/>
      </w:pPr>
    </w:p>
    <w:p w:rsidR="00A47D5A" w:rsidRPr="00184FA9" w:rsidRDefault="00A47D5A" w:rsidP="00AC2F9F">
      <w:pPr>
        <w:pStyle w:val="ListParagraph"/>
        <w:numPr>
          <w:ilvl w:val="0"/>
          <w:numId w:val="15"/>
        </w:numPr>
        <w:tabs>
          <w:tab w:val="left" w:pos="360"/>
        </w:tabs>
        <w:ind w:left="0" w:firstLine="0"/>
        <w:contextualSpacing/>
        <w:jc w:val="both"/>
      </w:pPr>
      <w:r w:rsidRPr="00184FA9">
        <w:rPr>
          <w:i/>
        </w:rPr>
        <w:t xml:space="preserve">Reduced inter-calving period due to improved conception rate. </w:t>
      </w:r>
      <w:r w:rsidRPr="00184FA9">
        <w:t>Average conception rate WOP is 35% and the project</w:t>
      </w:r>
      <w:r>
        <w:t>’</w:t>
      </w:r>
      <w:r w:rsidRPr="00184FA9">
        <w:t>s AI services will improve the conception rate to 45%. (This is a conservative estimate because a study has shown the same intervention could improve conception rate to over 50%</w:t>
      </w:r>
      <w:r w:rsidRPr="00184FA9">
        <w:rPr>
          <w:vertAlign w:val="superscript"/>
        </w:rPr>
        <w:footnoteReference w:id="5"/>
      </w:r>
      <w:r w:rsidRPr="00184FA9">
        <w:t>)</w:t>
      </w:r>
      <w:r>
        <w:t>.</w:t>
      </w:r>
      <w:r w:rsidRPr="00184FA9">
        <w:t xml:space="preserve"> These benefits are mainly due to high quality semen being </w:t>
      </w:r>
      <w:r w:rsidRPr="00184FA9">
        <w:lastRenderedPageBreak/>
        <w:t xml:space="preserve">delivered through MAITs trained by the project. </w:t>
      </w:r>
      <w:r>
        <w:t xml:space="preserve"> </w:t>
      </w:r>
      <w:r w:rsidRPr="00184FA9">
        <w:t xml:space="preserve">Each </w:t>
      </w:r>
      <w:r w:rsidRPr="00184FA9">
        <w:rPr>
          <w:iCs/>
        </w:rPr>
        <w:t>MAIT starts with about 45 inseminations per month and will reach 136 inseminations by year 6</w:t>
      </w:r>
      <w:r w:rsidRPr="00184FA9">
        <w:rPr>
          <w:rStyle w:val="FootnoteReference"/>
          <w:iCs/>
        </w:rPr>
        <w:footnoteReference w:id="6"/>
      </w:r>
      <w:r w:rsidRPr="00184FA9">
        <w:rPr>
          <w:iCs/>
        </w:rPr>
        <w:t xml:space="preserve">. </w:t>
      </w:r>
      <w:r>
        <w:rPr>
          <w:iCs/>
        </w:rPr>
        <w:t xml:space="preserve"> </w:t>
      </w:r>
      <w:r w:rsidRPr="00184FA9">
        <w:t xml:space="preserve">A total of 1.56 million lactating bovines will be inseminated annually, reducing inter-calving period by about 14 days across the projected composition of bovines (35% indigenous, 35% CB and 30% buffaloes). </w:t>
      </w:r>
      <w:r>
        <w:t xml:space="preserve"> </w:t>
      </w:r>
      <w:r w:rsidRPr="00184FA9">
        <w:t>For this composition of bovines, average in-milk yield across lactating animals is 5.6 kg per day</w:t>
      </w:r>
      <w:r w:rsidRPr="00184FA9">
        <w:rPr>
          <w:rStyle w:val="FootnoteReference"/>
        </w:rPr>
        <w:footnoteReference w:id="7"/>
      </w:r>
      <w:r w:rsidRPr="00184FA9">
        <w:t xml:space="preserve">. Incremental milk production due to reduced inter-calving period is estimated at 78 kg per lactation. Annual incremental milk production is estimated at 0.12 million tons at full development from year 8 onwards. Average financial gross margin is Rs 3065 per metric ton. </w:t>
      </w:r>
      <w:r>
        <w:t xml:space="preserve"> </w:t>
      </w:r>
      <w:r w:rsidRPr="00184FA9">
        <w:t>Annual incremental financial benefits due to reduced inter-calving period are projected at about Rs 373 million from year 8 onwards, only in Zone1.</w:t>
      </w:r>
    </w:p>
    <w:p w:rsidR="00A47D5A" w:rsidRPr="00184FA9" w:rsidRDefault="00A47D5A" w:rsidP="00A47D5A">
      <w:pPr>
        <w:pStyle w:val="ListParagraph"/>
        <w:tabs>
          <w:tab w:val="left" w:pos="360"/>
        </w:tabs>
        <w:ind w:left="0"/>
        <w:rPr>
          <w:b/>
        </w:rPr>
      </w:pPr>
    </w:p>
    <w:p w:rsidR="00A47D5A" w:rsidRPr="00184FA9" w:rsidRDefault="009D13F8" w:rsidP="00AC2F9F">
      <w:pPr>
        <w:pStyle w:val="ListParagraph"/>
        <w:numPr>
          <w:ilvl w:val="0"/>
          <w:numId w:val="18"/>
        </w:numPr>
        <w:autoSpaceDE w:val="0"/>
        <w:autoSpaceDN w:val="0"/>
        <w:adjustRightInd w:val="0"/>
        <w:spacing w:after="120"/>
        <w:ind w:left="0" w:firstLine="0"/>
        <w:jc w:val="both"/>
      </w:pPr>
      <w:r w:rsidRPr="009D13F8">
        <w:rPr>
          <w:i/>
          <w:noProof/>
        </w:rPr>
        <w:pict>
          <v:shapetype id="_x0000_t202" coordsize="21600,21600" o:spt="202" path="m,l,21600r21600,l21600,xe">
            <v:stroke joinstyle="miter"/>
            <v:path gradientshapeok="t" o:connecttype="rect"/>
          </v:shapetype>
          <v:shape id="_x0000_s1048" type="#_x0000_t202" style="position:absolute;left:0;text-align:left;margin-left:269.1pt;margin-top:87.5pt;width:212.7pt;height:199.5pt;z-index:251668480;mso-width-relative:margin;mso-height-relative:margin" stroked="f">
            <v:textbox style="mso-next-textbox:#_x0000_s1048">
              <w:txbxContent>
                <w:tbl>
                  <w:tblPr>
                    <w:tblW w:w="3990" w:type="dxa"/>
                    <w:tblInd w:w="18" w:type="dxa"/>
                    <w:tblLook w:val="04A0"/>
                  </w:tblPr>
                  <w:tblGrid>
                    <w:gridCol w:w="3990"/>
                  </w:tblGrid>
                  <w:tr w:rsidR="00740372" w:rsidRPr="00170FAA" w:rsidTr="00740372">
                    <w:trPr>
                      <w:trHeight w:val="262"/>
                    </w:trPr>
                    <w:tc>
                      <w:tcPr>
                        <w:tcW w:w="3990" w:type="dxa"/>
                        <w:tcBorders>
                          <w:top w:val="nil"/>
                          <w:left w:val="nil"/>
                          <w:bottom w:val="nil"/>
                          <w:right w:val="nil"/>
                        </w:tcBorders>
                        <w:shd w:val="clear" w:color="auto" w:fill="auto"/>
                        <w:noWrap/>
                        <w:vAlign w:val="bottom"/>
                        <w:hideMark/>
                      </w:tcPr>
                      <w:p w:rsidR="00740372" w:rsidRPr="00652C72" w:rsidRDefault="00740372" w:rsidP="00740372">
                        <w:pPr>
                          <w:ind w:left="134"/>
                          <w:jc w:val="center"/>
                          <w:rPr>
                            <w:sz w:val="18"/>
                            <w:szCs w:val="18"/>
                          </w:rPr>
                        </w:pPr>
                        <w:r w:rsidRPr="00AD70E3">
                          <w:rPr>
                            <w:noProof/>
                            <w:sz w:val="18"/>
                            <w:szCs w:val="18"/>
                            <w:lang w:val="en-US" w:eastAsia="en-US"/>
                          </w:rPr>
                          <w:drawing>
                            <wp:inline distT="0" distB="0" distL="0" distR="0">
                              <wp:extent cx="2255520" cy="1984858"/>
                              <wp:effectExtent l="0" t="0" r="0" b="0"/>
                              <wp:docPr id="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rsidR="00740372" w:rsidRPr="006D6C62" w:rsidRDefault="00740372" w:rsidP="00B77E6D">
                  <w:pPr>
                    <w:jc w:val="center"/>
                    <w:rPr>
                      <w:sz w:val="10"/>
                      <w:szCs w:val="10"/>
                    </w:rPr>
                  </w:pPr>
                </w:p>
                <w:p w:rsidR="00740372" w:rsidRPr="006E1A34" w:rsidRDefault="00740372" w:rsidP="00B77E6D">
                  <w:pPr>
                    <w:jc w:val="center"/>
                    <w:rPr>
                      <w:sz w:val="18"/>
                      <w:szCs w:val="18"/>
                    </w:rPr>
                  </w:pPr>
                  <w:r>
                    <w:rPr>
                      <w:sz w:val="18"/>
                      <w:szCs w:val="18"/>
                    </w:rPr>
                    <w:t>Fig.3 Sources of Incremental Benefits from RBP</w:t>
                  </w:r>
                </w:p>
              </w:txbxContent>
            </v:textbox>
            <w10:wrap type="square"/>
          </v:shape>
        </w:pict>
      </w:r>
      <w:r w:rsidR="00A47D5A" w:rsidRPr="00184FA9">
        <w:rPr>
          <w:u w:val="single"/>
        </w:rPr>
        <w:t>Animal nutrition</w:t>
      </w:r>
      <w:r w:rsidR="00A47D5A" w:rsidRPr="00184FA9">
        <w:rPr>
          <w:rStyle w:val="FootnoteReference"/>
          <w:u w:val="single"/>
        </w:rPr>
        <w:footnoteReference w:id="8"/>
      </w:r>
      <w:r w:rsidR="00A47D5A" w:rsidRPr="00184FA9">
        <w:rPr>
          <w:u w:val="single"/>
        </w:rPr>
        <w:t>:</w:t>
      </w:r>
      <w:r w:rsidR="00A47D5A" w:rsidRPr="00184FA9">
        <w:t xml:space="preserve"> The ration balancing program (RBP) is a feed management innovation that will be delivered to dairy producers through trained local resource persons (LRP). This will lead to the following benefits; (a) </w:t>
      </w:r>
      <w:r w:rsidR="00A47D5A" w:rsidRPr="00184FA9">
        <w:rPr>
          <w:i/>
        </w:rPr>
        <w:t>increased milk productivity</w:t>
      </w:r>
      <w:r w:rsidR="00A47D5A" w:rsidRPr="00184FA9">
        <w:t xml:space="preserve">, (b) </w:t>
      </w:r>
      <w:r w:rsidR="00A47D5A" w:rsidRPr="00184FA9">
        <w:rPr>
          <w:i/>
        </w:rPr>
        <w:t>reduced cost of milk production,</w:t>
      </w:r>
      <w:r w:rsidR="00A47D5A" w:rsidRPr="00184FA9">
        <w:t xml:space="preserve"> and (c) </w:t>
      </w:r>
      <w:r w:rsidR="00A47D5A" w:rsidRPr="00184FA9">
        <w:rPr>
          <w:i/>
        </w:rPr>
        <w:t xml:space="preserve">reduced methane emission. </w:t>
      </w:r>
      <w:r w:rsidR="00A47D5A" w:rsidRPr="00184FA9">
        <w:t xml:space="preserve">By end of the project about 40,319 trained LRPs would be operating in as many villages to cover 2.7 million lactating bovines annually. The LRP are almost equally shared between zone 1 and </w:t>
      </w:r>
      <w:r w:rsidR="00A47D5A">
        <w:t>z</w:t>
      </w:r>
      <w:r w:rsidR="00A47D5A" w:rsidRPr="00184FA9">
        <w:t xml:space="preserve">one 2. </w:t>
      </w:r>
      <w:r w:rsidR="00A47D5A" w:rsidRPr="00184FA9">
        <w:rPr>
          <w:i/>
        </w:rPr>
        <w:t xml:space="preserve"> </w:t>
      </w:r>
    </w:p>
    <w:p w:rsidR="00A47D5A" w:rsidRPr="00184FA9" w:rsidRDefault="00A47D5A" w:rsidP="00A47D5A">
      <w:pPr>
        <w:pStyle w:val="Default"/>
        <w:widowControl/>
        <w:tabs>
          <w:tab w:val="left" w:pos="360"/>
        </w:tabs>
        <w:rPr>
          <w:rFonts w:ascii="Times New Roman" w:hAnsi="Times New Roman" w:cs="Times New Roman"/>
        </w:rPr>
      </w:pPr>
    </w:p>
    <w:p w:rsidR="00A47D5A" w:rsidRPr="00184FA9" w:rsidRDefault="00A47D5A" w:rsidP="00AC2F9F">
      <w:pPr>
        <w:pStyle w:val="Default"/>
        <w:widowControl/>
        <w:numPr>
          <w:ilvl w:val="0"/>
          <w:numId w:val="16"/>
        </w:numPr>
        <w:tabs>
          <w:tab w:val="left" w:pos="360"/>
        </w:tabs>
        <w:ind w:left="0" w:firstLine="0"/>
        <w:jc w:val="both"/>
        <w:rPr>
          <w:rFonts w:ascii="Times New Roman" w:hAnsi="Times New Roman" w:cs="Times New Roman"/>
        </w:rPr>
      </w:pPr>
      <w:r w:rsidRPr="00184FA9">
        <w:rPr>
          <w:rFonts w:ascii="Times New Roman" w:hAnsi="Times New Roman" w:cs="Times New Roman"/>
          <w:i/>
        </w:rPr>
        <w:t>Increased milk productivity.</w:t>
      </w:r>
      <w:r w:rsidRPr="00184FA9">
        <w:rPr>
          <w:rFonts w:ascii="Times New Roman" w:hAnsi="Times New Roman" w:cs="Times New Roman"/>
        </w:rPr>
        <w:t xml:space="preserve"> Average </w:t>
      </w:r>
      <w:r>
        <w:rPr>
          <w:rFonts w:ascii="Times New Roman" w:hAnsi="Times New Roman" w:cs="Times New Roman"/>
        </w:rPr>
        <w:t>in-</w:t>
      </w:r>
      <w:r w:rsidRPr="00184FA9">
        <w:rPr>
          <w:rFonts w:ascii="Times New Roman" w:hAnsi="Times New Roman" w:cs="Times New Roman"/>
        </w:rPr>
        <w:t>milk yield across lactating bovines is 4.7 kg/day</w:t>
      </w:r>
      <w:r w:rsidRPr="00184FA9">
        <w:rPr>
          <w:rStyle w:val="FootnoteReference"/>
          <w:rFonts w:ascii="Times New Roman" w:hAnsi="Times New Roman" w:cs="Times New Roman"/>
        </w:rPr>
        <w:footnoteReference w:id="9"/>
      </w:r>
      <w:r w:rsidRPr="00184FA9">
        <w:rPr>
          <w:rFonts w:ascii="Times New Roman" w:hAnsi="Times New Roman" w:cs="Times New Roman"/>
        </w:rPr>
        <w:t xml:space="preserve">. The NDDB has conducted studies in Gujarat and Uttar </w:t>
      </w:r>
      <w:r w:rsidRPr="00184FA9">
        <w:rPr>
          <w:rFonts w:ascii="Times New Roman" w:hAnsi="Times New Roman" w:cs="Times New Roman"/>
          <w:color w:val="auto"/>
        </w:rPr>
        <w:t xml:space="preserve">Pradesh which show that a pilot RBP has increased milk yield </w:t>
      </w:r>
      <w:r w:rsidRPr="00184FA9">
        <w:rPr>
          <w:rFonts w:ascii="Times New Roman" w:hAnsi="Times New Roman" w:cs="Times New Roman"/>
        </w:rPr>
        <w:t xml:space="preserve">by between 7% and 12%. </w:t>
      </w:r>
      <w:r>
        <w:rPr>
          <w:rFonts w:ascii="Times New Roman" w:hAnsi="Times New Roman" w:cs="Times New Roman"/>
        </w:rPr>
        <w:t xml:space="preserve"> </w:t>
      </w:r>
      <w:r w:rsidRPr="00184FA9">
        <w:rPr>
          <w:rFonts w:ascii="Times New Roman" w:hAnsi="Times New Roman" w:cs="Times New Roman"/>
        </w:rPr>
        <w:t xml:space="preserve">This analysis will assume a 10% increase in milk productivity. </w:t>
      </w:r>
      <w:r>
        <w:rPr>
          <w:rFonts w:ascii="Times New Roman" w:hAnsi="Times New Roman" w:cs="Times New Roman"/>
        </w:rPr>
        <w:t xml:space="preserve"> </w:t>
      </w:r>
      <w:r w:rsidRPr="00184FA9">
        <w:rPr>
          <w:rFonts w:ascii="Times New Roman" w:hAnsi="Times New Roman" w:cs="Times New Roman"/>
        </w:rPr>
        <w:t>Annual incremental milk production due to increased productivity through RBP will reach 0.46 million tons in year 11, with corresponding annual incremental financial benefits of Rs 1417 million.</w:t>
      </w:r>
    </w:p>
    <w:p w:rsidR="00A47D5A" w:rsidRPr="00184FA9" w:rsidRDefault="00A47D5A" w:rsidP="00A47D5A">
      <w:pPr>
        <w:pStyle w:val="Default"/>
        <w:rPr>
          <w:rFonts w:ascii="Times New Roman" w:hAnsi="Times New Roman" w:cs="Times New Roman"/>
          <w:i/>
        </w:rPr>
      </w:pPr>
    </w:p>
    <w:p w:rsidR="00A47D5A" w:rsidRPr="00184FA9" w:rsidRDefault="00A47D5A" w:rsidP="00AC2F9F">
      <w:pPr>
        <w:pStyle w:val="Default"/>
        <w:widowControl/>
        <w:numPr>
          <w:ilvl w:val="0"/>
          <w:numId w:val="16"/>
        </w:numPr>
        <w:tabs>
          <w:tab w:val="left" w:pos="450"/>
        </w:tabs>
        <w:ind w:left="0" w:firstLine="0"/>
        <w:jc w:val="both"/>
        <w:rPr>
          <w:rFonts w:ascii="Times New Roman" w:hAnsi="Times New Roman" w:cs="Times New Roman"/>
        </w:rPr>
      </w:pPr>
      <w:r w:rsidRPr="00184FA9">
        <w:rPr>
          <w:rFonts w:ascii="Times New Roman" w:hAnsi="Times New Roman" w:cs="Times New Roman"/>
          <w:i/>
        </w:rPr>
        <w:t>Reduced cost of milk production.</w:t>
      </w:r>
      <w:r w:rsidRPr="00184FA9">
        <w:rPr>
          <w:rFonts w:ascii="Times New Roman" w:hAnsi="Times New Roman" w:cs="Times New Roman"/>
        </w:rPr>
        <w:t xml:space="preserve"> Average production cost of milk across lactating bovines is Rs 16.70 per kg. </w:t>
      </w:r>
      <w:r>
        <w:rPr>
          <w:rFonts w:ascii="Times New Roman" w:hAnsi="Times New Roman" w:cs="Times New Roman"/>
        </w:rPr>
        <w:t xml:space="preserve"> </w:t>
      </w:r>
      <w:r w:rsidRPr="00184FA9">
        <w:rPr>
          <w:rFonts w:ascii="Times New Roman" w:hAnsi="Times New Roman" w:cs="Times New Roman"/>
        </w:rPr>
        <w:t xml:space="preserve">Feed cost alone accounts for about 70% of the production cost. The NDDB studies have shown that RBP could reduce feed cost by between 10% and 21% in high yielding </w:t>
      </w:r>
      <w:r w:rsidRPr="00184FA9">
        <w:rPr>
          <w:rFonts w:ascii="Times New Roman" w:hAnsi="Times New Roman" w:cs="Times New Roman"/>
        </w:rPr>
        <w:lastRenderedPageBreak/>
        <w:t xml:space="preserve">improved and cross-bred bovines. This analysis will assume a conservative 5% reduction in feed cost. The RBP will cover about 2.7 million bovines. Annual incremental financial benefits due to reduced production cost will reach Rs 2691 million in year 10. </w:t>
      </w:r>
    </w:p>
    <w:p w:rsidR="00A47D5A" w:rsidRPr="00184FA9" w:rsidRDefault="00A47D5A" w:rsidP="00A47D5A">
      <w:pPr>
        <w:pStyle w:val="Default"/>
        <w:ind w:left="720"/>
        <w:rPr>
          <w:rFonts w:ascii="Times New Roman" w:hAnsi="Times New Roman" w:cs="Times New Roman"/>
          <w:i/>
        </w:rPr>
      </w:pPr>
    </w:p>
    <w:p w:rsidR="00A47D5A" w:rsidRPr="00184FA9" w:rsidRDefault="00A47D5A" w:rsidP="00AC2F9F">
      <w:pPr>
        <w:pStyle w:val="Default"/>
        <w:widowControl/>
        <w:numPr>
          <w:ilvl w:val="0"/>
          <w:numId w:val="16"/>
        </w:numPr>
        <w:tabs>
          <w:tab w:val="left" w:pos="450"/>
        </w:tabs>
        <w:ind w:left="0" w:firstLine="0"/>
        <w:jc w:val="both"/>
        <w:rPr>
          <w:rFonts w:ascii="Times New Roman" w:hAnsi="Times New Roman" w:cs="Times New Roman"/>
        </w:rPr>
      </w:pPr>
      <w:r w:rsidRPr="00184FA9">
        <w:rPr>
          <w:rFonts w:ascii="Times New Roman" w:hAnsi="Times New Roman" w:cs="Times New Roman"/>
          <w:i/>
        </w:rPr>
        <w:t>Reduced methane emission.</w:t>
      </w:r>
      <w:r w:rsidRPr="00184FA9">
        <w:rPr>
          <w:rFonts w:ascii="Times New Roman" w:hAnsi="Times New Roman" w:cs="Times New Roman"/>
        </w:rPr>
        <w:t xml:space="preserve"> Studies by the NDDB in Gujarat and Uttar Pradesh have shown that RBP reduces methane emissions by between 10% and 14% in lactating bovines. The analysis will assume the lower point of 10% for 2.7 million lactating bovines to be covered by RBP services. Average annual methane emission across bovines is 66 kg per animal, and reduced methane emission due to RBP is estimated at 0.16 tons of Certified Emission Reduction (CER), valued at Rs 122 per animal per year. Annual incremental benefits due to reduced methane emission will reach Rs 331 million by year 10.</w:t>
      </w:r>
    </w:p>
    <w:p w:rsidR="00A47D5A" w:rsidRPr="00184FA9" w:rsidRDefault="00A47D5A" w:rsidP="00A47D5A">
      <w:pPr>
        <w:pStyle w:val="Default"/>
        <w:keepNext/>
        <w:rPr>
          <w:rFonts w:ascii="Times New Roman" w:hAnsi="Times New Roman" w:cs="Times New Roman"/>
          <w:b/>
          <w:color w:val="auto"/>
        </w:rPr>
      </w:pPr>
    </w:p>
    <w:p w:rsidR="00A47D5A" w:rsidRPr="00363E3A" w:rsidRDefault="00A47D5A" w:rsidP="00AC2F9F">
      <w:pPr>
        <w:pStyle w:val="ListParagraph"/>
        <w:numPr>
          <w:ilvl w:val="0"/>
          <w:numId w:val="18"/>
        </w:numPr>
        <w:autoSpaceDE w:val="0"/>
        <w:autoSpaceDN w:val="0"/>
        <w:adjustRightInd w:val="0"/>
        <w:spacing w:after="120"/>
        <w:ind w:left="0" w:firstLine="0"/>
        <w:jc w:val="both"/>
        <w:rPr>
          <w:i/>
        </w:rPr>
      </w:pPr>
      <w:r w:rsidRPr="00184FA9">
        <w:rPr>
          <w:i/>
        </w:rPr>
        <w:t>In summary, efficient management of animal nutrition through RBP interventions in 40,319 villages will produce 0.46 million tons of incremental milk production annually, reduce CER by 0.45 million tons annually, and reduce milk production cost by at least 3.5% to benefit 2.7 million lactating bovines annually. The total annual incremental benefit due to RBP is Rs 4439 million (Fi</w:t>
      </w:r>
      <w:r>
        <w:rPr>
          <w:i/>
        </w:rPr>
        <w:t>g</w:t>
      </w:r>
      <w:r w:rsidRPr="00184FA9">
        <w:rPr>
          <w:i/>
        </w:rPr>
        <w:t>ure</w:t>
      </w:r>
      <w:r>
        <w:rPr>
          <w:i/>
        </w:rPr>
        <w:t xml:space="preserve"> </w:t>
      </w:r>
      <w:r w:rsidRPr="00184FA9">
        <w:rPr>
          <w:i/>
        </w:rPr>
        <w:t xml:space="preserve">3) of which </w:t>
      </w:r>
      <w:r w:rsidRPr="00184FA9">
        <w:rPr>
          <w:rFonts w:eastAsia="SimSun"/>
          <w:i/>
          <w:lang w:val="en-GB" w:eastAsia="zh-CN"/>
        </w:rPr>
        <w:t>increased milk productivity contributes 32%, reduced cost of milk production gives 61%, and reduced methane emission 7%. The total project benefits from RBP interventions are shared between zone 1 (53%) and zone 2 (47%)</w:t>
      </w:r>
      <w:r w:rsidRPr="00184FA9">
        <w:rPr>
          <w:i/>
        </w:rPr>
        <w:t xml:space="preserve">. </w:t>
      </w:r>
    </w:p>
    <w:p w:rsidR="00A47D5A" w:rsidRPr="00184FA9" w:rsidRDefault="00A47D5A" w:rsidP="00AC2F9F">
      <w:pPr>
        <w:pStyle w:val="ListParagraph"/>
        <w:numPr>
          <w:ilvl w:val="0"/>
          <w:numId w:val="18"/>
        </w:numPr>
        <w:autoSpaceDE w:val="0"/>
        <w:autoSpaceDN w:val="0"/>
        <w:adjustRightInd w:val="0"/>
        <w:spacing w:after="120"/>
        <w:ind w:left="0" w:firstLine="0"/>
        <w:jc w:val="both"/>
      </w:pPr>
      <w:r w:rsidRPr="00184FA9">
        <w:rPr>
          <w:b/>
        </w:rPr>
        <w:t xml:space="preserve">Component B – milk collection and bulking: </w:t>
      </w:r>
      <w:r w:rsidRPr="00184FA9">
        <w:t>Investments under this component account for 37% of the total project costs. The component will provide village level infrastructure for milk collection and bulking and institutional development by forming producer companies and dairy cooperative societies to improve access to markets for dairy producers. These interventions will benefit 1.3 million producers in 32,194 villages. Zone1 will account for 0.6 million producers in 20,297 villages where producer companies (PC) will be formed. Zone2 will account for 0.7 million producers in 11897 villages where dairy cooperative societies (DCS) will be formed. By year 6 the project targets to annually handle about 5.3 million kg per day, backed by bulk milk chilling (BMC) capacity to handle 1.7 million kg per day. The benefits</w:t>
      </w:r>
      <w:r w:rsidRPr="00184FA9">
        <w:rPr>
          <w:vertAlign w:val="superscript"/>
        </w:rPr>
        <w:footnoteReference w:id="10"/>
      </w:r>
      <w:r w:rsidRPr="00184FA9">
        <w:t xml:space="preserve"> from component B will be derived from; </w:t>
      </w:r>
      <w:r w:rsidRPr="00184FA9">
        <w:rPr>
          <w:i/>
        </w:rPr>
        <w:t xml:space="preserve">(a) increased producer price </w:t>
      </w:r>
      <w:r w:rsidRPr="00184FA9">
        <w:t xml:space="preserve">and </w:t>
      </w:r>
      <w:r w:rsidRPr="00184FA9">
        <w:rPr>
          <w:i/>
        </w:rPr>
        <w:t>(b)</w:t>
      </w:r>
      <w:r w:rsidRPr="00184FA9">
        <w:t xml:space="preserve"> </w:t>
      </w:r>
      <w:r w:rsidRPr="00184FA9">
        <w:rPr>
          <w:i/>
        </w:rPr>
        <w:t xml:space="preserve">reduced transaction costs, </w:t>
      </w:r>
      <w:r w:rsidRPr="00184FA9">
        <w:t xml:space="preserve">leading to higher gross margins for the 1.3 million producers. </w:t>
      </w:r>
    </w:p>
    <w:p w:rsidR="00A47D5A" w:rsidRPr="00184FA9" w:rsidRDefault="00A47D5A" w:rsidP="00AC2F9F">
      <w:pPr>
        <w:pStyle w:val="Default"/>
        <w:widowControl/>
        <w:numPr>
          <w:ilvl w:val="0"/>
          <w:numId w:val="17"/>
        </w:numPr>
        <w:tabs>
          <w:tab w:val="left" w:pos="360"/>
        </w:tabs>
        <w:ind w:left="0" w:firstLine="0"/>
        <w:jc w:val="both"/>
        <w:rPr>
          <w:rFonts w:ascii="Times New Roman" w:hAnsi="Times New Roman" w:cs="Times New Roman"/>
        </w:rPr>
      </w:pPr>
      <w:r w:rsidRPr="00184FA9">
        <w:rPr>
          <w:rFonts w:ascii="Times New Roman" w:hAnsi="Times New Roman" w:cs="Times New Roman"/>
          <w:i/>
        </w:rPr>
        <w:t xml:space="preserve">Increased producer price. </w:t>
      </w:r>
      <w:r w:rsidRPr="00184FA9">
        <w:rPr>
          <w:rFonts w:ascii="Times New Roman" w:hAnsi="Times New Roman" w:cs="Times New Roman"/>
        </w:rPr>
        <w:t>Field studies from traditional dairy and new generation cooperatives (similar to PC) across Indian</w:t>
      </w:r>
      <w:r w:rsidRPr="00184FA9">
        <w:rPr>
          <w:rStyle w:val="FootnoteReference"/>
          <w:rFonts w:ascii="Times New Roman" w:hAnsi="Times New Roman" w:cs="Times New Roman"/>
        </w:rPr>
        <w:footnoteReference w:id="11"/>
      </w:r>
      <w:r w:rsidRPr="00184FA9">
        <w:rPr>
          <w:rFonts w:ascii="Times New Roman" w:hAnsi="Times New Roman" w:cs="Times New Roman"/>
        </w:rPr>
        <w:t xml:space="preserve"> during 2008/11 indicate that village level organized milk collection and marketing leads to higher producer prices - on average by Rs 1 per kg. By year 6 of the project, improved village level milk collection and bulking will begin to handle about 2 million tons of milk annually. Milk producers benefited by this project intervention will gain annual incremental benefits of Rs 2048 million due to better producer prices.  </w:t>
      </w:r>
    </w:p>
    <w:p w:rsidR="00A47D5A" w:rsidRPr="00184FA9" w:rsidRDefault="00A47D5A" w:rsidP="00A47D5A">
      <w:pPr>
        <w:pStyle w:val="Default"/>
        <w:tabs>
          <w:tab w:val="left" w:pos="360"/>
        </w:tabs>
        <w:rPr>
          <w:rFonts w:ascii="Times New Roman" w:hAnsi="Times New Roman" w:cs="Times New Roman"/>
        </w:rPr>
      </w:pPr>
    </w:p>
    <w:p w:rsidR="00A47D5A" w:rsidRPr="00184FA9" w:rsidRDefault="00A47D5A" w:rsidP="00AC2F9F">
      <w:pPr>
        <w:pStyle w:val="Default"/>
        <w:widowControl/>
        <w:numPr>
          <w:ilvl w:val="0"/>
          <w:numId w:val="17"/>
        </w:numPr>
        <w:tabs>
          <w:tab w:val="left" w:pos="360"/>
        </w:tabs>
        <w:ind w:left="0" w:firstLine="0"/>
        <w:jc w:val="both"/>
        <w:rPr>
          <w:rFonts w:ascii="Times New Roman" w:hAnsi="Times New Roman" w:cs="Times New Roman"/>
        </w:rPr>
      </w:pPr>
      <w:r w:rsidRPr="00184FA9">
        <w:rPr>
          <w:rFonts w:ascii="Times New Roman" w:hAnsi="Times New Roman" w:cs="Times New Roman"/>
          <w:i/>
        </w:rPr>
        <w:t xml:space="preserve">Reduced transaction costs. </w:t>
      </w:r>
      <w:r w:rsidRPr="00184FA9">
        <w:rPr>
          <w:rFonts w:ascii="Times New Roman" w:hAnsi="Times New Roman" w:cs="Times New Roman"/>
        </w:rPr>
        <w:t xml:space="preserve"> The project will install bulk milk chillers (BMC) with capacity to handle 1.7 million liters per day of milk from year 6 onwards. The BMC are expected to operate at 80% capacity during project life.  It has been shown that BMC backed cooling facility at village milk collection points generate cost savings in transportation, operations, </w:t>
      </w:r>
      <w:r w:rsidRPr="00184FA9">
        <w:rPr>
          <w:rFonts w:ascii="Times New Roman" w:hAnsi="Times New Roman" w:cs="Times New Roman"/>
        </w:rPr>
        <w:lastRenderedPageBreak/>
        <w:t>handling and processing costs. The cost savings total Rs 0.92 per kg of milk at 2011 prices (based on f</w:t>
      </w:r>
      <w:r w:rsidRPr="00184FA9">
        <w:rPr>
          <w:rFonts w:ascii="Times New Roman" w:hAnsi="Times New Roman" w:cs="Times New Roman"/>
          <w:lang w:val="en-GB"/>
        </w:rPr>
        <w:t>ield level studies</w:t>
      </w:r>
      <w:r w:rsidRPr="00184FA9">
        <w:rPr>
          <w:rFonts w:ascii="Times New Roman" w:hAnsi="Times New Roman" w:cs="Times New Roman"/>
          <w:vertAlign w:val="superscript"/>
          <w:lang w:val="en-GB"/>
        </w:rPr>
        <w:footnoteReference w:id="12"/>
      </w:r>
      <w:r w:rsidRPr="00184FA9">
        <w:rPr>
          <w:rFonts w:ascii="Times New Roman" w:hAnsi="Times New Roman" w:cs="Times New Roman"/>
          <w:lang w:val="en-GB"/>
        </w:rPr>
        <w:t xml:space="preserve"> covering 1905 households from 92 DCS and 11 milk unions in five states)</w:t>
      </w:r>
      <w:r w:rsidRPr="00184FA9">
        <w:rPr>
          <w:rFonts w:ascii="Times New Roman" w:hAnsi="Times New Roman" w:cs="Times New Roman"/>
        </w:rPr>
        <w:t xml:space="preserve">. At 80% capacity utilization, the projects BMCs will handle annually 0.5 million tons of milk from year 6 onwards, which will generate annual financial benefits (cost savings) to the tune of Rs 460 million in 32194 project villages.   </w:t>
      </w:r>
    </w:p>
    <w:p w:rsidR="00A47D5A" w:rsidRPr="00184FA9" w:rsidRDefault="00A47D5A" w:rsidP="00A47D5A">
      <w:pPr>
        <w:pStyle w:val="Default"/>
        <w:rPr>
          <w:rFonts w:ascii="Times New Roman" w:hAnsi="Times New Roman" w:cs="Times New Roman"/>
        </w:rPr>
      </w:pPr>
      <w:r w:rsidRPr="00184FA9">
        <w:rPr>
          <w:rFonts w:ascii="Times New Roman" w:hAnsi="Times New Roman" w:cs="Times New Roman"/>
        </w:rPr>
        <w:t xml:space="preserve"> </w:t>
      </w:r>
    </w:p>
    <w:p w:rsidR="00A47D5A" w:rsidRPr="00184FA9" w:rsidRDefault="00A47D5A" w:rsidP="00AC2F9F">
      <w:pPr>
        <w:pStyle w:val="ListParagraph"/>
        <w:numPr>
          <w:ilvl w:val="0"/>
          <w:numId w:val="18"/>
        </w:numPr>
        <w:autoSpaceDE w:val="0"/>
        <w:autoSpaceDN w:val="0"/>
        <w:adjustRightInd w:val="0"/>
        <w:spacing w:after="120"/>
        <w:ind w:left="0" w:firstLine="0"/>
        <w:jc w:val="both"/>
        <w:rPr>
          <w:i/>
        </w:rPr>
      </w:pPr>
      <w:r w:rsidRPr="00184FA9">
        <w:rPr>
          <w:i/>
        </w:rPr>
        <w:t xml:space="preserve">In summary, milk collection and bulking together with improved access to markets (through PC and DCS) in about 32194 project villages will generate incremental annual financial gains to the tune of Rs 2508 million at full development, of which 82% is due to increased producer prices and 18% due to reduced transaction costs. </w:t>
      </w:r>
      <w:r w:rsidRPr="00184FA9">
        <w:rPr>
          <w:rFonts w:eastAsia="SimSun"/>
          <w:i/>
          <w:lang w:val="en-GB" w:eastAsia="zh-CN"/>
        </w:rPr>
        <w:t>The total project benefits from component B are shared between zone 1 (44%) and zone 2 (56%)</w:t>
      </w:r>
      <w:r w:rsidRPr="00184FA9">
        <w:rPr>
          <w:i/>
        </w:rPr>
        <w:t xml:space="preserve">. </w:t>
      </w:r>
    </w:p>
    <w:p w:rsidR="00A47D5A" w:rsidRPr="00184FA9" w:rsidRDefault="00A47D5A" w:rsidP="00A47D5A">
      <w:pPr>
        <w:pStyle w:val="Default"/>
        <w:rPr>
          <w:rFonts w:ascii="Times New Roman" w:hAnsi="Times New Roman" w:cs="Times New Roman"/>
        </w:rPr>
      </w:pPr>
    </w:p>
    <w:p w:rsidR="00A47D5A" w:rsidRPr="00184FA9" w:rsidRDefault="00A47D5A" w:rsidP="00AC2F9F">
      <w:pPr>
        <w:pStyle w:val="ListParagraph"/>
        <w:numPr>
          <w:ilvl w:val="0"/>
          <w:numId w:val="18"/>
        </w:numPr>
        <w:autoSpaceDE w:val="0"/>
        <w:autoSpaceDN w:val="0"/>
        <w:adjustRightInd w:val="0"/>
        <w:ind w:left="0" w:firstLine="0"/>
        <w:jc w:val="both"/>
      </w:pPr>
      <w:r>
        <w:rPr>
          <w:b/>
          <w:bCs/>
        </w:rPr>
        <w:t xml:space="preserve">   </w:t>
      </w:r>
      <w:r w:rsidRPr="00184FA9">
        <w:rPr>
          <w:b/>
          <w:bCs/>
        </w:rPr>
        <w:t xml:space="preserve">Indirect project benefits not accounted: </w:t>
      </w:r>
      <w:r w:rsidRPr="00184FA9">
        <w:rPr>
          <w:bCs/>
        </w:rPr>
        <w:t xml:space="preserve">the project has potential for various indirect benefits to farmers and the dairy industry in general. For example, </w:t>
      </w:r>
      <w:r>
        <w:rPr>
          <w:bCs/>
        </w:rPr>
        <w:t xml:space="preserve">semen production and AI delivery components </w:t>
      </w:r>
      <w:r w:rsidRPr="00184FA9">
        <w:t xml:space="preserve">will </w:t>
      </w:r>
      <w:r>
        <w:t xml:space="preserve">decrease spread of </w:t>
      </w:r>
      <w:r w:rsidRPr="00184FA9">
        <w:rPr>
          <w:i/>
        </w:rPr>
        <w:t>diseases, improve the overall genetic potential, and contribute to preservation of biodiversity</w:t>
      </w:r>
      <w:r w:rsidRPr="00184FA9">
        <w:t xml:space="preserve">. </w:t>
      </w:r>
      <w:r>
        <w:t xml:space="preserve"> </w:t>
      </w:r>
      <w:r w:rsidRPr="00184FA9">
        <w:t xml:space="preserve"> </w:t>
      </w:r>
      <w:r>
        <w:t>N</w:t>
      </w:r>
      <w:r w:rsidRPr="00184FA9">
        <w:t xml:space="preserve">utrition interventions will improve </w:t>
      </w:r>
      <w:r w:rsidRPr="00184FA9">
        <w:rPr>
          <w:i/>
        </w:rPr>
        <w:t>feed conversion ratio, milk quality, and sector-wide management of scarce feed resources</w:t>
      </w:r>
      <w:r w:rsidRPr="00184FA9">
        <w:t xml:space="preserve">. </w:t>
      </w:r>
      <w:r>
        <w:t xml:space="preserve"> </w:t>
      </w:r>
      <w:r w:rsidRPr="00184FA9">
        <w:t xml:space="preserve">Milk collection and bulking will lead to </w:t>
      </w:r>
      <w:r w:rsidRPr="00184FA9">
        <w:rPr>
          <w:i/>
        </w:rPr>
        <w:t>improvement in BMC capacity utilization and quality of liquid milk and products for consumers</w:t>
      </w:r>
      <w:r w:rsidRPr="00184FA9">
        <w:t xml:space="preserve">. </w:t>
      </w:r>
      <w:r>
        <w:t xml:space="preserve"> </w:t>
      </w:r>
      <w:r w:rsidRPr="00184FA9">
        <w:t xml:space="preserve">These indirect benefits are excluded from the financial and economic analysis due to data limitations, and therefore the estimated economic impact of the project gives lower-bound estimates. </w:t>
      </w:r>
    </w:p>
    <w:p w:rsidR="00A47D5A" w:rsidRPr="00184FA9" w:rsidRDefault="00A47D5A" w:rsidP="00A47D5A">
      <w:pPr>
        <w:pStyle w:val="Default"/>
        <w:tabs>
          <w:tab w:val="left" w:pos="0"/>
          <w:tab w:val="left" w:pos="540"/>
        </w:tabs>
        <w:rPr>
          <w:rFonts w:ascii="Times New Roman" w:hAnsi="Times New Roman" w:cs="Times New Roman"/>
        </w:rPr>
      </w:pPr>
    </w:p>
    <w:p w:rsidR="00A47D5A" w:rsidRPr="00184FA9" w:rsidRDefault="00A47D5A" w:rsidP="00AC2F9F">
      <w:pPr>
        <w:pStyle w:val="ListParagraph"/>
        <w:numPr>
          <w:ilvl w:val="0"/>
          <w:numId w:val="18"/>
        </w:numPr>
        <w:autoSpaceDE w:val="0"/>
        <w:autoSpaceDN w:val="0"/>
        <w:adjustRightInd w:val="0"/>
        <w:ind w:left="0" w:firstLine="0"/>
        <w:jc w:val="both"/>
      </w:pPr>
      <w:r>
        <w:rPr>
          <w:b/>
          <w:bCs/>
        </w:rPr>
        <w:t xml:space="preserve">   </w:t>
      </w:r>
      <w:r w:rsidRPr="00184FA9">
        <w:rPr>
          <w:b/>
          <w:bCs/>
        </w:rPr>
        <w:t xml:space="preserve">Methodology for Economic and Financial Analysis: </w:t>
      </w:r>
      <w:r w:rsidRPr="00184FA9">
        <w:rPr>
          <w:bCs/>
        </w:rPr>
        <w:t xml:space="preserve">The </w:t>
      </w:r>
      <w:r w:rsidRPr="00184FA9">
        <w:rPr>
          <w:bCs/>
          <w:i/>
          <w:lang w:val="en-GB"/>
        </w:rPr>
        <w:t>ex-ante</w:t>
      </w:r>
      <w:r w:rsidRPr="00184FA9">
        <w:rPr>
          <w:bCs/>
          <w:lang w:val="en-GB"/>
        </w:rPr>
        <w:t xml:space="preserve"> cost-benefit analysis</w:t>
      </w:r>
      <w:r w:rsidRPr="00184FA9">
        <w:rPr>
          <w:b/>
          <w:bCs/>
        </w:rPr>
        <w:t xml:space="preserve"> </w:t>
      </w:r>
      <w:r w:rsidRPr="00184FA9">
        <w:rPr>
          <w:bCs/>
        </w:rPr>
        <w:t>relies on both country and state level data for participating states. D</w:t>
      </w:r>
      <w:r w:rsidRPr="00184FA9">
        <w:t>ata for computing cost of production is compiled from secondary sources, and is representative of milk production typologies of participating states</w:t>
      </w:r>
      <w:r w:rsidRPr="00184FA9">
        <w:rPr>
          <w:rStyle w:val="FootnoteReference"/>
        </w:rPr>
        <w:footnoteReference w:id="13"/>
      </w:r>
      <w:r w:rsidRPr="00184FA9">
        <w:t xml:space="preserve">. Technical data on productivity, technology, price, management, and marketing parameters is compiled from primary and secondary sources covering participating states, and in some cases all India. The projects benefits are quantified separately for indigenous and cross bred cattle and buffaloes. Next, benefits are aggregated at project sub-component and component levels (in that order) separately for zone 1 and 2, and then finally aggregated for the project as a whole. The zone by zone analysis is meant to capture the impact of convergence of all project benefits in zone1. </w:t>
      </w:r>
      <w:r w:rsidRPr="00184FA9">
        <w:rPr>
          <w:i/>
          <w:iCs/>
        </w:rPr>
        <w:t>Financial analysis</w:t>
      </w:r>
      <w:r w:rsidRPr="00184FA9">
        <w:t xml:space="preserve"> is done at market prices.</w:t>
      </w:r>
      <w:r w:rsidRPr="00184FA9">
        <w:rPr>
          <w:i/>
          <w:iCs/>
        </w:rPr>
        <w:t xml:space="preserve"> </w:t>
      </w:r>
    </w:p>
    <w:p w:rsidR="00A47D5A" w:rsidRPr="00184FA9" w:rsidRDefault="00A47D5A" w:rsidP="00A47D5A">
      <w:pPr>
        <w:pStyle w:val="ListParagraph"/>
        <w:rPr>
          <w:i/>
          <w:iCs/>
        </w:rPr>
      </w:pPr>
    </w:p>
    <w:p w:rsidR="00AC2F9F" w:rsidRDefault="00A47D5A" w:rsidP="00AC2F9F">
      <w:pPr>
        <w:pStyle w:val="ListParagraph"/>
        <w:numPr>
          <w:ilvl w:val="0"/>
          <w:numId w:val="18"/>
        </w:numPr>
        <w:autoSpaceDE w:val="0"/>
        <w:autoSpaceDN w:val="0"/>
        <w:adjustRightInd w:val="0"/>
        <w:ind w:left="0" w:firstLine="0"/>
        <w:jc w:val="both"/>
      </w:pPr>
      <w:r>
        <w:rPr>
          <w:i/>
          <w:iCs/>
        </w:rPr>
        <w:t xml:space="preserve">  </w:t>
      </w:r>
      <w:r w:rsidRPr="00184FA9">
        <w:rPr>
          <w:i/>
          <w:iCs/>
        </w:rPr>
        <w:t>Economic analysis</w:t>
      </w:r>
      <w:r w:rsidRPr="00184FA9">
        <w:t xml:space="preserve"> is conducted after making appropriate adjustments to financial benefits and costs. The adjustments include netting out taxes and subsidies, and deducting </w:t>
      </w:r>
      <w:r w:rsidRPr="00184FA9">
        <w:lastRenderedPageBreak/>
        <w:t>transfers within the economy e.g. the share of increased producer price due to removing the middleman. Economic parity prices are used for Anhydros Milk Fat and Skimmed Milk Powder. The economic cost of inputs such as labor, fuel, and power were obtained using Standard Conversion Factors (SCF) varying from 0.70 (labor) to 3.0 (electrical power). The international prices for milk products have been quite volatile in recent years. For example, the prices of SMP and butter oil have fallen by 22% during 2009 and increased by about 20% in 2011. To smooth out these variations, average international price for three years ending 2011 are used at constant 2011 prices. Using the latest import data available from NDDB, FOB price of S</w:t>
      </w:r>
      <w:r>
        <w:t xml:space="preserve">kimmed Milk Powder </w:t>
      </w:r>
      <w:r w:rsidRPr="00184FA9">
        <w:t xml:space="preserve">and Anhydros Milk Fat are converted to parity prices and converted for reconstituted milk with standard fat and solid non-fat content. The economic benefits of milk collection and bulking (through BMC) are due to reduced fuel usage and reduced power wastage, which accounted for 79% of the total cost savings. The remaining 21% cost savings in transportation and operations are transfers within the economy – from the transportation sector and locally employed labor to milk producers. The transfers </w:t>
      </w:r>
      <w:r w:rsidRPr="00184FA9">
        <w:rPr>
          <w:lang w:val="en-GB"/>
        </w:rPr>
        <w:t xml:space="preserve">do not count as economic benefits. Similarly, a certain proportion of increased producer prices represent transfers from middlemen to producers. However, </w:t>
      </w:r>
      <w:r w:rsidRPr="00184FA9">
        <w:t>organized marketing through new producer companies and dairy cooperative societies provide farmers a stable and assured marketing channel, thus eliminating malpractices such as holdouts, economic loss due to unfair trade practices by private vendors, as well as reduces the wastage of milk during handling and transporting. We have conservatively assigned 50% of increased producer prices as economic benefits attributable to elimination of malpractices such as holdouts, reduced economic losses due to unfair trade practices, and reduced milk wastage during handling.</w:t>
      </w:r>
    </w:p>
    <w:p w:rsidR="00A47D5A" w:rsidRPr="00363E3A" w:rsidRDefault="00A47D5A" w:rsidP="00AC2F9F">
      <w:pPr>
        <w:pStyle w:val="ListParagraph"/>
        <w:autoSpaceDE w:val="0"/>
        <w:autoSpaceDN w:val="0"/>
        <w:adjustRightInd w:val="0"/>
        <w:ind w:left="0"/>
        <w:jc w:val="both"/>
      </w:pPr>
    </w:p>
    <w:p w:rsidR="00A47D5A" w:rsidRPr="00184FA9" w:rsidRDefault="00A47D5A" w:rsidP="00A47D5A">
      <w:pPr>
        <w:pStyle w:val="Default"/>
        <w:widowControl/>
        <w:tabs>
          <w:tab w:val="left" w:pos="360"/>
        </w:tabs>
        <w:rPr>
          <w:rFonts w:ascii="Times New Roman" w:hAnsi="Times New Roman" w:cs="Times New Roman"/>
          <w:b/>
          <w:bCs/>
        </w:rPr>
      </w:pPr>
      <w:bookmarkStart w:id="0" w:name="OLE_LINK1"/>
      <w:bookmarkStart w:id="1" w:name="OLE_LINK2"/>
      <w:r w:rsidRPr="00184FA9">
        <w:rPr>
          <w:rFonts w:ascii="Times New Roman" w:hAnsi="Times New Roman" w:cs="Times New Roman"/>
          <w:b/>
          <w:bCs/>
        </w:rPr>
        <w:t>Results of Economic and Financial Analysis</w:t>
      </w:r>
    </w:p>
    <w:p w:rsidR="00A47D5A" w:rsidRPr="00184FA9" w:rsidRDefault="00A47D5A" w:rsidP="00A47D5A">
      <w:pPr>
        <w:pStyle w:val="Default"/>
        <w:ind w:left="360"/>
        <w:rPr>
          <w:rFonts w:ascii="Times New Roman" w:hAnsi="Times New Roman" w:cs="Times New Roman"/>
          <w:b/>
          <w:bCs/>
        </w:rPr>
      </w:pPr>
    </w:p>
    <w:p w:rsidR="00A47D5A" w:rsidRPr="00184FA9" w:rsidRDefault="009D13F8" w:rsidP="00AC2F9F">
      <w:pPr>
        <w:pStyle w:val="ListParagraph"/>
        <w:numPr>
          <w:ilvl w:val="0"/>
          <w:numId w:val="18"/>
        </w:numPr>
        <w:autoSpaceDE w:val="0"/>
        <w:autoSpaceDN w:val="0"/>
        <w:adjustRightInd w:val="0"/>
        <w:spacing w:after="120"/>
        <w:ind w:left="0" w:firstLine="0"/>
        <w:jc w:val="both"/>
      </w:pPr>
      <w:r>
        <w:rPr>
          <w:noProof/>
          <w:lang w:bidi="ta-IN"/>
        </w:rPr>
        <w:pict>
          <v:shape id="_x0000_s1040" type="#_x0000_t202" style="position:absolute;left:0;text-align:left;margin-left:11.3pt;margin-top:130.5pt;width:444.25pt;height:121.05pt;z-index:251662336;mso-width-relative:margin;mso-height-relative:margin" stroked="f">
            <v:textbox style="mso-next-textbox:#_x0000_s1040">
              <w:txbxContent>
                <w:p w:rsidR="00740372" w:rsidRDefault="00740372" w:rsidP="00A47D5A">
                  <w:pPr>
                    <w:rPr>
                      <w:sz w:val="20"/>
                    </w:rPr>
                  </w:pPr>
                  <w:r>
                    <w:rPr>
                      <w:sz w:val="20"/>
                    </w:rPr>
                    <w:t>Table 1: NDSP</w:t>
                  </w:r>
                  <w:r w:rsidRPr="003A37A1">
                    <w:rPr>
                      <w:sz w:val="20"/>
                    </w:rPr>
                    <w:t xml:space="preserve"> Financial Analysis Summary (Rs Billion)</w:t>
                  </w:r>
                </w:p>
                <w:p w:rsidR="00740372" w:rsidRPr="003A37A1" w:rsidRDefault="00740372" w:rsidP="00A47D5A">
                  <w:pPr>
                    <w:rPr>
                      <w:sz w:val="10"/>
                      <w:szCs w:val="10"/>
                    </w:rPr>
                  </w:pPr>
                </w:p>
                <w:tbl>
                  <w:tblPr>
                    <w:tblW w:w="8280" w:type="dxa"/>
                    <w:tblInd w:w="108" w:type="dxa"/>
                    <w:tblBorders>
                      <w:top w:val="single" w:sz="4" w:space="0" w:color="auto"/>
                      <w:bottom w:val="single" w:sz="4" w:space="0" w:color="auto"/>
                    </w:tblBorders>
                    <w:tblLayout w:type="fixed"/>
                    <w:tblLook w:val="04A0"/>
                  </w:tblPr>
                  <w:tblGrid>
                    <w:gridCol w:w="2610"/>
                    <w:gridCol w:w="720"/>
                    <w:gridCol w:w="720"/>
                    <w:gridCol w:w="720"/>
                    <w:gridCol w:w="783"/>
                    <w:gridCol w:w="657"/>
                    <w:gridCol w:w="630"/>
                    <w:gridCol w:w="630"/>
                    <w:gridCol w:w="810"/>
                  </w:tblGrid>
                  <w:tr w:rsidR="00740372" w:rsidRPr="007121EF" w:rsidTr="00A47D5A">
                    <w:trPr>
                      <w:trHeight w:val="255"/>
                    </w:trPr>
                    <w:tc>
                      <w:tcPr>
                        <w:tcW w:w="2610" w:type="dxa"/>
                        <w:vMerge w:val="restart"/>
                        <w:tcBorders>
                          <w:top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Project Interventions</w:t>
                        </w:r>
                      </w:p>
                    </w:tc>
                    <w:tc>
                      <w:tcPr>
                        <w:tcW w:w="2943" w:type="dxa"/>
                        <w:gridSpan w:val="4"/>
                        <w:tcBorders>
                          <w:top w:val="single" w:sz="4" w:space="0" w:color="auto"/>
                          <w:left w:val="single" w:sz="4" w:space="0" w:color="auto"/>
                          <w:bottom w:val="single" w:sz="4" w:space="0" w:color="auto"/>
                        </w:tcBorders>
                        <w:shd w:val="clear" w:color="auto" w:fill="auto"/>
                        <w:noWrap/>
                        <w:vAlign w:val="bottom"/>
                        <w:hideMark/>
                      </w:tcPr>
                      <w:p w:rsidR="00740372" w:rsidRPr="007121EF" w:rsidRDefault="00740372" w:rsidP="00A47D5A">
                        <w:pPr>
                          <w:jc w:val="center"/>
                          <w:rPr>
                            <w:sz w:val="18"/>
                            <w:szCs w:val="18"/>
                          </w:rPr>
                        </w:pPr>
                        <w:r w:rsidRPr="007121EF">
                          <w:rPr>
                            <w:sz w:val="18"/>
                            <w:szCs w:val="18"/>
                          </w:rPr>
                          <w:t>Financial Analysis</w:t>
                        </w:r>
                      </w:p>
                    </w:tc>
                    <w:tc>
                      <w:tcPr>
                        <w:tcW w:w="2727" w:type="dxa"/>
                        <w:gridSpan w:val="4"/>
                        <w:tcBorders>
                          <w:top w:val="single" w:sz="4" w:space="0" w:color="auto"/>
                          <w:left w:val="single" w:sz="4" w:space="0" w:color="auto"/>
                          <w:bottom w:val="single" w:sz="4" w:space="0" w:color="auto"/>
                        </w:tcBorders>
                        <w:vAlign w:val="bottom"/>
                      </w:tcPr>
                      <w:p w:rsidR="00740372" w:rsidRPr="007121EF" w:rsidRDefault="00740372" w:rsidP="00A47D5A">
                        <w:pPr>
                          <w:jc w:val="center"/>
                          <w:rPr>
                            <w:sz w:val="18"/>
                            <w:szCs w:val="18"/>
                          </w:rPr>
                        </w:pPr>
                        <w:r w:rsidRPr="007121EF">
                          <w:rPr>
                            <w:sz w:val="18"/>
                            <w:szCs w:val="18"/>
                          </w:rPr>
                          <w:t>Economic Analysis</w:t>
                        </w:r>
                      </w:p>
                    </w:tc>
                  </w:tr>
                  <w:tr w:rsidR="00740372" w:rsidRPr="007121EF" w:rsidTr="00A47D5A">
                    <w:trPr>
                      <w:trHeight w:val="255"/>
                    </w:trPr>
                    <w:tc>
                      <w:tcPr>
                        <w:tcW w:w="2610" w:type="dxa"/>
                        <w:vMerge/>
                        <w:tcBorders>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PVC</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PVB</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NPV</w:t>
                        </w:r>
                      </w:p>
                    </w:tc>
                    <w:tc>
                      <w:tcPr>
                        <w:tcW w:w="783" w:type="dxa"/>
                        <w:tcBorders>
                          <w:top w:val="single" w:sz="4" w:space="0" w:color="auto"/>
                          <w:left w:val="single" w:sz="4" w:space="0" w:color="auto"/>
                          <w:bottom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FRR</w:t>
                        </w:r>
                      </w:p>
                    </w:tc>
                    <w:tc>
                      <w:tcPr>
                        <w:tcW w:w="657" w:type="dxa"/>
                        <w:tcBorders>
                          <w:top w:val="single" w:sz="4" w:space="0" w:color="auto"/>
                          <w:left w:val="single" w:sz="4" w:space="0" w:color="auto"/>
                          <w:bottom w:val="single" w:sz="4" w:space="0" w:color="auto"/>
                        </w:tcBorders>
                        <w:vAlign w:val="bottom"/>
                      </w:tcPr>
                      <w:p w:rsidR="00740372" w:rsidRPr="007121EF" w:rsidRDefault="00740372" w:rsidP="00A47D5A">
                        <w:pPr>
                          <w:rPr>
                            <w:sz w:val="18"/>
                            <w:szCs w:val="18"/>
                          </w:rPr>
                        </w:pPr>
                        <w:r w:rsidRPr="007121EF">
                          <w:rPr>
                            <w:sz w:val="18"/>
                            <w:szCs w:val="18"/>
                          </w:rPr>
                          <w:t>PVC</w:t>
                        </w:r>
                      </w:p>
                    </w:tc>
                    <w:tc>
                      <w:tcPr>
                        <w:tcW w:w="630" w:type="dxa"/>
                        <w:tcBorders>
                          <w:top w:val="single" w:sz="4" w:space="0" w:color="auto"/>
                          <w:left w:val="single" w:sz="4" w:space="0" w:color="auto"/>
                          <w:bottom w:val="single" w:sz="4" w:space="0" w:color="auto"/>
                        </w:tcBorders>
                        <w:vAlign w:val="bottom"/>
                      </w:tcPr>
                      <w:p w:rsidR="00740372" w:rsidRPr="007121EF" w:rsidRDefault="00740372" w:rsidP="00A47D5A">
                        <w:pPr>
                          <w:rPr>
                            <w:sz w:val="18"/>
                            <w:szCs w:val="18"/>
                          </w:rPr>
                        </w:pPr>
                        <w:r w:rsidRPr="007121EF">
                          <w:rPr>
                            <w:sz w:val="18"/>
                            <w:szCs w:val="18"/>
                          </w:rPr>
                          <w:t>PVB</w:t>
                        </w:r>
                      </w:p>
                    </w:tc>
                    <w:tc>
                      <w:tcPr>
                        <w:tcW w:w="630" w:type="dxa"/>
                        <w:tcBorders>
                          <w:top w:val="single" w:sz="4" w:space="0" w:color="auto"/>
                          <w:left w:val="single" w:sz="4" w:space="0" w:color="auto"/>
                          <w:bottom w:val="single" w:sz="4" w:space="0" w:color="auto"/>
                        </w:tcBorders>
                        <w:vAlign w:val="bottom"/>
                      </w:tcPr>
                      <w:p w:rsidR="00740372" w:rsidRPr="007121EF" w:rsidRDefault="00740372" w:rsidP="00A47D5A">
                        <w:pPr>
                          <w:rPr>
                            <w:sz w:val="18"/>
                            <w:szCs w:val="18"/>
                          </w:rPr>
                        </w:pPr>
                        <w:r w:rsidRPr="007121EF">
                          <w:rPr>
                            <w:sz w:val="18"/>
                            <w:szCs w:val="18"/>
                          </w:rPr>
                          <w:t>NPV</w:t>
                        </w:r>
                      </w:p>
                    </w:tc>
                    <w:tc>
                      <w:tcPr>
                        <w:tcW w:w="810" w:type="dxa"/>
                        <w:tcBorders>
                          <w:top w:val="single" w:sz="4" w:space="0" w:color="auto"/>
                          <w:left w:val="single" w:sz="4" w:space="0" w:color="auto"/>
                          <w:bottom w:val="single" w:sz="4" w:space="0" w:color="auto"/>
                        </w:tcBorders>
                        <w:vAlign w:val="bottom"/>
                      </w:tcPr>
                      <w:p w:rsidR="00740372" w:rsidRPr="007121EF" w:rsidRDefault="00740372" w:rsidP="00A47D5A">
                        <w:pPr>
                          <w:rPr>
                            <w:sz w:val="18"/>
                            <w:szCs w:val="18"/>
                          </w:rPr>
                        </w:pPr>
                        <w:r w:rsidRPr="007121EF">
                          <w:rPr>
                            <w:sz w:val="18"/>
                            <w:szCs w:val="18"/>
                          </w:rPr>
                          <w:t>ERR</w:t>
                        </w:r>
                      </w:p>
                    </w:tc>
                  </w:tr>
                  <w:tr w:rsidR="00740372" w:rsidRPr="007121EF" w:rsidTr="00A47D5A">
                    <w:trPr>
                      <w:trHeight w:val="255"/>
                    </w:trPr>
                    <w:tc>
                      <w:tcPr>
                        <w:tcW w:w="2610" w:type="dxa"/>
                        <w:tcBorders>
                          <w:top w:val="single" w:sz="4" w:space="0" w:color="auto"/>
                          <w:bottom w:val="nil"/>
                          <w:right w:val="single" w:sz="4" w:space="0" w:color="auto"/>
                        </w:tcBorders>
                        <w:shd w:val="clear" w:color="auto" w:fill="auto"/>
                        <w:noWrap/>
                        <w:vAlign w:val="bottom"/>
                        <w:hideMark/>
                      </w:tcPr>
                      <w:p w:rsidR="00740372" w:rsidRPr="007121EF" w:rsidRDefault="00740372" w:rsidP="00A47D5A">
                        <w:pPr>
                          <w:rPr>
                            <w:i/>
                            <w:sz w:val="18"/>
                            <w:szCs w:val="18"/>
                          </w:rPr>
                        </w:pPr>
                        <w:r w:rsidRPr="007121EF">
                          <w:rPr>
                            <w:i/>
                            <w:sz w:val="18"/>
                            <w:szCs w:val="18"/>
                          </w:rPr>
                          <w:t>Productivity Enhancement</w:t>
                        </w:r>
                      </w:p>
                    </w:tc>
                    <w:tc>
                      <w:tcPr>
                        <w:tcW w:w="720" w:type="dxa"/>
                        <w:tcBorders>
                          <w:top w:val="single" w:sz="4" w:space="0" w:color="auto"/>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p>
                    </w:tc>
                    <w:tc>
                      <w:tcPr>
                        <w:tcW w:w="720" w:type="dxa"/>
                        <w:tcBorders>
                          <w:top w:val="single" w:sz="4" w:space="0" w:color="auto"/>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p>
                    </w:tc>
                    <w:tc>
                      <w:tcPr>
                        <w:tcW w:w="720" w:type="dxa"/>
                        <w:tcBorders>
                          <w:top w:val="single" w:sz="4" w:space="0" w:color="auto"/>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p>
                    </w:tc>
                    <w:tc>
                      <w:tcPr>
                        <w:tcW w:w="783" w:type="dxa"/>
                        <w:tcBorders>
                          <w:top w:val="single" w:sz="4" w:space="0" w:color="auto"/>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p>
                    </w:tc>
                    <w:tc>
                      <w:tcPr>
                        <w:tcW w:w="657" w:type="dxa"/>
                        <w:tcBorders>
                          <w:top w:val="single" w:sz="4" w:space="0" w:color="auto"/>
                          <w:left w:val="single" w:sz="4" w:space="0" w:color="auto"/>
                          <w:bottom w:val="nil"/>
                          <w:right w:val="single" w:sz="4" w:space="0" w:color="auto"/>
                        </w:tcBorders>
                        <w:vAlign w:val="bottom"/>
                      </w:tcPr>
                      <w:p w:rsidR="00740372" w:rsidRPr="007121EF" w:rsidRDefault="00740372">
                        <w:pPr>
                          <w:jc w:val="right"/>
                          <w:rPr>
                            <w:sz w:val="18"/>
                            <w:szCs w:val="18"/>
                          </w:rPr>
                        </w:pPr>
                      </w:p>
                    </w:tc>
                    <w:tc>
                      <w:tcPr>
                        <w:tcW w:w="630" w:type="dxa"/>
                        <w:tcBorders>
                          <w:top w:val="single" w:sz="4" w:space="0" w:color="auto"/>
                          <w:left w:val="single" w:sz="4" w:space="0" w:color="auto"/>
                          <w:bottom w:val="nil"/>
                          <w:right w:val="single" w:sz="4" w:space="0" w:color="auto"/>
                        </w:tcBorders>
                        <w:vAlign w:val="bottom"/>
                      </w:tcPr>
                      <w:p w:rsidR="00740372" w:rsidRPr="007121EF" w:rsidRDefault="00740372">
                        <w:pPr>
                          <w:jc w:val="right"/>
                          <w:rPr>
                            <w:sz w:val="18"/>
                            <w:szCs w:val="18"/>
                          </w:rPr>
                        </w:pPr>
                      </w:p>
                    </w:tc>
                    <w:tc>
                      <w:tcPr>
                        <w:tcW w:w="630" w:type="dxa"/>
                        <w:tcBorders>
                          <w:top w:val="single" w:sz="4" w:space="0" w:color="auto"/>
                          <w:left w:val="single" w:sz="4" w:space="0" w:color="auto"/>
                          <w:bottom w:val="nil"/>
                          <w:right w:val="single" w:sz="4" w:space="0" w:color="auto"/>
                        </w:tcBorders>
                        <w:vAlign w:val="bottom"/>
                      </w:tcPr>
                      <w:p w:rsidR="00740372" w:rsidRPr="007121EF" w:rsidRDefault="00740372">
                        <w:pPr>
                          <w:jc w:val="right"/>
                          <w:rPr>
                            <w:sz w:val="18"/>
                            <w:szCs w:val="18"/>
                          </w:rPr>
                        </w:pPr>
                      </w:p>
                    </w:tc>
                    <w:tc>
                      <w:tcPr>
                        <w:tcW w:w="810" w:type="dxa"/>
                        <w:tcBorders>
                          <w:top w:val="single" w:sz="4" w:space="0" w:color="auto"/>
                          <w:left w:val="single" w:sz="4" w:space="0" w:color="auto"/>
                          <w:bottom w:val="nil"/>
                        </w:tcBorders>
                        <w:vAlign w:val="bottom"/>
                      </w:tcPr>
                      <w:p w:rsidR="00740372" w:rsidRPr="007121EF" w:rsidRDefault="00740372">
                        <w:pPr>
                          <w:jc w:val="right"/>
                          <w:rPr>
                            <w:sz w:val="18"/>
                            <w:szCs w:val="18"/>
                          </w:rPr>
                        </w:pPr>
                      </w:p>
                    </w:tc>
                  </w:tr>
                  <w:tr w:rsidR="00740372" w:rsidRPr="007121EF" w:rsidTr="00A47D5A">
                    <w:trPr>
                      <w:trHeight w:val="255"/>
                    </w:trPr>
                    <w:tc>
                      <w:tcPr>
                        <w:tcW w:w="2610" w:type="dxa"/>
                        <w:tcBorders>
                          <w:top w:val="nil"/>
                          <w:bottom w:val="nil"/>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      Breed Improvement</w:t>
                        </w:r>
                      </w:p>
                    </w:tc>
                    <w:tc>
                      <w:tcPr>
                        <w:tcW w:w="720" w:type="dxa"/>
                        <w:tcBorders>
                          <w:top w:val="nil"/>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6.2 </w:t>
                        </w:r>
                      </w:p>
                    </w:tc>
                    <w:tc>
                      <w:tcPr>
                        <w:tcW w:w="720" w:type="dxa"/>
                        <w:tcBorders>
                          <w:top w:val="nil"/>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10.1 </w:t>
                        </w:r>
                      </w:p>
                    </w:tc>
                    <w:tc>
                      <w:tcPr>
                        <w:tcW w:w="720" w:type="dxa"/>
                        <w:tcBorders>
                          <w:top w:val="nil"/>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3.8 </w:t>
                        </w:r>
                      </w:p>
                    </w:tc>
                    <w:tc>
                      <w:tcPr>
                        <w:tcW w:w="783" w:type="dxa"/>
                        <w:tcBorders>
                          <w:top w:val="nil"/>
                          <w:left w:val="single" w:sz="4" w:space="0" w:color="auto"/>
                          <w:bottom w:val="nil"/>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18.0%</w:t>
                        </w:r>
                      </w:p>
                    </w:tc>
                    <w:tc>
                      <w:tcPr>
                        <w:tcW w:w="657" w:type="dxa"/>
                        <w:tcBorders>
                          <w:top w:val="nil"/>
                          <w:left w:val="single" w:sz="4" w:space="0" w:color="auto"/>
                          <w:bottom w:val="nil"/>
                          <w:right w:val="single" w:sz="4" w:space="0" w:color="auto"/>
                        </w:tcBorders>
                        <w:vAlign w:val="bottom"/>
                      </w:tcPr>
                      <w:p w:rsidR="00740372" w:rsidRPr="007121EF" w:rsidRDefault="00740372">
                        <w:pPr>
                          <w:jc w:val="right"/>
                          <w:rPr>
                            <w:sz w:val="18"/>
                            <w:szCs w:val="18"/>
                          </w:rPr>
                        </w:pPr>
                        <w:r w:rsidRPr="007121EF">
                          <w:rPr>
                            <w:sz w:val="18"/>
                            <w:szCs w:val="18"/>
                          </w:rPr>
                          <w:t xml:space="preserve">5.6 </w:t>
                        </w:r>
                      </w:p>
                    </w:tc>
                    <w:tc>
                      <w:tcPr>
                        <w:tcW w:w="630" w:type="dxa"/>
                        <w:tcBorders>
                          <w:top w:val="nil"/>
                          <w:left w:val="single" w:sz="4" w:space="0" w:color="auto"/>
                          <w:bottom w:val="nil"/>
                          <w:right w:val="single" w:sz="4" w:space="0" w:color="auto"/>
                        </w:tcBorders>
                        <w:vAlign w:val="bottom"/>
                      </w:tcPr>
                      <w:p w:rsidR="00740372" w:rsidRPr="007121EF" w:rsidRDefault="00740372">
                        <w:pPr>
                          <w:jc w:val="right"/>
                          <w:rPr>
                            <w:sz w:val="18"/>
                            <w:szCs w:val="18"/>
                          </w:rPr>
                        </w:pPr>
                        <w:r w:rsidRPr="007121EF">
                          <w:rPr>
                            <w:sz w:val="18"/>
                            <w:szCs w:val="18"/>
                          </w:rPr>
                          <w:t xml:space="preserve">10.9 </w:t>
                        </w:r>
                      </w:p>
                    </w:tc>
                    <w:tc>
                      <w:tcPr>
                        <w:tcW w:w="630" w:type="dxa"/>
                        <w:tcBorders>
                          <w:top w:val="nil"/>
                          <w:left w:val="single" w:sz="4" w:space="0" w:color="auto"/>
                          <w:bottom w:val="nil"/>
                          <w:right w:val="single" w:sz="4" w:space="0" w:color="auto"/>
                        </w:tcBorders>
                        <w:vAlign w:val="bottom"/>
                      </w:tcPr>
                      <w:p w:rsidR="00740372" w:rsidRPr="007121EF" w:rsidRDefault="00740372">
                        <w:pPr>
                          <w:jc w:val="right"/>
                          <w:rPr>
                            <w:sz w:val="18"/>
                            <w:szCs w:val="18"/>
                          </w:rPr>
                        </w:pPr>
                        <w:r w:rsidRPr="007121EF">
                          <w:rPr>
                            <w:sz w:val="18"/>
                            <w:szCs w:val="18"/>
                          </w:rPr>
                          <w:t xml:space="preserve">5.3 </w:t>
                        </w:r>
                      </w:p>
                    </w:tc>
                    <w:tc>
                      <w:tcPr>
                        <w:tcW w:w="810" w:type="dxa"/>
                        <w:tcBorders>
                          <w:top w:val="nil"/>
                          <w:left w:val="single" w:sz="4" w:space="0" w:color="auto"/>
                          <w:bottom w:val="nil"/>
                        </w:tcBorders>
                        <w:vAlign w:val="bottom"/>
                      </w:tcPr>
                      <w:p w:rsidR="00740372" w:rsidRPr="007121EF" w:rsidRDefault="00740372">
                        <w:pPr>
                          <w:jc w:val="right"/>
                          <w:rPr>
                            <w:sz w:val="18"/>
                            <w:szCs w:val="18"/>
                          </w:rPr>
                        </w:pPr>
                        <w:r w:rsidRPr="007121EF">
                          <w:rPr>
                            <w:sz w:val="18"/>
                            <w:szCs w:val="18"/>
                          </w:rPr>
                          <w:t>20.5%</w:t>
                        </w:r>
                      </w:p>
                    </w:tc>
                  </w:tr>
                  <w:tr w:rsidR="00740372" w:rsidRPr="007121EF" w:rsidTr="00A47D5A">
                    <w:trPr>
                      <w:trHeight w:val="255"/>
                    </w:trPr>
                    <w:tc>
                      <w:tcPr>
                        <w:tcW w:w="2610" w:type="dxa"/>
                        <w:tcBorders>
                          <w:top w:val="nil"/>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      Plus   Animal Nutrition</w:t>
                        </w:r>
                      </w:p>
                    </w:tc>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10.5 </w:t>
                        </w:r>
                      </w:p>
                    </w:tc>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23.1 </w:t>
                        </w:r>
                      </w:p>
                    </w:tc>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12.6 </w:t>
                        </w:r>
                      </w:p>
                    </w:tc>
                    <w:tc>
                      <w:tcPr>
                        <w:tcW w:w="783" w:type="dxa"/>
                        <w:tcBorders>
                          <w:top w:val="nil"/>
                          <w:left w:val="single" w:sz="4" w:space="0" w:color="auto"/>
                          <w:bottom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24.9%</w:t>
                        </w:r>
                      </w:p>
                    </w:tc>
                    <w:tc>
                      <w:tcPr>
                        <w:tcW w:w="657" w:type="dxa"/>
                        <w:tcBorders>
                          <w:top w:val="nil"/>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9.4 </w:t>
                        </w:r>
                      </w:p>
                    </w:tc>
                    <w:tc>
                      <w:tcPr>
                        <w:tcW w:w="630" w:type="dxa"/>
                        <w:tcBorders>
                          <w:top w:val="nil"/>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25.9 </w:t>
                        </w:r>
                      </w:p>
                    </w:tc>
                    <w:tc>
                      <w:tcPr>
                        <w:tcW w:w="630" w:type="dxa"/>
                        <w:tcBorders>
                          <w:top w:val="nil"/>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16.5 </w:t>
                        </w:r>
                      </w:p>
                    </w:tc>
                    <w:tc>
                      <w:tcPr>
                        <w:tcW w:w="810" w:type="dxa"/>
                        <w:tcBorders>
                          <w:top w:val="nil"/>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29.0%</w:t>
                        </w:r>
                      </w:p>
                    </w:tc>
                  </w:tr>
                  <w:tr w:rsidR="00740372" w:rsidRPr="007121EF" w:rsidTr="00A47D5A">
                    <w:trPr>
                      <w:trHeight w:val="255"/>
                    </w:trPr>
                    <w:tc>
                      <w:tcPr>
                        <w:tcW w:w="2610" w:type="dxa"/>
                        <w:tcBorders>
                          <w:top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i/>
                            <w:sz w:val="18"/>
                            <w:szCs w:val="18"/>
                          </w:rPr>
                        </w:pPr>
                        <w:r w:rsidRPr="007121EF">
                          <w:rPr>
                            <w:i/>
                            <w:sz w:val="18"/>
                            <w:szCs w:val="18"/>
                          </w:rPr>
                          <w:t>Village Level Procurement</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6.3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9.7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3.4 </w:t>
                        </w:r>
                      </w:p>
                    </w:tc>
                    <w:tc>
                      <w:tcPr>
                        <w:tcW w:w="783" w:type="dxa"/>
                        <w:tcBorders>
                          <w:top w:val="single" w:sz="4" w:space="0" w:color="auto"/>
                          <w:left w:val="single" w:sz="4" w:space="0" w:color="auto"/>
                          <w:bottom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20.2%</w:t>
                        </w:r>
                      </w:p>
                    </w:tc>
                    <w:tc>
                      <w:tcPr>
                        <w:tcW w:w="657" w:type="dxa"/>
                        <w:tcBorders>
                          <w:top w:val="single" w:sz="4" w:space="0" w:color="auto"/>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5.6 </w:t>
                        </w:r>
                      </w:p>
                    </w:tc>
                    <w:tc>
                      <w:tcPr>
                        <w:tcW w:w="630" w:type="dxa"/>
                        <w:tcBorders>
                          <w:top w:val="single" w:sz="4" w:space="0" w:color="auto"/>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6.4 </w:t>
                        </w:r>
                      </w:p>
                    </w:tc>
                    <w:tc>
                      <w:tcPr>
                        <w:tcW w:w="630" w:type="dxa"/>
                        <w:tcBorders>
                          <w:top w:val="single" w:sz="4" w:space="0" w:color="auto"/>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0.8 </w:t>
                        </w:r>
                      </w:p>
                    </w:tc>
                    <w:tc>
                      <w:tcPr>
                        <w:tcW w:w="810" w:type="dxa"/>
                        <w:tcBorders>
                          <w:top w:val="single" w:sz="4" w:space="0" w:color="auto"/>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14.3%</w:t>
                        </w:r>
                      </w:p>
                    </w:tc>
                  </w:tr>
                  <w:tr w:rsidR="00740372" w:rsidRPr="007121EF" w:rsidTr="00A47D5A">
                    <w:trPr>
                      <w:trHeight w:val="255"/>
                    </w:trPr>
                    <w:tc>
                      <w:tcPr>
                        <w:tcW w:w="2610" w:type="dxa"/>
                        <w:tcBorders>
                          <w:top w:val="single" w:sz="4" w:space="0" w:color="auto"/>
                          <w:right w:val="single" w:sz="4" w:space="0" w:color="auto"/>
                        </w:tcBorders>
                        <w:shd w:val="clear" w:color="auto" w:fill="auto"/>
                        <w:noWrap/>
                        <w:vAlign w:val="bottom"/>
                        <w:hideMark/>
                      </w:tcPr>
                      <w:p w:rsidR="00740372" w:rsidRPr="007121EF" w:rsidRDefault="00740372" w:rsidP="00A47D5A">
                        <w:pPr>
                          <w:rPr>
                            <w:i/>
                            <w:sz w:val="18"/>
                            <w:szCs w:val="18"/>
                          </w:rPr>
                        </w:pPr>
                        <w:r w:rsidRPr="007121EF">
                          <w:rPr>
                            <w:i/>
                            <w:sz w:val="18"/>
                            <w:szCs w:val="18"/>
                          </w:rPr>
                          <w:t>Overall Project</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17.8 </w:t>
                        </w:r>
                      </w:p>
                    </w:tc>
                    <w:tc>
                      <w:tcPr>
                        <w:tcW w:w="720" w:type="dxa"/>
                        <w:tcBorders>
                          <w:top w:val="single" w:sz="4" w:space="0" w:color="auto"/>
                          <w:left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32.7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 xml:space="preserve">14.9 </w:t>
                        </w:r>
                      </w:p>
                    </w:tc>
                    <w:tc>
                      <w:tcPr>
                        <w:tcW w:w="783" w:type="dxa"/>
                        <w:tcBorders>
                          <w:top w:val="single" w:sz="4" w:space="0" w:color="auto"/>
                          <w:left w:val="single" w:sz="4" w:space="0" w:color="auto"/>
                        </w:tcBorders>
                        <w:shd w:val="clear" w:color="auto" w:fill="auto"/>
                        <w:noWrap/>
                        <w:vAlign w:val="bottom"/>
                        <w:hideMark/>
                      </w:tcPr>
                      <w:p w:rsidR="00740372" w:rsidRPr="007121EF" w:rsidRDefault="00740372" w:rsidP="00A47D5A">
                        <w:pPr>
                          <w:rPr>
                            <w:sz w:val="18"/>
                            <w:szCs w:val="18"/>
                          </w:rPr>
                        </w:pPr>
                        <w:r w:rsidRPr="007121EF">
                          <w:rPr>
                            <w:sz w:val="18"/>
                            <w:szCs w:val="18"/>
                          </w:rPr>
                          <w:t>22.1%</w:t>
                        </w:r>
                      </w:p>
                    </w:tc>
                    <w:tc>
                      <w:tcPr>
                        <w:tcW w:w="657" w:type="dxa"/>
                        <w:tcBorders>
                          <w:top w:val="single" w:sz="4" w:space="0" w:color="auto"/>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16.0 </w:t>
                        </w:r>
                      </w:p>
                    </w:tc>
                    <w:tc>
                      <w:tcPr>
                        <w:tcW w:w="630" w:type="dxa"/>
                        <w:tcBorders>
                          <w:top w:val="single" w:sz="4" w:space="0" w:color="auto"/>
                          <w:left w:val="single" w:sz="4" w:space="0" w:color="auto"/>
                        </w:tcBorders>
                        <w:vAlign w:val="bottom"/>
                      </w:tcPr>
                      <w:p w:rsidR="00740372" w:rsidRPr="007121EF" w:rsidRDefault="00740372">
                        <w:pPr>
                          <w:jc w:val="right"/>
                          <w:rPr>
                            <w:sz w:val="18"/>
                            <w:szCs w:val="18"/>
                          </w:rPr>
                        </w:pPr>
                        <w:r w:rsidRPr="007121EF">
                          <w:rPr>
                            <w:sz w:val="18"/>
                            <w:szCs w:val="18"/>
                          </w:rPr>
                          <w:t xml:space="preserve">32.3 </w:t>
                        </w:r>
                      </w:p>
                    </w:tc>
                    <w:tc>
                      <w:tcPr>
                        <w:tcW w:w="630" w:type="dxa"/>
                        <w:tcBorders>
                          <w:top w:val="single" w:sz="4" w:space="0" w:color="auto"/>
                          <w:left w:val="single" w:sz="4" w:space="0" w:color="auto"/>
                          <w:bottom w:val="single" w:sz="4" w:space="0" w:color="auto"/>
                        </w:tcBorders>
                        <w:vAlign w:val="bottom"/>
                      </w:tcPr>
                      <w:p w:rsidR="00740372" w:rsidRPr="007121EF" w:rsidRDefault="00740372">
                        <w:pPr>
                          <w:jc w:val="right"/>
                          <w:rPr>
                            <w:sz w:val="18"/>
                            <w:szCs w:val="18"/>
                          </w:rPr>
                        </w:pPr>
                        <w:r w:rsidRPr="007121EF">
                          <w:rPr>
                            <w:sz w:val="18"/>
                            <w:szCs w:val="18"/>
                          </w:rPr>
                          <w:t xml:space="preserve">16.2 </w:t>
                        </w:r>
                      </w:p>
                    </w:tc>
                    <w:tc>
                      <w:tcPr>
                        <w:tcW w:w="810" w:type="dxa"/>
                        <w:tcBorders>
                          <w:top w:val="single" w:sz="4" w:space="0" w:color="auto"/>
                          <w:left w:val="single" w:sz="4" w:space="0" w:color="auto"/>
                        </w:tcBorders>
                        <w:vAlign w:val="bottom"/>
                      </w:tcPr>
                      <w:p w:rsidR="00740372" w:rsidRPr="007121EF" w:rsidRDefault="00740372">
                        <w:pPr>
                          <w:jc w:val="right"/>
                          <w:rPr>
                            <w:sz w:val="18"/>
                            <w:szCs w:val="18"/>
                          </w:rPr>
                        </w:pPr>
                        <w:r w:rsidRPr="007121EF">
                          <w:rPr>
                            <w:sz w:val="18"/>
                            <w:szCs w:val="18"/>
                          </w:rPr>
                          <w:t>23.5%</w:t>
                        </w:r>
                      </w:p>
                    </w:tc>
                  </w:tr>
                </w:tbl>
                <w:p w:rsidR="00740372" w:rsidRPr="003A37A1" w:rsidRDefault="00740372" w:rsidP="00A47D5A">
                  <w:pPr>
                    <w:rPr>
                      <w:sz w:val="20"/>
                    </w:rPr>
                  </w:pPr>
                </w:p>
              </w:txbxContent>
            </v:textbox>
            <w10:wrap type="square"/>
          </v:shape>
        </w:pict>
      </w:r>
      <w:r w:rsidR="00A47D5A" w:rsidRPr="00184FA9">
        <w:t xml:space="preserve">The project’s cost-benefit analysis is conducted separately for major investment activities namely; breed improvement and AI service delivery, animal nutrition management, and milk collection and bulking investments; which together account for 93.6% of project costs. Next, benefits are aggregated and compared with entire project costs, including contingencies and costs assocaiated with project management. Costs and benefits are estimated at 2011 prices over 20 years with 12% opportunity cost of capital. </w:t>
      </w:r>
      <w:r w:rsidR="00A47D5A" w:rsidRPr="00184FA9">
        <w:rPr>
          <w:lang w:val="en-GB"/>
        </w:rPr>
        <w:t xml:space="preserve">Total project costs, including contingencies, are estimated at Rs 20.4 billion. </w:t>
      </w:r>
      <w:r w:rsidR="00A47D5A" w:rsidRPr="00184FA9">
        <w:t xml:space="preserve">Economic project costs are estimated at Rs 18.4 billion after adjusting for transfers, taxes, subsidies, and converting financial prices to economic prices. </w:t>
      </w:r>
    </w:p>
    <w:p w:rsidR="00A47D5A" w:rsidRPr="00D57C9F" w:rsidRDefault="00A47D5A" w:rsidP="00A47D5A">
      <w:pPr>
        <w:pStyle w:val="Default"/>
        <w:rPr>
          <w:sz w:val="22"/>
          <w:szCs w:val="22"/>
        </w:rPr>
      </w:pPr>
    </w:p>
    <w:p w:rsidR="00A47D5A" w:rsidRPr="00363E3A" w:rsidRDefault="00A47D5A" w:rsidP="00AC2F9F">
      <w:pPr>
        <w:pStyle w:val="ListParagraph"/>
        <w:numPr>
          <w:ilvl w:val="0"/>
          <w:numId w:val="18"/>
        </w:numPr>
        <w:autoSpaceDE w:val="0"/>
        <w:autoSpaceDN w:val="0"/>
        <w:adjustRightInd w:val="0"/>
        <w:spacing w:after="120"/>
        <w:ind w:left="0" w:firstLine="0"/>
        <w:jc w:val="both"/>
      </w:pPr>
      <w:r w:rsidRPr="00363E3A">
        <w:rPr>
          <w:u w:val="single"/>
        </w:rPr>
        <w:t>Financial Analysis:</w:t>
      </w:r>
      <w:r w:rsidRPr="00363E3A">
        <w:rPr>
          <w:b/>
        </w:rPr>
        <w:t xml:space="preserve"> </w:t>
      </w:r>
      <w:r w:rsidRPr="00363E3A">
        <w:t xml:space="preserve">the undiscounted annual incremental </w:t>
      </w:r>
      <w:r w:rsidRPr="00363E3A">
        <w:rPr>
          <w:lang w:val="en-GB"/>
        </w:rPr>
        <w:t xml:space="preserve">financial </w:t>
      </w:r>
      <w:r w:rsidRPr="00363E3A">
        <w:t xml:space="preserve">net benefits from project investments are Rs 13.1 billion, out of which breed improvement contributes 50%, </w:t>
      </w:r>
      <w:r w:rsidRPr="00363E3A">
        <w:lastRenderedPageBreak/>
        <w:t>nutrition management 31%, and milk collection &amp; bulking 19%. The</w:t>
      </w:r>
      <w:r w:rsidRPr="00363E3A">
        <w:rPr>
          <w:b/>
        </w:rPr>
        <w:t xml:space="preserve"> </w:t>
      </w:r>
      <w:r w:rsidRPr="00363E3A">
        <w:rPr>
          <w:i/>
        </w:rPr>
        <w:t xml:space="preserve">financial rate of return </w:t>
      </w:r>
      <w:r w:rsidRPr="00363E3A">
        <w:t>(FRR)</w:t>
      </w:r>
      <w:r w:rsidRPr="00363E3A">
        <w:rPr>
          <w:i/>
        </w:rPr>
        <w:t xml:space="preserve"> </w:t>
      </w:r>
      <w:r w:rsidRPr="00363E3A">
        <w:t xml:space="preserve">for breed improvement investments is estimated to be 18% (table 1). The FRR for productivity enhancement component, which includes breed improvement and animal nutrition investments, is estimated at 24.9%. </w:t>
      </w:r>
      <w:r w:rsidRPr="00363E3A">
        <w:rPr>
          <w:lang w:val="en-GB"/>
        </w:rPr>
        <w:t xml:space="preserve">The FRR for milk collection and bulking investments, including organized marketing through PC and DCS, is estimated </w:t>
      </w:r>
      <w:r w:rsidRPr="00363E3A">
        <w:t xml:space="preserve">20.2%. When the analysis is aggregated at project level - which includes management costs in component C – the FRR is estimated at 22.1%. The financial Net Present Value (NPV) is Rs 14.9 billion at 2011 prices for a project life of 20 years. </w:t>
      </w:r>
    </w:p>
    <w:p w:rsidR="00A47D5A" w:rsidRPr="00363E3A" w:rsidRDefault="00A47D5A" w:rsidP="00A47D5A">
      <w:pPr>
        <w:pStyle w:val="Default"/>
        <w:tabs>
          <w:tab w:val="center" w:pos="360"/>
        </w:tabs>
        <w:rPr>
          <w:rFonts w:ascii="Times New Roman" w:hAnsi="Times New Roman" w:cs="Times New Roman"/>
        </w:rPr>
      </w:pPr>
    </w:p>
    <w:p w:rsidR="00A47D5A" w:rsidRPr="00363E3A" w:rsidRDefault="00A47D5A" w:rsidP="00AC2F9F">
      <w:pPr>
        <w:pStyle w:val="ListParagraph"/>
        <w:numPr>
          <w:ilvl w:val="0"/>
          <w:numId w:val="18"/>
        </w:numPr>
        <w:autoSpaceDE w:val="0"/>
        <w:autoSpaceDN w:val="0"/>
        <w:adjustRightInd w:val="0"/>
        <w:spacing w:after="120"/>
        <w:ind w:left="0" w:firstLine="0"/>
        <w:jc w:val="both"/>
      </w:pPr>
      <w:r w:rsidRPr="00363E3A">
        <w:rPr>
          <w:u w:val="single"/>
        </w:rPr>
        <w:t>Economic Analysis:</w:t>
      </w:r>
      <w:r w:rsidRPr="00363E3A">
        <w:t xml:space="preserve"> </w:t>
      </w:r>
      <w:r w:rsidRPr="00363E3A">
        <w:rPr>
          <w:lang w:val="en-GB"/>
        </w:rPr>
        <w:t xml:space="preserve">The undiscounted annual incremental net economic benefits from project investments are Rs 13.4 billion, of which productivity enhancement contributes 88%, while milk collection and bulking contributes 12%. </w:t>
      </w:r>
      <w:r w:rsidRPr="00363E3A">
        <w:t xml:space="preserve">The </w:t>
      </w:r>
      <w:r w:rsidRPr="00363E3A">
        <w:rPr>
          <w:i/>
        </w:rPr>
        <w:t>Economic rate of return</w:t>
      </w:r>
      <w:r w:rsidRPr="00363E3A">
        <w:t xml:space="preserve"> (ERR) for breed improvement investments is estimated to be 20.5%. The ERR for productivity enhancement component, which includes breed improvement and animal nutrition investments, is estimated at 29%. The ERR for m</w:t>
      </w:r>
      <w:r w:rsidRPr="00363E3A">
        <w:rPr>
          <w:lang w:val="en-GB"/>
        </w:rPr>
        <w:t>ilk collection and bulking investments</w:t>
      </w:r>
      <w:r w:rsidRPr="00363E3A">
        <w:t xml:space="preserve">, including organized marketing through PC and DCS, is estimated at 14.3%. </w:t>
      </w:r>
      <w:r w:rsidRPr="00363E3A">
        <w:rPr>
          <w:lang w:val="en-GB"/>
        </w:rPr>
        <w:t>When the analysis is aggregated at project level - which includes management costs in component C – the ERR is estimated at 23.5%</w:t>
      </w:r>
      <w:r w:rsidRPr="00363E3A">
        <w:t xml:space="preserve">. The economic NPV is Rs 16.2 billion. </w:t>
      </w:r>
    </w:p>
    <w:p w:rsidR="00A47D5A" w:rsidRPr="00D57C9F" w:rsidRDefault="009D13F8" w:rsidP="00A47D5A">
      <w:pPr>
        <w:pStyle w:val="Default"/>
        <w:tabs>
          <w:tab w:val="center" w:pos="360"/>
        </w:tabs>
        <w:rPr>
          <w:sz w:val="22"/>
          <w:szCs w:val="22"/>
        </w:rPr>
      </w:pPr>
      <w:r w:rsidRPr="009D13F8">
        <w:rPr>
          <w:b/>
          <w:noProof/>
          <w:sz w:val="22"/>
          <w:szCs w:val="22"/>
        </w:rPr>
        <w:pict>
          <v:shape id="_x0000_s1042" type="#_x0000_t202" style="position:absolute;margin-left:184.15pt;margin-top:.4pt;width:306.1pt;height:153.4pt;z-index:251664384;mso-width-relative:margin;mso-height-relative:margin" stroked="f">
            <v:textbox style="mso-next-textbox:#_x0000_s1042">
              <w:txbxContent>
                <w:p w:rsidR="00740372" w:rsidRPr="000E231F" w:rsidRDefault="00740372" w:rsidP="00A47D5A">
                  <w:pPr>
                    <w:rPr>
                      <w:sz w:val="20"/>
                    </w:rPr>
                  </w:pPr>
                  <w:r>
                    <w:rPr>
                      <w:sz w:val="20"/>
                    </w:rPr>
                    <w:t>Table 2: NDSP</w:t>
                  </w:r>
                  <w:r w:rsidRPr="000E231F">
                    <w:rPr>
                      <w:sz w:val="20"/>
                    </w:rPr>
                    <w:t xml:space="preserve"> Sensitivity Analysis Summary</w:t>
                  </w:r>
                </w:p>
                <w:tbl>
                  <w:tblPr>
                    <w:tblW w:w="5413" w:type="dxa"/>
                    <w:tblInd w:w="108" w:type="dxa"/>
                    <w:tblBorders>
                      <w:top w:val="single" w:sz="4" w:space="0" w:color="auto"/>
                      <w:bottom w:val="single" w:sz="4" w:space="0" w:color="auto"/>
                    </w:tblBorders>
                    <w:tblLook w:val="04A0"/>
                  </w:tblPr>
                  <w:tblGrid>
                    <w:gridCol w:w="4050"/>
                    <w:gridCol w:w="630"/>
                    <w:gridCol w:w="733"/>
                  </w:tblGrid>
                  <w:tr w:rsidR="00740372" w:rsidRPr="000E231F" w:rsidTr="00A47D5A">
                    <w:trPr>
                      <w:trHeight w:val="255"/>
                    </w:trPr>
                    <w:tc>
                      <w:tcPr>
                        <w:tcW w:w="4050" w:type="dxa"/>
                        <w:tcBorders>
                          <w:top w:val="single" w:sz="4" w:space="0" w:color="auto"/>
                          <w:bottom w:val="single" w:sz="4" w:space="0" w:color="auto"/>
                          <w:right w:val="single" w:sz="4" w:space="0" w:color="auto"/>
                        </w:tcBorders>
                        <w:shd w:val="clear" w:color="auto" w:fill="auto"/>
                        <w:noWrap/>
                        <w:vAlign w:val="bottom"/>
                        <w:hideMark/>
                      </w:tcPr>
                      <w:p w:rsidR="00740372" w:rsidRPr="000E231F" w:rsidRDefault="00740372" w:rsidP="00A47D5A">
                        <w:pPr>
                          <w:rPr>
                            <w:sz w:val="20"/>
                          </w:rPr>
                        </w:pPr>
                        <w:r w:rsidRPr="000E231F">
                          <w:rPr>
                            <w:sz w:val="20"/>
                          </w:rPr>
                          <w:t>S</w:t>
                        </w:r>
                        <w:r>
                          <w:rPr>
                            <w:sz w:val="20"/>
                          </w:rPr>
                          <w:t>ensitivity S</w:t>
                        </w:r>
                        <w:r w:rsidRPr="000E231F">
                          <w:rPr>
                            <w:sz w:val="20"/>
                          </w:rPr>
                          <w:t>cenarios</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Pr="000E231F" w:rsidRDefault="00740372" w:rsidP="00A47D5A">
                        <w:pPr>
                          <w:rPr>
                            <w:sz w:val="20"/>
                          </w:rPr>
                        </w:pPr>
                        <w:r w:rsidRPr="000E231F">
                          <w:rPr>
                            <w:sz w:val="20"/>
                          </w:rPr>
                          <w:t>NPV</w:t>
                        </w:r>
                      </w:p>
                    </w:tc>
                    <w:tc>
                      <w:tcPr>
                        <w:tcW w:w="733" w:type="dxa"/>
                        <w:tcBorders>
                          <w:top w:val="single" w:sz="4" w:space="0" w:color="auto"/>
                          <w:left w:val="single" w:sz="4" w:space="0" w:color="auto"/>
                          <w:bottom w:val="single" w:sz="4" w:space="0" w:color="auto"/>
                        </w:tcBorders>
                        <w:shd w:val="clear" w:color="auto" w:fill="auto"/>
                        <w:noWrap/>
                        <w:vAlign w:val="bottom"/>
                        <w:hideMark/>
                      </w:tcPr>
                      <w:p w:rsidR="00740372" w:rsidRPr="000E231F" w:rsidRDefault="00740372" w:rsidP="00A47D5A">
                        <w:pPr>
                          <w:rPr>
                            <w:sz w:val="20"/>
                          </w:rPr>
                        </w:pPr>
                        <w:r w:rsidRPr="000E231F">
                          <w:rPr>
                            <w:sz w:val="20"/>
                          </w:rPr>
                          <w:t>ERR</w:t>
                        </w:r>
                      </w:p>
                    </w:tc>
                  </w:tr>
                  <w:tr w:rsidR="00740372" w:rsidRPr="000E231F" w:rsidTr="00A47D5A">
                    <w:trPr>
                      <w:trHeight w:val="255"/>
                    </w:trPr>
                    <w:tc>
                      <w:tcPr>
                        <w:tcW w:w="4050" w:type="dxa"/>
                        <w:tcBorders>
                          <w:top w:val="single" w:sz="4" w:space="0" w:color="auto"/>
                          <w:bottom w:val="single" w:sz="4" w:space="0" w:color="auto"/>
                          <w:right w:val="single" w:sz="4" w:space="0" w:color="auto"/>
                        </w:tcBorders>
                        <w:shd w:val="clear" w:color="auto" w:fill="auto"/>
                        <w:noWrap/>
                        <w:vAlign w:val="bottom"/>
                        <w:hideMark/>
                      </w:tcPr>
                      <w:p w:rsidR="00740372" w:rsidRPr="00185A94" w:rsidRDefault="00740372">
                        <w:pPr>
                          <w:rPr>
                            <w:i/>
                            <w:sz w:val="20"/>
                          </w:rPr>
                        </w:pPr>
                        <w:r w:rsidRPr="00185A94">
                          <w:rPr>
                            <w:i/>
                            <w:sz w:val="20"/>
                          </w:rPr>
                          <w:t>Base Level</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0372" w:rsidRDefault="00740372" w:rsidP="00A47D5A">
                        <w:pPr>
                          <w:jc w:val="right"/>
                          <w:rPr>
                            <w:rFonts w:ascii="Calibri" w:hAnsi="Calibri" w:cs="Arial"/>
                            <w:sz w:val="20"/>
                          </w:rPr>
                        </w:pPr>
                        <w:r>
                          <w:rPr>
                            <w:rFonts w:ascii="Calibri" w:hAnsi="Calibri" w:cs="Arial"/>
                            <w:sz w:val="20"/>
                          </w:rPr>
                          <w:t xml:space="preserve">16.2 </w:t>
                        </w:r>
                      </w:p>
                    </w:tc>
                    <w:tc>
                      <w:tcPr>
                        <w:tcW w:w="733" w:type="dxa"/>
                        <w:tcBorders>
                          <w:top w:val="single" w:sz="4" w:space="0" w:color="auto"/>
                          <w:left w:val="single" w:sz="4" w:space="0" w:color="auto"/>
                          <w:bottom w:val="single" w:sz="4" w:space="0" w:color="auto"/>
                        </w:tcBorders>
                        <w:shd w:val="clear" w:color="auto" w:fill="auto"/>
                        <w:noWrap/>
                        <w:vAlign w:val="bottom"/>
                        <w:hideMark/>
                      </w:tcPr>
                      <w:p w:rsidR="00740372" w:rsidRDefault="00740372" w:rsidP="00A47D5A">
                        <w:pPr>
                          <w:jc w:val="right"/>
                          <w:rPr>
                            <w:rFonts w:ascii="Calibri" w:hAnsi="Calibri" w:cs="Arial"/>
                            <w:sz w:val="20"/>
                          </w:rPr>
                        </w:pPr>
                        <w:r>
                          <w:rPr>
                            <w:rFonts w:ascii="Calibri" w:hAnsi="Calibri" w:cs="Arial"/>
                            <w:sz w:val="20"/>
                          </w:rPr>
                          <w:t>23.5%</w:t>
                        </w:r>
                      </w:p>
                    </w:tc>
                  </w:tr>
                  <w:tr w:rsidR="00740372" w:rsidRPr="000E231F" w:rsidTr="00A47D5A">
                    <w:trPr>
                      <w:trHeight w:val="255"/>
                    </w:trPr>
                    <w:tc>
                      <w:tcPr>
                        <w:tcW w:w="4050" w:type="dxa"/>
                        <w:tcBorders>
                          <w:top w:val="single" w:sz="4" w:space="0" w:color="auto"/>
                          <w:bottom w:val="nil"/>
                          <w:right w:val="single" w:sz="4" w:space="0" w:color="auto"/>
                        </w:tcBorders>
                        <w:shd w:val="clear" w:color="auto" w:fill="auto"/>
                        <w:noWrap/>
                        <w:vAlign w:val="bottom"/>
                        <w:hideMark/>
                      </w:tcPr>
                      <w:p w:rsidR="00740372" w:rsidRPr="00185A94" w:rsidRDefault="00740372" w:rsidP="00A47D5A">
                        <w:pPr>
                          <w:rPr>
                            <w:i/>
                            <w:sz w:val="20"/>
                          </w:rPr>
                        </w:pPr>
                        <w:r w:rsidRPr="00185A94">
                          <w:rPr>
                            <w:i/>
                            <w:sz w:val="20"/>
                          </w:rPr>
                          <w:t>Sustainability of Project benefits limiting</w:t>
                        </w:r>
                      </w:p>
                    </w:tc>
                    <w:tc>
                      <w:tcPr>
                        <w:tcW w:w="630" w:type="dxa"/>
                        <w:tcBorders>
                          <w:top w:val="single" w:sz="4" w:space="0" w:color="auto"/>
                          <w:left w:val="single" w:sz="4" w:space="0" w:color="auto"/>
                          <w:bottom w:val="nil"/>
                          <w:right w:val="single" w:sz="4" w:space="0" w:color="auto"/>
                        </w:tcBorders>
                        <w:shd w:val="clear" w:color="auto" w:fill="auto"/>
                        <w:noWrap/>
                        <w:vAlign w:val="bottom"/>
                        <w:hideMark/>
                      </w:tcPr>
                      <w:p w:rsidR="00740372" w:rsidRDefault="00740372">
                        <w:pPr>
                          <w:rPr>
                            <w:rFonts w:ascii="Calibri" w:hAnsi="Calibri" w:cs="Arial"/>
                            <w:sz w:val="20"/>
                          </w:rPr>
                        </w:pPr>
                        <w:r>
                          <w:rPr>
                            <w:rFonts w:ascii="Calibri" w:hAnsi="Calibri" w:cs="Arial"/>
                            <w:sz w:val="20"/>
                          </w:rPr>
                          <w:t> </w:t>
                        </w:r>
                      </w:p>
                    </w:tc>
                    <w:tc>
                      <w:tcPr>
                        <w:tcW w:w="733" w:type="dxa"/>
                        <w:tcBorders>
                          <w:top w:val="single" w:sz="4" w:space="0" w:color="auto"/>
                          <w:left w:val="single" w:sz="4" w:space="0" w:color="auto"/>
                          <w:bottom w:val="nil"/>
                        </w:tcBorders>
                        <w:shd w:val="clear" w:color="auto" w:fill="auto"/>
                        <w:noWrap/>
                        <w:vAlign w:val="bottom"/>
                        <w:hideMark/>
                      </w:tcPr>
                      <w:p w:rsidR="00740372" w:rsidRDefault="00740372">
                        <w:pPr>
                          <w:rPr>
                            <w:rFonts w:ascii="Calibri" w:hAnsi="Calibri" w:cs="Arial"/>
                            <w:sz w:val="20"/>
                          </w:rPr>
                        </w:pPr>
                        <w:r>
                          <w:rPr>
                            <w:rFonts w:ascii="Calibri" w:hAnsi="Calibri" w:cs="Arial"/>
                            <w:sz w:val="20"/>
                          </w:rPr>
                          <w:t> </w:t>
                        </w:r>
                      </w:p>
                    </w:tc>
                  </w:tr>
                  <w:tr w:rsidR="00740372" w:rsidRPr="000E231F" w:rsidTr="00A47D5A">
                    <w:trPr>
                      <w:trHeight w:val="255"/>
                    </w:trPr>
                    <w:tc>
                      <w:tcPr>
                        <w:tcW w:w="4050" w:type="dxa"/>
                        <w:tcBorders>
                          <w:top w:val="nil"/>
                          <w:bottom w:val="nil"/>
                          <w:right w:val="single" w:sz="4" w:space="0" w:color="auto"/>
                        </w:tcBorders>
                        <w:shd w:val="clear" w:color="auto" w:fill="auto"/>
                        <w:noWrap/>
                        <w:vAlign w:val="bottom"/>
                        <w:hideMark/>
                      </w:tcPr>
                      <w:p w:rsidR="00740372" w:rsidRPr="000E231F" w:rsidRDefault="00740372" w:rsidP="00A47D5A">
                        <w:pPr>
                          <w:rPr>
                            <w:sz w:val="20"/>
                          </w:rPr>
                        </w:pPr>
                        <w:r w:rsidRPr="000E231F">
                          <w:rPr>
                            <w:sz w:val="20"/>
                          </w:rPr>
                          <w:t xml:space="preserve">      </w:t>
                        </w:r>
                        <w:r>
                          <w:rPr>
                            <w:sz w:val="20"/>
                          </w:rPr>
                          <w:t>M</w:t>
                        </w:r>
                        <w:r w:rsidRPr="000E231F">
                          <w:rPr>
                            <w:sz w:val="20"/>
                          </w:rPr>
                          <w:t xml:space="preserve">ilk productivity benefits </w:t>
                        </w:r>
                        <w:r>
                          <w:rPr>
                            <w:sz w:val="20"/>
                          </w:rPr>
                          <w:t>to 75%</w:t>
                        </w:r>
                      </w:p>
                    </w:tc>
                    <w:tc>
                      <w:tcPr>
                        <w:tcW w:w="630" w:type="dxa"/>
                        <w:tcBorders>
                          <w:top w:val="nil"/>
                          <w:left w:val="single" w:sz="4" w:space="0" w:color="auto"/>
                          <w:bottom w:val="nil"/>
                          <w:right w:val="single" w:sz="4" w:space="0" w:color="auto"/>
                        </w:tcBorders>
                        <w:shd w:val="clear" w:color="auto" w:fill="auto"/>
                        <w:noWrap/>
                        <w:vAlign w:val="bottom"/>
                        <w:hideMark/>
                      </w:tcPr>
                      <w:p w:rsidR="00740372" w:rsidRPr="000B7246" w:rsidRDefault="00740372">
                        <w:pPr>
                          <w:jc w:val="right"/>
                          <w:rPr>
                            <w:sz w:val="20"/>
                          </w:rPr>
                        </w:pPr>
                        <w:r w:rsidRPr="000B7246">
                          <w:rPr>
                            <w:sz w:val="20"/>
                          </w:rPr>
                          <w:t xml:space="preserve">13.5 </w:t>
                        </w:r>
                      </w:p>
                    </w:tc>
                    <w:tc>
                      <w:tcPr>
                        <w:tcW w:w="733" w:type="dxa"/>
                        <w:tcBorders>
                          <w:top w:val="nil"/>
                          <w:left w:val="single" w:sz="4" w:space="0" w:color="auto"/>
                          <w:bottom w:val="nil"/>
                        </w:tcBorders>
                        <w:shd w:val="clear" w:color="auto" w:fill="auto"/>
                        <w:noWrap/>
                        <w:vAlign w:val="bottom"/>
                        <w:hideMark/>
                      </w:tcPr>
                      <w:p w:rsidR="00740372" w:rsidRPr="000B7246" w:rsidRDefault="00740372">
                        <w:pPr>
                          <w:jc w:val="right"/>
                          <w:rPr>
                            <w:sz w:val="20"/>
                          </w:rPr>
                        </w:pPr>
                        <w:r>
                          <w:rPr>
                            <w:sz w:val="20"/>
                          </w:rPr>
                          <w:t>22.1</w:t>
                        </w:r>
                        <w:r w:rsidRPr="000B7246">
                          <w:rPr>
                            <w:sz w:val="20"/>
                          </w:rPr>
                          <w:t>%</w:t>
                        </w:r>
                      </w:p>
                    </w:tc>
                  </w:tr>
                  <w:tr w:rsidR="00740372" w:rsidRPr="000E231F" w:rsidTr="00A47D5A">
                    <w:trPr>
                      <w:trHeight w:val="255"/>
                    </w:trPr>
                    <w:tc>
                      <w:tcPr>
                        <w:tcW w:w="4050" w:type="dxa"/>
                        <w:tcBorders>
                          <w:top w:val="nil"/>
                          <w:bottom w:val="nil"/>
                          <w:right w:val="single" w:sz="4" w:space="0" w:color="auto"/>
                        </w:tcBorders>
                        <w:shd w:val="clear" w:color="auto" w:fill="auto"/>
                        <w:noWrap/>
                        <w:vAlign w:val="bottom"/>
                        <w:hideMark/>
                      </w:tcPr>
                      <w:p w:rsidR="00740372" w:rsidRPr="000E231F" w:rsidRDefault="00740372" w:rsidP="00A47D5A">
                        <w:pPr>
                          <w:rPr>
                            <w:sz w:val="20"/>
                          </w:rPr>
                        </w:pPr>
                        <w:r w:rsidRPr="000E231F">
                          <w:rPr>
                            <w:sz w:val="20"/>
                          </w:rPr>
                          <w:t xml:space="preserve">      </w:t>
                        </w:r>
                        <w:r>
                          <w:rPr>
                            <w:sz w:val="20"/>
                          </w:rPr>
                          <w:t xml:space="preserve">Milk </w:t>
                        </w:r>
                        <w:r w:rsidRPr="000E231F">
                          <w:rPr>
                            <w:sz w:val="20"/>
                          </w:rPr>
                          <w:t xml:space="preserve">collection </w:t>
                        </w:r>
                        <w:r>
                          <w:rPr>
                            <w:sz w:val="20"/>
                          </w:rPr>
                          <w:t>&amp;</w:t>
                        </w:r>
                        <w:r w:rsidRPr="000E231F">
                          <w:rPr>
                            <w:sz w:val="20"/>
                          </w:rPr>
                          <w:t xml:space="preserve"> bulking benefits </w:t>
                        </w:r>
                        <w:r>
                          <w:rPr>
                            <w:sz w:val="20"/>
                          </w:rPr>
                          <w:t>to 75%</w:t>
                        </w:r>
                      </w:p>
                    </w:tc>
                    <w:tc>
                      <w:tcPr>
                        <w:tcW w:w="630" w:type="dxa"/>
                        <w:tcBorders>
                          <w:top w:val="nil"/>
                          <w:left w:val="single" w:sz="4" w:space="0" w:color="auto"/>
                          <w:bottom w:val="nil"/>
                          <w:right w:val="single" w:sz="4" w:space="0" w:color="auto"/>
                        </w:tcBorders>
                        <w:shd w:val="clear" w:color="auto" w:fill="auto"/>
                        <w:noWrap/>
                        <w:vAlign w:val="bottom"/>
                        <w:hideMark/>
                      </w:tcPr>
                      <w:p w:rsidR="00740372" w:rsidRPr="000B7246" w:rsidRDefault="00740372" w:rsidP="00A47D5A">
                        <w:pPr>
                          <w:jc w:val="right"/>
                          <w:rPr>
                            <w:sz w:val="20"/>
                          </w:rPr>
                        </w:pPr>
                        <w:r w:rsidRPr="000B7246">
                          <w:rPr>
                            <w:sz w:val="20"/>
                          </w:rPr>
                          <w:t>1</w:t>
                        </w:r>
                        <w:r>
                          <w:rPr>
                            <w:sz w:val="20"/>
                          </w:rPr>
                          <w:t>4.6</w:t>
                        </w:r>
                        <w:r w:rsidRPr="000B7246">
                          <w:rPr>
                            <w:sz w:val="20"/>
                          </w:rPr>
                          <w:t xml:space="preserve"> </w:t>
                        </w:r>
                      </w:p>
                    </w:tc>
                    <w:tc>
                      <w:tcPr>
                        <w:tcW w:w="733" w:type="dxa"/>
                        <w:tcBorders>
                          <w:top w:val="nil"/>
                          <w:left w:val="single" w:sz="4" w:space="0" w:color="auto"/>
                          <w:bottom w:val="nil"/>
                        </w:tcBorders>
                        <w:shd w:val="clear" w:color="auto" w:fill="auto"/>
                        <w:noWrap/>
                        <w:vAlign w:val="bottom"/>
                        <w:hideMark/>
                      </w:tcPr>
                      <w:p w:rsidR="00740372" w:rsidRPr="000B7246" w:rsidRDefault="00740372" w:rsidP="00A47D5A">
                        <w:pPr>
                          <w:jc w:val="right"/>
                          <w:rPr>
                            <w:sz w:val="20"/>
                          </w:rPr>
                        </w:pPr>
                        <w:r>
                          <w:rPr>
                            <w:sz w:val="20"/>
                          </w:rPr>
                          <w:t>22.4</w:t>
                        </w:r>
                        <w:r w:rsidRPr="000B7246">
                          <w:rPr>
                            <w:sz w:val="20"/>
                          </w:rPr>
                          <w:t>%</w:t>
                        </w:r>
                      </w:p>
                    </w:tc>
                  </w:tr>
                  <w:tr w:rsidR="00740372" w:rsidRPr="000E231F" w:rsidTr="00A47D5A">
                    <w:trPr>
                      <w:trHeight w:val="255"/>
                    </w:trPr>
                    <w:tc>
                      <w:tcPr>
                        <w:tcW w:w="4050" w:type="dxa"/>
                        <w:tcBorders>
                          <w:top w:val="nil"/>
                          <w:bottom w:val="single" w:sz="4" w:space="0" w:color="auto"/>
                          <w:right w:val="single" w:sz="4" w:space="0" w:color="auto"/>
                        </w:tcBorders>
                        <w:shd w:val="clear" w:color="auto" w:fill="auto"/>
                        <w:noWrap/>
                        <w:vAlign w:val="bottom"/>
                        <w:hideMark/>
                      </w:tcPr>
                      <w:p w:rsidR="00740372" w:rsidRPr="000E231F" w:rsidRDefault="00740372" w:rsidP="00A47D5A">
                        <w:pPr>
                          <w:rPr>
                            <w:sz w:val="20"/>
                          </w:rPr>
                        </w:pPr>
                        <w:r w:rsidRPr="000E231F">
                          <w:rPr>
                            <w:sz w:val="20"/>
                          </w:rPr>
                          <w:t xml:space="preserve">      </w:t>
                        </w:r>
                        <w:r>
                          <w:rPr>
                            <w:sz w:val="20"/>
                          </w:rPr>
                          <w:t>N</w:t>
                        </w:r>
                        <w:r w:rsidRPr="000E231F">
                          <w:rPr>
                            <w:sz w:val="20"/>
                          </w:rPr>
                          <w:t xml:space="preserve">utrition management benefits  </w:t>
                        </w:r>
                        <w:r>
                          <w:rPr>
                            <w:sz w:val="20"/>
                          </w:rPr>
                          <w:t>to 75%</w:t>
                        </w:r>
                      </w:p>
                    </w:tc>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740372" w:rsidRPr="000B7246" w:rsidRDefault="00740372">
                        <w:pPr>
                          <w:jc w:val="right"/>
                          <w:rPr>
                            <w:sz w:val="20"/>
                          </w:rPr>
                        </w:pPr>
                        <w:r>
                          <w:rPr>
                            <w:sz w:val="20"/>
                          </w:rPr>
                          <w:t>12.5</w:t>
                        </w:r>
                        <w:r w:rsidRPr="000B7246">
                          <w:rPr>
                            <w:sz w:val="20"/>
                          </w:rPr>
                          <w:t xml:space="preserve"> </w:t>
                        </w:r>
                      </w:p>
                    </w:tc>
                    <w:tc>
                      <w:tcPr>
                        <w:tcW w:w="733" w:type="dxa"/>
                        <w:tcBorders>
                          <w:top w:val="nil"/>
                          <w:left w:val="single" w:sz="4" w:space="0" w:color="auto"/>
                          <w:bottom w:val="single" w:sz="4" w:space="0" w:color="auto"/>
                        </w:tcBorders>
                        <w:shd w:val="clear" w:color="auto" w:fill="auto"/>
                        <w:noWrap/>
                        <w:vAlign w:val="bottom"/>
                        <w:hideMark/>
                      </w:tcPr>
                      <w:p w:rsidR="00740372" w:rsidRPr="000B7246" w:rsidRDefault="00740372" w:rsidP="00A47D5A">
                        <w:pPr>
                          <w:jc w:val="right"/>
                          <w:rPr>
                            <w:sz w:val="20"/>
                          </w:rPr>
                        </w:pPr>
                        <w:r>
                          <w:rPr>
                            <w:sz w:val="20"/>
                          </w:rPr>
                          <w:t>21.2</w:t>
                        </w:r>
                        <w:r w:rsidRPr="000B7246">
                          <w:rPr>
                            <w:sz w:val="20"/>
                          </w:rPr>
                          <w:t>%</w:t>
                        </w:r>
                      </w:p>
                    </w:tc>
                  </w:tr>
                  <w:tr w:rsidR="00740372" w:rsidRPr="000E231F" w:rsidTr="00A47D5A">
                    <w:trPr>
                      <w:trHeight w:val="255"/>
                    </w:trPr>
                    <w:tc>
                      <w:tcPr>
                        <w:tcW w:w="4050" w:type="dxa"/>
                        <w:tcBorders>
                          <w:top w:val="single" w:sz="4" w:space="0" w:color="auto"/>
                          <w:bottom w:val="nil"/>
                          <w:right w:val="single" w:sz="4" w:space="0" w:color="auto"/>
                        </w:tcBorders>
                        <w:shd w:val="clear" w:color="auto" w:fill="auto"/>
                        <w:noWrap/>
                        <w:vAlign w:val="bottom"/>
                        <w:hideMark/>
                      </w:tcPr>
                      <w:p w:rsidR="00740372" w:rsidRPr="00185A94" w:rsidRDefault="00740372" w:rsidP="00A47D5A">
                        <w:pPr>
                          <w:rPr>
                            <w:i/>
                            <w:sz w:val="20"/>
                          </w:rPr>
                        </w:pPr>
                        <w:r w:rsidRPr="00185A94">
                          <w:rPr>
                            <w:i/>
                            <w:sz w:val="20"/>
                          </w:rPr>
                          <w:t xml:space="preserve"> Delayed Breed Improvement Benefits </w:t>
                        </w:r>
                      </w:p>
                    </w:tc>
                    <w:tc>
                      <w:tcPr>
                        <w:tcW w:w="630" w:type="dxa"/>
                        <w:tcBorders>
                          <w:top w:val="single" w:sz="4" w:space="0" w:color="auto"/>
                          <w:left w:val="single" w:sz="4" w:space="0" w:color="auto"/>
                          <w:bottom w:val="nil"/>
                          <w:right w:val="single" w:sz="4" w:space="0" w:color="auto"/>
                        </w:tcBorders>
                        <w:shd w:val="clear" w:color="auto" w:fill="auto"/>
                        <w:noWrap/>
                        <w:vAlign w:val="bottom"/>
                        <w:hideMark/>
                      </w:tcPr>
                      <w:p w:rsidR="00740372" w:rsidRPr="000B7246" w:rsidRDefault="00740372">
                        <w:pPr>
                          <w:rPr>
                            <w:sz w:val="20"/>
                          </w:rPr>
                        </w:pPr>
                      </w:p>
                    </w:tc>
                    <w:tc>
                      <w:tcPr>
                        <w:tcW w:w="733" w:type="dxa"/>
                        <w:tcBorders>
                          <w:top w:val="single" w:sz="4" w:space="0" w:color="auto"/>
                          <w:left w:val="single" w:sz="4" w:space="0" w:color="auto"/>
                          <w:bottom w:val="nil"/>
                        </w:tcBorders>
                        <w:shd w:val="clear" w:color="auto" w:fill="auto"/>
                        <w:noWrap/>
                        <w:vAlign w:val="bottom"/>
                        <w:hideMark/>
                      </w:tcPr>
                      <w:p w:rsidR="00740372" w:rsidRPr="000B7246" w:rsidRDefault="00740372">
                        <w:pPr>
                          <w:rPr>
                            <w:sz w:val="20"/>
                          </w:rPr>
                        </w:pPr>
                      </w:p>
                    </w:tc>
                  </w:tr>
                  <w:tr w:rsidR="00740372" w:rsidRPr="000E231F" w:rsidTr="00A47D5A">
                    <w:trPr>
                      <w:trHeight w:val="255"/>
                    </w:trPr>
                    <w:tc>
                      <w:tcPr>
                        <w:tcW w:w="4050" w:type="dxa"/>
                        <w:tcBorders>
                          <w:top w:val="nil"/>
                          <w:bottom w:val="single" w:sz="4" w:space="0" w:color="auto"/>
                          <w:right w:val="single" w:sz="4" w:space="0" w:color="auto"/>
                        </w:tcBorders>
                        <w:shd w:val="clear" w:color="auto" w:fill="auto"/>
                        <w:noWrap/>
                        <w:vAlign w:val="bottom"/>
                        <w:hideMark/>
                      </w:tcPr>
                      <w:p w:rsidR="00740372" w:rsidRPr="000E231F" w:rsidRDefault="00740372" w:rsidP="00A47D5A">
                        <w:pPr>
                          <w:rPr>
                            <w:sz w:val="20"/>
                          </w:rPr>
                        </w:pPr>
                        <w:r>
                          <w:rPr>
                            <w:sz w:val="20"/>
                          </w:rPr>
                          <w:t xml:space="preserve">      By two years</w:t>
                        </w:r>
                      </w:p>
                    </w:tc>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740372" w:rsidRPr="000B7246" w:rsidRDefault="00740372">
                        <w:pPr>
                          <w:jc w:val="right"/>
                          <w:rPr>
                            <w:sz w:val="20"/>
                          </w:rPr>
                        </w:pPr>
                        <w:r>
                          <w:rPr>
                            <w:sz w:val="20"/>
                          </w:rPr>
                          <w:t>7.3</w:t>
                        </w:r>
                        <w:r w:rsidRPr="000B7246">
                          <w:rPr>
                            <w:sz w:val="20"/>
                          </w:rPr>
                          <w:t xml:space="preserve"> </w:t>
                        </w:r>
                      </w:p>
                    </w:tc>
                    <w:tc>
                      <w:tcPr>
                        <w:tcW w:w="733" w:type="dxa"/>
                        <w:tcBorders>
                          <w:top w:val="nil"/>
                          <w:left w:val="single" w:sz="4" w:space="0" w:color="auto"/>
                          <w:bottom w:val="single" w:sz="4" w:space="0" w:color="auto"/>
                        </w:tcBorders>
                        <w:shd w:val="clear" w:color="auto" w:fill="auto"/>
                        <w:noWrap/>
                        <w:vAlign w:val="bottom"/>
                        <w:hideMark/>
                      </w:tcPr>
                      <w:p w:rsidR="00740372" w:rsidRPr="000B7246" w:rsidRDefault="00740372">
                        <w:pPr>
                          <w:jc w:val="right"/>
                          <w:rPr>
                            <w:sz w:val="20"/>
                          </w:rPr>
                        </w:pPr>
                        <w:r>
                          <w:rPr>
                            <w:sz w:val="20"/>
                          </w:rPr>
                          <w:t>18.3</w:t>
                        </w:r>
                        <w:r w:rsidRPr="000B7246">
                          <w:rPr>
                            <w:sz w:val="20"/>
                          </w:rPr>
                          <w:t>%</w:t>
                        </w:r>
                      </w:p>
                    </w:tc>
                  </w:tr>
                  <w:tr w:rsidR="00740372" w:rsidRPr="000E231F" w:rsidTr="00A47D5A">
                    <w:trPr>
                      <w:trHeight w:val="255"/>
                    </w:trPr>
                    <w:tc>
                      <w:tcPr>
                        <w:tcW w:w="4050" w:type="dxa"/>
                        <w:tcBorders>
                          <w:top w:val="single" w:sz="4" w:space="0" w:color="auto"/>
                          <w:bottom w:val="nil"/>
                          <w:right w:val="single" w:sz="4" w:space="0" w:color="auto"/>
                        </w:tcBorders>
                        <w:shd w:val="clear" w:color="auto" w:fill="auto"/>
                        <w:noWrap/>
                        <w:vAlign w:val="bottom"/>
                        <w:hideMark/>
                      </w:tcPr>
                      <w:p w:rsidR="00740372" w:rsidRPr="00185A94" w:rsidRDefault="00740372" w:rsidP="00A47D5A">
                        <w:pPr>
                          <w:rPr>
                            <w:i/>
                            <w:sz w:val="20"/>
                          </w:rPr>
                        </w:pPr>
                        <w:r w:rsidRPr="00185A94">
                          <w:rPr>
                            <w:i/>
                            <w:sz w:val="20"/>
                          </w:rPr>
                          <w:t>Change in costs and Benefits</w:t>
                        </w:r>
                      </w:p>
                    </w:tc>
                    <w:tc>
                      <w:tcPr>
                        <w:tcW w:w="630" w:type="dxa"/>
                        <w:tcBorders>
                          <w:top w:val="single" w:sz="4" w:space="0" w:color="auto"/>
                          <w:left w:val="single" w:sz="4" w:space="0" w:color="auto"/>
                          <w:bottom w:val="nil"/>
                          <w:right w:val="single" w:sz="4" w:space="0" w:color="auto"/>
                        </w:tcBorders>
                        <w:shd w:val="clear" w:color="auto" w:fill="auto"/>
                        <w:noWrap/>
                        <w:vAlign w:val="bottom"/>
                        <w:hideMark/>
                      </w:tcPr>
                      <w:p w:rsidR="00740372" w:rsidRPr="000B7246" w:rsidRDefault="00740372">
                        <w:pPr>
                          <w:rPr>
                            <w:sz w:val="20"/>
                          </w:rPr>
                        </w:pPr>
                        <w:r w:rsidRPr="000B7246">
                          <w:rPr>
                            <w:sz w:val="20"/>
                          </w:rPr>
                          <w:t> </w:t>
                        </w:r>
                      </w:p>
                    </w:tc>
                    <w:tc>
                      <w:tcPr>
                        <w:tcW w:w="733" w:type="dxa"/>
                        <w:tcBorders>
                          <w:top w:val="single" w:sz="4" w:space="0" w:color="auto"/>
                          <w:left w:val="single" w:sz="4" w:space="0" w:color="auto"/>
                          <w:bottom w:val="nil"/>
                        </w:tcBorders>
                        <w:shd w:val="clear" w:color="auto" w:fill="auto"/>
                        <w:noWrap/>
                        <w:vAlign w:val="bottom"/>
                        <w:hideMark/>
                      </w:tcPr>
                      <w:p w:rsidR="00740372" w:rsidRPr="000B7246" w:rsidRDefault="00740372">
                        <w:pPr>
                          <w:rPr>
                            <w:sz w:val="20"/>
                          </w:rPr>
                        </w:pPr>
                        <w:r w:rsidRPr="000B7246">
                          <w:rPr>
                            <w:sz w:val="20"/>
                          </w:rPr>
                          <w:t> </w:t>
                        </w:r>
                      </w:p>
                    </w:tc>
                  </w:tr>
                  <w:tr w:rsidR="00740372" w:rsidRPr="000E231F" w:rsidTr="00A47D5A">
                    <w:trPr>
                      <w:trHeight w:val="255"/>
                    </w:trPr>
                    <w:tc>
                      <w:tcPr>
                        <w:tcW w:w="4050" w:type="dxa"/>
                        <w:tcBorders>
                          <w:top w:val="nil"/>
                          <w:bottom w:val="single" w:sz="4" w:space="0" w:color="auto"/>
                          <w:right w:val="single" w:sz="4" w:space="0" w:color="auto"/>
                        </w:tcBorders>
                        <w:shd w:val="clear" w:color="auto" w:fill="auto"/>
                        <w:noWrap/>
                        <w:vAlign w:val="bottom"/>
                        <w:hideMark/>
                      </w:tcPr>
                      <w:p w:rsidR="00740372" w:rsidRPr="000E231F" w:rsidRDefault="00740372" w:rsidP="00A47D5A">
                        <w:pPr>
                          <w:ind w:firstLineChars="200" w:firstLine="400"/>
                          <w:rPr>
                            <w:sz w:val="20"/>
                          </w:rPr>
                        </w:pPr>
                        <w:r w:rsidRPr="000E231F">
                          <w:rPr>
                            <w:sz w:val="20"/>
                          </w:rPr>
                          <w:t>Costs</w:t>
                        </w:r>
                        <w:r>
                          <w:rPr>
                            <w:sz w:val="20"/>
                          </w:rPr>
                          <w:t xml:space="preserve"> at 1</w:t>
                        </w:r>
                        <w:r w:rsidRPr="000E231F">
                          <w:rPr>
                            <w:sz w:val="20"/>
                          </w:rPr>
                          <w:t>25% &amp; Benefits</w:t>
                        </w:r>
                        <w:r>
                          <w:rPr>
                            <w:sz w:val="20"/>
                          </w:rPr>
                          <w:t xml:space="preserve"> at 75%</w:t>
                        </w:r>
                      </w:p>
                    </w:tc>
                    <w:tc>
                      <w:tcPr>
                        <w:tcW w:w="630" w:type="dxa"/>
                        <w:tcBorders>
                          <w:top w:val="nil"/>
                          <w:left w:val="single" w:sz="4" w:space="0" w:color="auto"/>
                          <w:bottom w:val="single" w:sz="4" w:space="0" w:color="auto"/>
                          <w:right w:val="single" w:sz="4" w:space="0" w:color="auto"/>
                        </w:tcBorders>
                        <w:shd w:val="clear" w:color="auto" w:fill="auto"/>
                        <w:noWrap/>
                        <w:vAlign w:val="bottom"/>
                        <w:hideMark/>
                      </w:tcPr>
                      <w:p w:rsidR="00740372" w:rsidRPr="000B7246" w:rsidRDefault="00740372" w:rsidP="00A47D5A">
                        <w:pPr>
                          <w:jc w:val="right"/>
                          <w:rPr>
                            <w:sz w:val="20"/>
                          </w:rPr>
                        </w:pPr>
                        <w:r>
                          <w:rPr>
                            <w:sz w:val="20"/>
                          </w:rPr>
                          <w:t>4.2</w:t>
                        </w:r>
                        <w:r w:rsidRPr="000B7246">
                          <w:rPr>
                            <w:sz w:val="20"/>
                          </w:rPr>
                          <w:t xml:space="preserve"> </w:t>
                        </w:r>
                      </w:p>
                    </w:tc>
                    <w:tc>
                      <w:tcPr>
                        <w:tcW w:w="733" w:type="dxa"/>
                        <w:tcBorders>
                          <w:top w:val="nil"/>
                          <w:left w:val="single" w:sz="4" w:space="0" w:color="auto"/>
                          <w:bottom w:val="single" w:sz="4" w:space="0" w:color="auto"/>
                        </w:tcBorders>
                        <w:shd w:val="clear" w:color="auto" w:fill="auto"/>
                        <w:noWrap/>
                        <w:vAlign w:val="bottom"/>
                        <w:hideMark/>
                      </w:tcPr>
                      <w:p w:rsidR="00740372" w:rsidRPr="000B7246" w:rsidRDefault="00740372" w:rsidP="00A47D5A">
                        <w:pPr>
                          <w:jc w:val="right"/>
                          <w:rPr>
                            <w:sz w:val="20"/>
                          </w:rPr>
                        </w:pPr>
                        <w:r>
                          <w:rPr>
                            <w:sz w:val="20"/>
                          </w:rPr>
                          <w:t>14.9</w:t>
                        </w:r>
                        <w:r w:rsidRPr="000B7246">
                          <w:rPr>
                            <w:sz w:val="20"/>
                          </w:rPr>
                          <w:t>%</w:t>
                        </w:r>
                      </w:p>
                    </w:tc>
                  </w:tr>
                </w:tbl>
                <w:p w:rsidR="00740372" w:rsidRDefault="00740372" w:rsidP="00A47D5A"/>
              </w:txbxContent>
            </v:textbox>
            <w10:wrap type="square"/>
          </v:shape>
        </w:pict>
      </w:r>
    </w:p>
    <w:p w:rsidR="00A47D5A" w:rsidRPr="00363E3A" w:rsidRDefault="00A47D5A" w:rsidP="00AC2F9F">
      <w:pPr>
        <w:pStyle w:val="ListParagraph"/>
        <w:numPr>
          <w:ilvl w:val="0"/>
          <w:numId w:val="18"/>
        </w:numPr>
        <w:autoSpaceDE w:val="0"/>
        <w:autoSpaceDN w:val="0"/>
        <w:adjustRightInd w:val="0"/>
        <w:spacing w:after="120"/>
        <w:ind w:left="0" w:firstLine="0"/>
        <w:jc w:val="both"/>
      </w:pPr>
      <w:r w:rsidRPr="00363E3A">
        <w:rPr>
          <w:u w:val="single"/>
        </w:rPr>
        <w:t>Sensitivity and Risk Analyses:</w:t>
      </w:r>
      <w:r w:rsidRPr="00363E3A">
        <w:rPr>
          <w:b/>
        </w:rPr>
        <w:t xml:space="preserve"> </w:t>
      </w:r>
      <w:r w:rsidRPr="00363E3A">
        <w:t xml:space="preserve">the goal of sensitivity and risk analysis is to test robustness of ERR to changes in projected benefits and costs (table 2). A reduction in project benefits can occur if some of MAITs, LRPs and village level procurement systems put in place perform below par. This is captured by assuming only 75% of MAITs and LRPs actually provide services. In this situation the ERR declines between 21.2% and 22.4% and the NPV declines between 10% and 23% compared to base levels. A delay of benefits from genetic improvement by two years will reduce the ERR to 18.3% and NPV by 55%. When both costs and benefits change adversely by 25% the ERR declines to 14.9% with substantial reduction in NPV by 74% compared to base levels. </w:t>
      </w:r>
    </w:p>
    <w:p w:rsidR="00A47D5A" w:rsidRPr="00AC2F9F" w:rsidRDefault="00A47D5A" w:rsidP="00A47D5A">
      <w:pPr>
        <w:pStyle w:val="Default"/>
        <w:tabs>
          <w:tab w:val="center" w:pos="450"/>
        </w:tabs>
        <w:rPr>
          <w:rFonts w:ascii="Times New Roman" w:hAnsi="Times New Roman" w:cs="Times New Roman"/>
          <w:sz w:val="18"/>
          <w:szCs w:val="18"/>
        </w:rPr>
      </w:pPr>
    </w:p>
    <w:p w:rsidR="00A47D5A" w:rsidRPr="00363E3A" w:rsidRDefault="009D13F8" w:rsidP="00AC2F9F">
      <w:pPr>
        <w:pStyle w:val="ListParagraph"/>
        <w:numPr>
          <w:ilvl w:val="0"/>
          <w:numId w:val="18"/>
        </w:numPr>
        <w:autoSpaceDE w:val="0"/>
        <w:autoSpaceDN w:val="0"/>
        <w:adjustRightInd w:val="0"/>
        <w:spacing w:after="120"/>
        <w:ind w:left="0" w:firstLine="0"/>
        <w:jc w:val="both"/>
      </w:pPr>
      <w:r w:rsidRPr="009D13F8">
        <w:rPr>
          <w:b/>
          <w:noProof/>
          <w:lang w:bidi="ta-IN"/>
        </w:rPr>
        <w:pict>
          <v:shape id="_x0000_s1041" type="#_x0000_t202" style="position:absolute;left:0;text-align:left;margin-left:248.75pt;margin-top:24.35pt;width:3in;height:118.5pt;z-index:251663360" stroked="f">
            <v:textbox style="mso-next-textbox:#_x0000_s1041" inset="0,0,0,0">
              <w:txbxContent>
                <w:p w:rsidR="00740372" w:rsidRPr="00940442" w:rsidRDefault="00740372" w:rsidP="00A47D5A">
                  <w:pPr>
                    <w:pStyle w:val="Header"/>
                    <w:tabs>
                      <w:tab w:val="left" w:pos="5232"/>
                    </w:tabs>
                    <w:jc w:val="center"/>
                    <w:rPr>
                      <w:bCs/>
                      <w:sz w:val="20"/>
                    </w:rPr>
                  </w:pPr>
                  <w:r w:rsidRPr="00940442">
                    <w:rPr>
                      <w:bCs/>
                      <w:sz w:val="20"/>
                    </w:rPr>
                    <w:t>T-</w:t>
                  </w:r>
                  <w:r>
                    <w:rPr>
                      <w:bCs/>
                      <w:sz w:val="20"/>
                    </w:rPr>
                    <w:t>3</w:t>
                  </w:r>
                  <w:r w:rsidRPr="00940442">
                    <w:rPr>
                      <w:bCs/>
                      <w:sz w:val="20"/>
                    </w:rPr>
                    <w:t xml:space="preserve">  Risk analysis summary</w:t>
                  </w:r>
                </w:p>
                <w:tbl>
                  <w:tblPr>
                    <w:tblW w:w="4081" w:type="dxa"/>
                    <w:jc w:val="center"/>
                    <w:tblInd w:w="-2664" w:type="dxa"/>
                    <w:tblBorders>
                      <w:top w:val="single" w:sz="4" w:space="0" w:color="auto"/>
                      <w:bottom w:val="single" w:sz="4" w:space="0" w:color="auto"/>
                    </w:tblBorders>
                    <w:tblLook w:val="0000"/>
                  </w:tblPr>
                  <w:tblGrid>
                    <w:gridCol w:w="2434"/>
                    <w:gridCol w:w="814"/>
                    <w:gridCol w:w="833"/>
                  </w:tblGrid>
                  <w:tr w:rsidR="00740372" w:rsidRPr="00940442" w:rsidTr="00A47D5A">
                    <w:trPr>
                      <w:trHeight w:val="270"/>
                      <w:jc w:val="center"/>
                    </w:trPr>
                    <w:tc>
                      <w:tcPr>
                        <w:tcW w:w="2434" w:type="dxa"/>
                        <w:tcBorders>
                          <w:top w:val="single" w:sz="4" w:space="0" w:color="auto"/>
                          <w:bottom w:val="single" w:sz="4" w:space="0" w:color="auto"/>
                          <w:right w:val="single" w:sz="4" w:space="0" w:color="auto"/>
                        </w:tcBorders>
                        <w:shd w:val="clear" w:color="auto" w:fill="auto"/>
                        <w:noWrap/>
                        <w:vAlign w:val="bottom"/>
                      </w:tcPr>
                      <w:p w:rsidR="00740372" w:rsidRPr="00940442" w:rsidRDefault="00740372" w:rsidP="00A47D5A">
                        <w:pPr>
                          <w:ind w:left="137" w:hanging="90"/>
                          <w:rPr>
                            <w:bCs/>
                            <w:sz w:val="20"/>
                          </w:rPr>
                        </w:pPr>
                        <w:r w:rsidRPr="00940442">
                          <w:rPr>
                            <w:bCs/>
                            <w:sz w:val="20"/>
                          </w:rPr>
                          <w:t>Parameters</w:t>
                        </w:r>
                      </w:p>
                    </w:tc>
                    <w:tc>
                      <w:tcPr>
                        <w:tcW w:w="814" w:type="dxa"/>
                        <w:tcBorders>
                          <w:top w:val="single" w:sz="4" w:space="0" w:color="auto"/>
                          <w:left w:val="single" w:sz="4" w:space="0" w:color="auto"/>
                          <w:bottom w:val="single" w:sz="4" w:space="0" w:color="auto"/>
                          <w:right w:val="single" w:sz="4" w:space="0" w:color="auto"/>
                        </w:tcBorders>
                      </w:tcPr>
                      <w:p w:rsidR="00740372" w:rsidRPr="00940442" w:rsidRDefault="00740372" w:rsidP="00A47D5A">
                        <w:pPr>
                          <w:rPr>
                            <w:bCs/>
                            <w:sz w:val="20"/>
                          </w:rPr>
                        </w:pPr>
                        <w:r w:rsidRPr="00940442">
                          <w:rPr>
                            <w:bCs/>
                            <w:sz w:val="20"/>
                          </w:rPr>
                          <w:t>NPV</w:t>
                        </w:r>
                        <w:r>
                          <w:rPr>
                            <w:bCs/>
                            <w:sz w:val="20"/>
                          </w:rPr>
                          <w:t xml:space="preserve"> Rs M</w:t>
                        </w:r>
                      </w:p>
                    </w:tc>
                    <w:tc>
                      <w:tcPr>
                        <w:tcW w:w="833" w:type="dxa"/>
                        <w:tcBorders>
                          <w:top w:val="single" w:sz="4" w:space="0" w:color="auto"/>
                          <w:left w:val="single" w:sz="4" w:space="0" w:color="auto"/>
                          <w:bottom w:val="single" w:sz="4" w:space="0" w:color="auto"/>
                        </w:tcBorders>
                        <w:shd w:val="clear" w:color="auto" w:fill="auto"/>
                        <w:noWrap/>
                        <w:vAlign w:val="bottom"/>
                      </w:tcPr>
                      <w:p w:rsidR="00740372" w:rsidRPr="00940442" w:rsidRDefault="00740372" w:rsidP="00A47D5A">
                        <w:pPr>
                          <w:rPr>
                            <w:bCs/>
                            <w:sz w:val="20"/>
                          </w:rPr>
                        </w:pPr>
                        <w:r w:rsidRPr="00940442">
                          <w:rPr>
                            <w:bCs/>
                            <w:sz w:val="20"/>
                          </w:rPr>
                          <w:t>ERR</w:t>
                        </w:r>
                      </w:p>
                    </w:tc>
                  </w:tr>
                  <w:tr w:rsidR="00740372" w:rsidRPr="00940442" w:rsidTr="00A47D5A">
                    <w:trPr>
                      <w:trHeight w:val="270"/>
                      <w:jc w:val="center"/>
                    </w:trPr>
                    <w:tc>
                      <w:tcPr>
                        <w:tcW w:w="2434" w:type="dxa"/>
                        <w:tcBorders>
                          <w:top w:val="single" w:sz="4" w:space="0" w:color="auto"/>
                          <w:bottom w:val="single" w:sz="4" w:space="0" w:color="auto"/>
                          <w:right w:val="single" w:sz="4" w:space="0" w:color="auto"/>
                        </w:tcBorders>
                        <w:shd w:val="clear" w:color="auto" w:fill="auto"/>
                        <w:noWrap/>
                        <w:vAlign w:val="bottom"/>
                      </w:tcPr>
                      <w:p w:rsidR="00740372" w:rsidRPr="00940442" w:rsidRDefault="00740372" w:rsidP="00A47D5A">
                        <w:pPr>
                          <w:ind w:left="137" w:hanging="90"/>
                          <w:rPr>
                            <w:sz w:val="20"/>
                          </w:rPr>
                        </w:pPr>
                        <w:r w:rsidRPr="00940442">
                          <w:rPr>
                            <w:sz w:val="20"/>
                          </w:rPr>
                          <w:t>Expected value</w:t>
                        </w:r>
                      </w:p>
                    </w:tc>
                    <w:tc>
                      <w:tcPr>
                        <w:tcW w:w="814" w:type="dxa"/>
                        <w:tcBorders>
                          <w:top w:val="single" w:sz="4" w:space="0" w:color="auto"/>
                          <w:left w:val="single" w:sz="4" w:space="0" w:color="auto"/>
                          <w:bottom w:val="single" w:sz="4" w:space="0" w:color="auto"/>
                          <w:right w:val="single" w:sz="4" w:space="0" w:color="auto"/>
                        </w:tcBorders>
                        <w:vAlign w:val="bottom"/>
                      </w:tcPr>
                      <w:p w:rsidR="00740372" w:rsidRPr="005F78EF" w:rsidRDefault="00740372" w:rsidP="00A47D5A">
                        <w:pPr>
                          <w:ind w:left="137" w:hanging="90"/>
                          <w:rPr>
                            <w:sz w:val="20"/>
                          </w:rPr>
                        </w:pPr>
                        <w:r w:rsidRPr="005F78EF">
                          <w:rPr>
                            <w:sz w:val="20"/>
                          </w:rPr>
                          <w:t xml:space="preserve">5,761 </w:t>
                        </w:r>
                      </w:p>
                    </w:tc>
                    <w:tc>
                      <w:tcPr>
                        <w:tcW w:w="833" w:type="dxa"/>
                        <w:tcBorders>
                          <w:top w:val="single" w:sz="4" w:space="0" w:color="auto"/>
                          <w:left w:val="single" w:sz="4" w:space="0" w:color="auto"/>
                          <w:bottom w:val="single" w:sz="4" w:space="0" w:color="auto"/>
                        </w:tcBorders>
                        <w:shd w:val="clear" w:color="auto" w:fill="auto"/>
                        <w:noWrap/>
                        <w:vAlign w:val="bottom"/>
                      </w:tcPr>
                      <w:p w:rsidR="00740372" w:rsidRPr="005F78EF" w:rsidRDefault="00740372" w:rsidP="00A47D5A">
                        <w:pPr>
                          <w:ind w:left="137" w:hanging="90"/>
                          <w:rPr>
                            <w:sz w:val="20"/>
                          </w:rPr>
                        </w:pPr>
                        <w:r w:rsidRPr="005F78EF">
                          <w:rPr>
                            <w:sz w:val="20"/>
                          </w:rPr>
                          <w:t>16.2%</w:t>
                        </w:r>
                      </w:p>
                    </w:tc>
                  </w:tr>
                  <w:tr w:rsidR="00740372" w:rsidRPr="00940442" w:rsidTr="00A47D5A">
                    <w:trPr>
                      <w:trHeight w:val="255"/>
                      <w:jc w:val="center"/>
                    </w:trPr>
                    <w:tc>
                      <w:tcPr>
                        <w:tcW w:w="2434" w:type="dxa"/>
                        <w:tcBorders>
                          <w:top w:val="single" w:sz="4" w:space="0" w:color="auto"/>
                          <w:bottom w:val="single" w:sz="4" w:space="0" w:color="auto"/>
                          <w:right w:val="single" w:sz="4" w:space="0" w:color="auto"/>
                        </w:tcBorders>
                        <w:shd w:val="clear" w:color="auto" w:fill="auto"/>
                        <w:noWrap/>
                        <w:vAlign w:val="bottom"/>
                      </w:tcPr>
                      <w:p w:rsidR="00740372" w:rsidRPr="00940442" w:rsidRDefault="00740372" w:rsidP="00A47D5A">
                        <w:pPr>
                          <w:ind w:left="137" w:hanging="90"/>
                          <w:rPr>
                            <w:sz w:val="20"/>
                          </w:rPr>
                        </w:pPr>
                        <w:r w:rsidRPr="00940442">
                          <w:rPr>
                            <w:sz w:val="20"/>
                          </w:rPr>
                          <w:t>Standard deviation</w:t>
                        </w:r>
                      </w:p>
                    </w:tc>
                    <w:tc>
                      <w:tcPr>
                        <w:tcW w:w="814" w:type="dxa"/>
                        <w:tcBorders>
                          <w:top w:val="single" w:sz="4" w:space="0" w:color="auto"/>
                          <w:left w:val="single" w:sz="4" w:space="0" w:color="auto"/>
                          <w:bottom w:val="single" w:sz="4" w:space="0" w:color="auto"/>
                          <w:right w:val="single" w:sz="4" w:space="0" w:color="auto"/>
                        </w:tcBorders>
                        <w:vAlign w:val="bottom"/>
                      </w:tcPr>
                      <w:p w:rsidR="00740372" w:rsidRPr="005F78EF" w:rsidRDefault="00740372" w:rsidP="00A47D5A">
                        <w:pPr>
                          <w:ind w:left="137" w:hanging="90"/>
                          <w:rPr>
                            <w:sz w:val="20"/>
                          </w:rPr>
                        </w:pPr>
                        <w:r w:rsidRPr="005F78EF">
                          <w:rPr>
                            <w:sz w:val="20"/>
                          </w:rPr>
                          <w:t xml:space="preserve">1,787 </w:t>
                        </w:r>
                      </w:p>
                    </w:tc>
                    <w:tc>
                      <w:tcPr>
                        <w:tcW w:w="833" w:type="dxa"/>
                        <w:tcBorders>
                          <w:top w:val="single" w:sz="4" w:space="0" w:color="auto"/>
                          <w:left w:val="single" w:sz="4" w:space="0" w:color="auto"/>
                          <w:bottom w:val="single" w:sz="4" w:space="0" w:color="auto"/>
                        </w:tcBorders>
                        <w:shd w:val="clear" w:color="auto" w:fill="auto"/>
                        <w:noWrap/>
                        <w:vAlign w:val="bottom"/>
                      </w:tcPr>
                      <w:p w:rsidR="00740372" w:rsidRPr="005F78EF" w:rsidRDefault="00740372" w:rsidP="00A47D5A">
                        <w:pPr>
                          <w:ind w:left="137" w:hanging="90"/>
                          <w:rPr>
                            <w:sz w:val="20"/>
                          </w:rPr>
                        </w:pPr>
                        <w:r w:rsidRPr="005F78EF">
                          <w:rPr>
                            <w:sz w:val="20"/>
                          </w:rPr>
                          <w:t>1.3%</w:t>
                        </w:r>
                      </w:p>
                    </w:tc>
                  </w:tr>
                  <w:tr w:rsidR="00740372" w:rsidRPr="00940442" w:rsidTr="00A47D5A">
                    <w:trPr>
                      <w:trHeight w:val="255"/>
                      <w:jc w:val="center"/>
                    </w:trPr>
                    <w:tc>
                      <w:tcPr>
                        <w:tcW w:w="2434" w:type="dxa"/>
                        <w:tcBorders>
                          <w:top w:val="single" w:sz="4" w:space="0" w:color="auto"/>
                          <w:bottom w:val="nil"/>
                          <w:right w:val="single" w:sz="4" w:space="0" w:color="auto"/>
                        </w:tcBorders>
                        <w:shd w:val="clear" w:color="auto" w:fill="auto"/>
                        <w:noWrap/>
                        <w:vAlign w:val="bottom"/>
                      </w:tcPr>
                      <w:p w:rsidR="00740372" w:rsidRPr="00940442" w:rsidRDefault="00740372" w:rsidP="00A47D5A">
                        <w:pPr>
                          <w:ind w:left="137" w:hanging="90"/>
                          <w:rPr>
                            <w:sz w:val="20"/>
                          </w:rPr>
                        </w:pPr>
                        <w:r w:rsidRPr="00940442">
                          <w:rPr>
                            <w:sz w:val="20"/>
                          </w:rPr>
                          <w:t>Minimum</w:t>
                        </w:r>
                      </w:p>
                    </w:tc>
                    <w:tc>
                      <w:tcPr>
                        <w:tcW w:w="814" w:type="dxa"/>
                        <w:tcBorders>
                          <w:top w:val="single" w:sz="4" w:space="0" w:color="auto"/>
                          <w:left w:val="single" w:sz="4" w:space="0" w:color="auto"/>
                          <w:bottom w:val="nil"/>
                          <w:right w:val="single" w:sz="4" w:space="0" w:color="auto"/>
                        </w:tcBorders>
                        <w:vAlign w:val="bottom"/>
                      </w:tcPr>
                      <w:p w:rsidR="00740372" w:rsidRPr="005F78EF" w:rsidRDefault="00740372" w:rsidP="00A47D5A">
                        <w:pPr>
                          <w:ind w:left="137" w:hanging="90"/>
                          <w:rPr>
                            <w:sz w:val="20"/>
                          </w:rPr>
                        </w:pPr>
                        <w:r w:rsidRPr="005F78EF">
                          <w:rPr>
                            <w:sz w:val="20"/>
                          </w:rPr>
                          <w:t>(230)</w:t>
                        </w:r>
                      </w:p>
                    </w:tc>
                    <w:tc>
                      <w:tcPr>
                        <w:tcW w:w="833" w:type="dxa"/>
                        <w:tcBorders>
                          <w:top w:val="single" w:sz="4" w:space="0" w:color="auto"/>
                          <w:left w:val="single" w:sz="4" w:space="0" w:color="auto"/>
                          <w:bottom w:val="nil"/>
                        </w:tcBorders>
                        <w:shd w:val="clear" w:color="auto" w:fill="auto"/>
                        <w:noWrap/>
                        <w:vAlign w:val="bottom"/>
                      </w:tcPr>
                      <w:p w:rsidR="00740372" w:rsidRPr="005F78EF" w:rsidRDefault="00740372" w:rsidP="00A47D5A">
                        <w:pPr>
                          <w:ind w:left="137" w:hanging="90"/>
                          <w:rPr>
                            <w:sz w:val="20"/>
                          </w:rPr>
                        </w:pPr>
                        <w:r w:rsidRPr="005F78EF">
                          <w:rPr>
                            <w:sz w:val="20"/>
                          </w:rPr>
                          <w:t>11.8%</w:t>
                        </w:r>
                      </w:p>
                    </w:tc>
                  </w:tr>
                  <w:tr w:rsidR="00740372" w:rsidRPr="00940442" w:rsidTr="00A47D5A">
                    <w:trPr>
                      <w:trHeight w:val="255"/>
                      <w:jc w:val="center"/>
                    </w:trPr>
                    <w:tc>
                      <w:tcPr>
                        <w:tcW w:w="2434" w:type="dxa"/>
                        <w:tcBorders>
                          <w:top w:val="nil"/>
                          <w:bottom w:val="single" w:sz="4" w:space="0" w:color="auto"/>
                          <w:right w:val="single" w:sz="4" w:space="0" w:color="auto"/>
                        </w:tcBorders>
                        <w:shd w:val="clear" w:color="auto" w:fill="auto"/>
                        <w:noWrap/>
                        <w:vAlign w:val="bottom"/>
                      </w:tcPr>
                      <w:p w:rsidR="00740372" w:rsidRPr="00940442" w:rsidRDefault="00740372" w:rsidP="00A47D5A">
                        <w:pPr>
                          <w:ind w:left="137" w:hanging="90"/>
                          <w:rPr>
                            <w:sz w:val="20"/>
                          </w:rPr>
                        </w:pPr>
                        <w:r w:rsidRPr="00940442">
                          <w:rPr>
                            <w:sz w:val="20"/>
                          </w:rPr>
                          <w:t>Maximum</w:t>
                        </w:r>
                      </w:p>
                    </w:tc>
                    <w:tc>
                      <w:tcPr>
                        <w:tcW w:w="814" w:type="dxa"/>
                        <w:tcBorders>
                          <w:top w:val="nil"/>
                          <w:left w:val="single" w:sz="4" w:space="0" w:color="auto"/>
                          <w:bottom w:val="single" w:sz="4" w:space="0" w:color="auto"/>
                          <w:right w:val="single" w:sz="4" w:space="0" w:color="auto"/>
                        </w:tcBorders>
                        <w:vAlign w:val="bottom"/>
                      </w:tcPr>
                      <w:p w:rsidR="00740372" w:rsidRPr="005F78EF" w:rsidRDefault="00740372" w:rsidP="00A47D5A">
                        <w:pPr>
                          <w:ind w:left="137" w:hanging="90"/>
                          <w:rPr>
                            <w:sz w:val="20"/>
                          </w:rPr>
                        </w:pPr>
                        <w:r w:rsidRPr="005F78EF">
                          <w:rPr>
                            <w:sz w:val="20"/>
                          </w:rPr>
                          <w:t xml:space="preserve">11,694 </w:t>
                        </w:r>
                      </w:p>
                    </w:tc>
                    <w:tc>
                      <w:tcPr>
                        <w:tcW w:w="833" w:type="dxa"/>
                        <w:tcBorders>
                          <w:top w:val="nil"/>
                          <w:left w:val="single" w:sz="4" w:space="0" w:color="auto"/>
                          <w:bottom w:val="single" w:sz="4" w:space="0" w:color="auto"/>
                        </w:tcBorders>
                        <w:shd w:val="clear" w:color="auto" w:fill="auto"/>
                        <w:noWrap/>
                        <w:vAlign w:val="bottom"/>
                      </w:tcPr>
                      <w:p w:rsidR="00740372" w:rsidRPr="005F78EF" w:rsidRDefault="00740372" w:rsidP="00A47D5A">
                        <w:pPr>
                          <w:ind w:left="137" w:hanging="90"/>
                          <w:rPr>
                            <w:sz w:val="20"/>
                          </w:rPr>
                        </w:pPr>
                        <w:r w:rsidRPr="005F78EF">
                          <w:rPr>
                            <w:sz w:val="20"/>
                          </w:rPr>
                          <w:t>20.4%</w:t>
                        </w:r>
                      </w:p>
                    </w:tc>
                  </w:tr>
                  <w:tr w:rsidR="00740372" w:rsidRPr="00940442" w:rsidTr="00A47D5A">
                    <w:trPr>
                      <w:trHeight w:val="255"/>
                      <w:jc w:val="center"/>
                    </w:trPr>
                    <w:tc>
                      <w:tcPr>
                        <w:tcW w:w="2434" w:type="dxa"/>
                        <w:tcBorders>
                          <w:top w:val="single" w:sz="4" w:space="0" w:color="auto"/>
                          <w:bottom w:val="single" w:sz="4" w:space="0" w:color="auto"/>
                          <w:right w:val="single" w:sz="4" w:space="0" w:color="auto"/>
                        </w:tcBorders>
                        <w:shd w:val="clear" w:color="auto" w:fill="auto"/>
                        <w:noWrap/>
                        <w:vAlign w:val="bottom"/>
                      </w:tcPr>
                      <w:p w:rsidR="00740372" w:rsidRPr="00940442" w:rsidRDefault="00740372" w:rsidP="00A47D5A">
                        <w:pPr>
                          <w:ind w:left="137" w:hanging="90"/>
                          <w:rPr>
                            <w:sz w:val="20"/>
                          </w:rPr>
                        </w:pPr>
                        <w:r w:rsidRPr="00940442">
                          <w:rPr>
                            <w:sz w:val="20"/>
                          </w:rPr>
                          <w:t>Coefficient of variation</w:t>
                        </w:r>
                      </w:p>
                    </w:tc>
                    <w:tc>
                      <w:tcPr>
                        <w:tcW w:w="814" w:type="dxa"/>
                        <w:tcBorders>
                          <w:top w:val="single" w:sz="4" w:space="0" w:color="auto"/>
                          <w:left w:val="single" w:sz="4" w:space="0" w:color="auto"/>
                          <w:bottom w:val="single" w:sz="4" w:space="0" w:color="auto"/>
                          <w:right w:val="single" w:sz="4" w:space="0" w:color="auto"/>
                        </w:tcBorders>
                        <w:vAlign w:val="bottom"/>
                      </w:tcPr>
                      <w:p w:rsidR="00740372" w:rsidRPr="005F78EF" w:rsidRDefault="00740372" w:rsidP="00A47D5A">
                        <w:pPr>
                          <w:ind w:left="137" w:hanging="90"/>
                          <w:rPr>
                            <w:sz w:val="20"/>
                          </w:rPr>
                        </w:pPr>
                        <w:r w:rsidRPr="005F78EF">
                          <w:rPr>
                            <w:sz w:val="20"/>
                          </w:rPr>
                          <w:t>0.31</w:t>
                        </w:r>
                      </w:p>
                    </w:tc>
                    <w:tc>
                      <w:tcPr>
                        <w:tcW w:w="833" w:type="dxa"/>
                        <w:tcBorders>
                          <w:top w:val="single" w:sz="4" w:space="0" w:color="auto"/>
                          <w:left w:val="single" w:sz="4" w:space="0" w:color="auto"/>
                          <w:bottom w:val="single" w:sz="4" w:space="0" w:color="auto"/>
                        </w:tcBorders>
                        <w:shd w:val="clear" w:color="auto" w:fill="auto"/>
                        <w:noWrap/>
                        <w:vAlign w:val="bottom"/>
                      </w:tcPr>
                      <w:p w:rsidR="00740372" w:rsidRPr="005F78EF" w:rsidRDefault="00740372" w:rsidP="00A47D5A">
                        <w:pPr>
                          <w:ind w:left="137" w:hanging="90"/>
                          <w:rPr>
                            <w:sz w:val="20"/>
                          </w:rPr>
                        </w:pPr>
                        <w:r w:rsidRPr="005F78EF">
                          <w:rPr>
                            <w:sz w:val="20"/>
                          </w:rPr>
                          <w:t>0.08</w:t>
                        </w:r>
                      </w:p>
                    </w:tc>
                  </w:tr>
                  <w:tr w:rsidR="00740372" w:rsidRPr="00940442" w:rsidTr="00A47D5A">
                    <w:trPr>
                      <w:trHeight w:val="255"/>
                      <w:jc w:val="center"/>
                    </w:trPr>
                    <w:tc>
                      <w:tcPr>
                        <w:tcW w:w="2434" w:type="dxa"/>
                        <w:tcBorders>
                          <w:top w:val="single" w:sz="4" w:space="0" w:color="auto"/>
                          <w:right w:val="single" w:sz="4" w:space="0" w:color="auto"/>
                        </w:tcBorders>
                        <w:shd w:val="clear" w:color="auto" w:fill="auto"/>
                        <w:noWrap/>
                        <w:vAlign w:val="bottom"/>
                      </w:tcPr>
                      <w:p w:rsidR="00740372" w:rsidRPr="00940442" w:rsidRDefault="00740372" w:rsidP="00A47D5A">
                        <w:pPr>
                          <w:ind w:left="137" w:hanging="90"/>
                          <w:rPr>
                            <w:sz w:val="20"/>
                          </w:rPr>
                        </w:pPr>
                        <w:r w:rsidRPr="00940442">
                          <w:rPr>
                            <w:sz w:val="20"/>
                          </w:rPr>
                          <w:t>Probability of -ve outcome</w:t>
                        </w:r>
                      </w:p>
                    </w:tc>
                    <w:tc>
                      <w:tcPr>
                        <w:tcW w:w="814" w:type="dxa"/>
                        <w:tcBorders>
                          <w:top w:val="single" w:sz="4" w:space="0" w:color="auto"/>
                          <w:left w:val="single" w:sz="4" w:space="0" w:color="auto"/>
                          <w:bottom w:val="single" w:sz="4" w:space="0" w:color="auto"/>
                          <w:right w:val="single" w:sz="4" w:space="0" w:color="auto"/>
                        </w:tcBorders>
                        <w:vAlign w:val="bottom"/>
                      </w:tcPr>
                      <w:p w:rsidR="00740372" w:rsidRPr="005F78EF" w:rsidRDefault="00740372" w:rsidP="00A47D5A">
                        <w:pPr>
                          <w:ind w:left="137" w:hanging="90"/>
                          <w:rPr>
                            <w:sz w:val="20"/>
                          </w:rPr>
                        </w:pPr>
                        <w:r w:rsidRPr="005F78EF">
                          <w:rPr>
                            <w:sz w:val="20"/>
                          </w:rPr>
                          <w:t>0.2%</w:t>
                        </w:r>
                      </w:p>
                    </w:tc>
                    <w:tc>
                      <w:tcPr>
                        <w:tcW w:w="833" w:type="dxa"/>
                        <w:tcBorders>
                          <w:top w:val="single" w:sz="4" w:space="0" w:color="auto"/>
                          <w:left w:val="single" w:sz="4" w:space="0" w:color="auto"/>
                        </w:tcBorders>
                        <w:shd w:val="clear" w:color="auto" w:fill="auto"/>
                        <w:noWrap/>
                        <w:vAlign w:val="bottom"/>
                      </w:tcPr>
                      <w:p w:rsidR="00740372" w:rsidRPr="005F78EF" w:rsidRDefault="00740372" w:rsidP="00A47D5A">
                        <w:pPr>
                          <w:ind w:left="137" w:hanging="90"/>
                          <w:rPr>
                            <w:sz w:val="20"/>
                          </w:rPr>
                        </w:pPr>
                        <w:r w:rsidRPr="005F78EF">
                          <w:rPr>
                            <w:sz w:val="20"/>
                          </w:rPr>
                          <w:t>0.0%</w:t>
                        </w:r>
                      </w:p>
                    </w:tc>
                  </w:tr>
                </w:tbl>
                <w:p w:rsidR="00740372" w:rsidRPr="00940442" w:rsidRDefault="00740372" w:rsidP="00A47D5A">
                  <w:pPr>
                    <w:rPr>
                      <w:sz w:val="20"/>
                    </w:rPr>
                  </w:pPr>
                </w:p>
              </w:txbxContent>
            </v:textbox>
            <w10:wrap type="square"/>
          </v:shape>
        </w:pict>
      </w:r>
      <w:r w:rsidR="00B77E6D">
        <w:rPr>
          <w:b/>
          <w:noProof/>
        </w:rPr>
        <w:drawing>
          <wp:anchor distT="73152" distB="82296" distL="236220" distR="202565" simplePos="0" relativeHeight="251666432" behindDoc="0" locked="0" layoutInCell="1" allowOverlap="1">
            <wp:simplePos x="0" y="0"/>
            <wp:positionH relativeFrom="column">
              <wp:posOffset>84455</wp:posOffset>
            </wp:positionH>
            <wp:positionV relativeFrom="paragraph">
              <wp:posOffset>410083</wp:posOffset>
            </wp:positionV>
            <wp:extent cx="2679065" cy="1721993"/>
            <wp:effectExtent l="0" t="0" r="0" b="0"/>
            <wp:wrapSquare wrapText="bothSides"/>
            <wp:docPr id="20"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A47D5A" w:rsidRPr="00363E3A">
        <w:t xml:space="preserve">We also considered joint deviations in project costs and benefits due to genetic </w:t>
      </w:r>
      <w:r w:rsidR="00A47D5A" w:rsidRPr="00363E3A">
        <w:lastRenderedPageBreak/>
        <w:t>improvement impacts, AI delivery effectiveness, RBP operations, and milk collection and bulking. The analysis considered pre-defined lower and upper limit for project costs and the benefits. In summary, project costs were allowed to increase up to 30% above the base level and the four</w:t>
      </w:r>
      <w:r w:rsidR="00A47D5A" w:rsidRPr="00D57C9F">
        <w:rPr>
          <w:sz w:val="22"/>
          <w:szCs w:val="22"/>
        </w:rPr>
        <w:t xml:space="preserve"> benefit</w:t>
      </w:r>
      <w:r w:rsidR="00A47D5A">
        <w:rPr>
          <w:sz w:val="22"/>
          <w:szCs w:val="22"/>
        </w:rPr>
        <w:t xml:space="preserve">s </w:t>
      </w:r>
      <w:r w:rsidR="00A47D5A" w:rsidRPr="00363E3A">
        <w:t>were allowed to decrease up to 50% below their base levels. This risk analysis estimates the effects of uncertainty on returns to investments and determined confidence limits for realizing expected benefits. The joint variations simulated above caused the ERR to vary from 11.8% to 20.4% with a coefficient of variation of 8%. The expected ERR was estimated at 16.2% and is reasonably stable because the risk model predicted 0.84 probability of ERR exceeding 15% (see table 3 and fig. 4).</w:t>
      </w:r>
    </w:p>
    <w:p w:rsidR="00A47D5A" w:rsidRPr="00F16213" w:rsidRDefault="00A47D5A" w:rsidP="00A47D5A">
      <w:pPr>
        <w:pStyle w:val="Header"/>
        <w:tabs>
          <w:tab w:val="left" w:pos="720"/>
        </w:tabs>
        <w:ind w:left="360"/>
        <w:rPr>
          <w:sz w:val="18"/>
          <w:szCs w:val="18"/>
        </w:rPr>
      </w:pPr>
    </w:p>
    <w:p w:rsidR="00A47D5A" w:rsidRPr="00363E3A" w:rsidRDefault="00A47D5A" w:rsidP="00AC2F9F">
      <w:pPr>
        <w:pStyle w:val="ListParagraph"/>
        <w:numPr>
          <w:ilvl w:val="0"/>
          <w:numId w:val="18"/>
        </w:numPr>
        <w:autoSpaceDE w:val="0"/>
        <w:autoSpaceDN w:val="0"/>
        <w:adjustRightInd w:val="0"/>
        <w:spacing w:after="120"/>
        <w:ind w:left="0" w:firstLine="0"/>
        <w:jc w:val="both"/>
        <w:rPr>
          <w:noProof/>
          <w:color w:val="000000"/>
        </w:rPr>
      </w:pPr>
      <w:r w:rsidRPr="00363E3A">
        <w:rPr>
          <w:b/>
          <w:noProof/>
          <w:color w:val="000000"/>
        </w:rPr>
        <w:t xml:space="preserve">Impact of Convergence of project interventions: </w:t>
      </w:r>
      <w:r w:rsidRPr="00363E3A">
        <w:rPr>
          <w:noProof/>
          <w:color w:val="000000"/>
        </w:rPr>
        <w:t>At full development, the project will annualy improve breeds in about 3.51 million lactating bovines, the AI services will benefit 1.56 million lactating bovines with reduced inter calving period, the RBP will cover 2.7 million bovines, and milk collection and bulking will benefit 1.3 million producers. The average dairy herd size is two livestock per rural household</w:t>
      </w:r>
      <w:r w:rsidRPr="00363E3A">
        <w:rPr>
          <w:rStyle w:val="FootnoteReference"/>
          <w:noProof/>
          <w:color w:val="000000"/>
        </w:rPr>
        <w:footnoteReference w:id="14"/>
      </w:r>
      <w:r w:rsidRPr="00363E3A">
        <w:rPr>
          <w:noProof/>
          <w:color w:val="000000"/>
        </w:rPr>
        <w:t xml:space="preserve">. This means about 1.75 million households will benefit from at least one of the project interventions. About 39% of these beneficiary households will be in zone 1 where all project interventions converge. The annual financial benefits in zone1 are estimated at Rs 10 billion. This is equivalent to an average incremental financial income of Rs 14,585 per household. In zone 2, annual financial benefits projected are estimated at Rs 3.4 billion, which is equivalent to Rs 3,250 per household. Notice that breed improvement benefits accrue only in zone1, which explains the higher incremental benefits there. </w:t>
      </w:r>
    </w:p>
    <w:p w:rsidR="00A47D5A" w:rsidRPr="00363E3A" w:rsidRDefault="009D13F8" w:rsidP="00A47D5A">
      <w:pPr>
        <w:pStyle w:val="Default"/>
        <w:rPr>
          <w:rFonts w:ascii="Times New Roman" w:hAnsi="Times New Roman" w:cs="Times New Roman"/>
        </w:rPr>
      </w:pPr>
      <w:r w:rsidRPr="009D13F8">
        <w:rPr>
          <w:noProof/>
        </w:rPr>
        <w:pict>
          <v:shape id="_x0000_s1043" type="#_x0000_t202" style="position:absolute;margin-left:218.75pt;margin-top:2.65pt;width:253.7pt;height:127.95pt;z-index:251665408" stroked="f">
            <v:textbox style="mso-next-textbox:#_x0000_s1043" inset="0,0,0,0">
              <w:txbxContent>
                <w:p w:rsidR="00740372" w:rsidRPr="00940442" w:rsidRDefault="00740372" w:rsidP="00A47D5A">
                  <w:pPr>
                    <w:pStyle w:val="Header"/>
                    <w:tabs>
                      <w:tab w:val="left" w:pos="5232"/>
                    </w:tabs>
                    <w:jc w:val="center"/>
                    <w:rPr>
                      <w:bCs/>
                      <w:sz w:val="20"/>
                    </w:rPr>
                  </w:pPr>
                  <w:r w:rsidRPr="00940442">
                    <w:rPr>
                      <w:bCs/>
                      <w:sz w:val="20"/>
                    </w:rPr>
                    <w:t>T-</w:t>
                  </w:r>
                  <w:r>
                    <w:rPr>
                      <w:bCs/>
                      <w:sz w:val="20"/>
                    </w:rPr>
                    <w:t>4</w:t>
                  </w:r>
                  <w:r w:rsidRPr="00940442">
                    <w:rPr>
                      <w:bCs/>
                      <w:sz w:val="20"/>
                    </w:rPr>
                    <w:t xml:space="preserve">  </w:t>
                  </w:r>
                  <w:r w:rsidRPr="002352D5">
                    <w:rPr>
                      <w:color w:val="000000"/>
                      <w:sz w:val="20"/>
                    </w:rPr>
                    <w:t>NDSP: Annual Growth in Milk Productivity during 20-year Project Life</w:t>
                  </w:r>
                  <w:r w:rsidRPr="00940442">
                    <w:rPr>
                      <w:bCs/>
                      <w:sz w:val="20"/>
                    </w:rPr>
                    <w:t xml:space="preserve"> </w:t>
                  </w:r>
                </w:p>
                <w:tbl>
                  <w:tblPr>
                    <w:tblW w:w="4595" w:type="dxa"/>
                    <w:tblInd w:w="103" w:type="dxa"/>
                    <w:tblBorders>
                      <w:top w:val="single" w:sz="4" w:space="0" w:color="auto"/>
                      <w:bottom w:val="single" w:sz="4" w:space="0" w:color="auto"/>
                    </w:tblBorders>
                    <w:tblLook w:val="04A0"/>
                  </w:tblPr>
                  <w:tblGrid>
                    <w:gridCol w:w="2345"/>
                    <w:gridCol w:w="900"/>
                    <w:gridCol w:w="1350"/>
                  </w:tblGrid>
                  <w:tr w:rsidR="00740372" w:rsidRPr="002352D5" w:rsidTr="00A47D5A">
                    <w:trPr>
                      <w:trHeight w:val="300"/>
                    </w:trPr>
                    <w:tc>
                      <w:tcPr>
                        <w:tcW w:w="2345" w:type="dxa"/>
                        <w:tcBorders>
                          <w:top w:val="single" w:sz="4" w:space="0" w:color="auto"/>
                          <w:bottom w:val="single" w:sz="4" w:space="0" w:color="auto"/>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Sources of growth</w:t>
                        </w:r>
                      </w:p>
                    </w:tc>
                    <w:tc>
                      <w:tcPr>
                        <w:tcW w:w="900" w:type="dxa"/>
                        <w:tcBorders>
                          <w:top w:val="single" w:sz="4" w:space="0" w:color="auto"/>
                          <w:left w:val="single" w:sz="4" w:space="0" w:color="auto"/>
                          <w:bottom w:val="single" w:sz="4" w:space="0" w:color="auto"/>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WOP</w:t>
                        </w:r>
                      </w:p>
                    </w:tc>
                    <w:tc>
                      <w:tcPr>
                        <w:tcW w:w="1350" w:type="dxa"/>
                        <w:tcBorders>
                          <w:top w:val="single" w:sz="4" w:space="0" w:color="auto"/>
                          <w:left w:val="single" w:sz="4" w:space="0" w:color="auto"/>
                          <w:bottom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WP (Incremental)</w:t>
                        </w:r>
                      </w:p>
                    </w:tc>
                  </w:tr>
                  <w:tr w:rsidR="00740372" w:rsidRPr="002352D5" w:rsidTr="00A47D5A">
                    <w:trPr>
                      <w:trHeight w:val="300"/>
                    </w:trPr>
                    <w:tc>
                      <w:tcPr>
                        <w:tcW w:w="2345" w:type="dxa"/>
                        <w:tcBorders>
                          <w:top w:val="single" w:sz="4" w:space="0" w:color="auto"/>
                          <w:bottom w:val="nil"/>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Annual Growth due to:</w:t>
                        </w:r>
                      </w:p>
                    </w:tc>
                    <w:tc>
                      <w:tcPr>
                        <w:tcW w:w="900" w:type="dxa"/>
                        <w:tcBorders>
                          <w:top w:val="single" w:sz="4" w:space="0" w:color="auto"/>
                          <w:left w:val="single" w:sz="4" w:space="0" w:color="auto"/>
                          <w:bottom w:val="nil"/>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 </w:t>
                        </w:r>
                      </w:p>
                    </w:tc>
                    <w:tc>
                      <w:tcPr>
                        <w:tcW w:w="1350" w:type="dxa"/>
                        <w:tcBorders>
                          <w:top w:val="single" w:sz="4" w:space="0" w:color="auto"/>
                          <w:left w:val="single" w:sz="4" w:space="0" w:color="auto"/>
                          <w:bottom w:val="nil"/>
                        </w:tcBorders>
                        <w:shd w:val="clear" w:color="auto" w:fill="auto"/>
                        <w:noWrap/>
                        <w:hideMark/>
                      </w:tcPr>
                      <w:p w:rsidR="00740372" w:rsidRPr="002352D5" w:rsidRDefault="00740372" w:rsidP="00A47D5A">
                        <w:pPr>
                          <w:rPr>
                            <w:color w:val="000000"/>
                            <w:sz w:val="20"/>
                          </w:rPr>
                        </w:pPr>
                        <w:r w:rsidRPr="002352D5">
                          <w:rPr>
                            <w:color w:val="000000"/>
                            <w:sz w:val="20"/>
                          </w:rPr>
                          <w:t> </w:t>
                        </w:r>
                      </w:p>
                    </w:tc>
                  </w:tr>
                  <w:tr w:rsidR="00740372" w:rsidRPr="002352D5" w:rsidTr="00A47D5A">
                    <w:trPr>
                      <w:trHeight w:val="300"/>
                    </w:trPr>
                    <w:tc>
                      <w:tcPr>
                        <w:tcW w:w="2345" w:type="dxa"/>
                        <w:tcBorders>
                          <w:top w:val="nil"/>
                          <w:bottom w:val="single" w:sz="4" w:space="0" w:color="auto"/>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 xml:space="preserve">     Genetic Improvement</w:t>
                        </w:r>
                      </w:p>
                    </w:tc>
                    <w:tc>
                      <w:tcPr>
                        <w:tcW w:w="900" w:type="dxa"/>
                        <w:tcBorders>
                          <w:top w:val="nil"/>
                          <w:left w:val="single" w:sz="4" w:space="0" w:color="auto"/>
                          <w:bottom w:val="single" w:sz="4" w:space="0" w:color="auto"/>
                          <w:right w:val="single" w:sz="4" w:space="0" w:color="auto"/>
                        </w:tcBorders>
                        <w:shd w:val="clear" w:color="auto" w:fill="auto"/>
                        <w:noWrap/>
                        <w:hideMark/>
                      </w:tcPr>
                      <w:p w:rsidR="00740372" w:rsidRPr="002352D5" w:rsidRDefault="00740372" w:rsidP="00A47D5A">
                        <w:pPr>
                          <w:jc w:val="right"/>
                          <w:rPr>
                            <w:color w:val="000000"/>
                            <w:sz w:val="20"/>
                          </w:rPr>
                        </w:pPr>
                        <w:r w:rsidRPr="002352D5">
                          <w:rPr>
                            <w:color w:val="000000"/>
                            <w:sz w:val="20"/>
                          </w:rPr>
                          <w:t>0.20%</w:t>
                        </w:r>
                      </w:p>
                    </w:tc>
                    <w:tc>
                      <w:tcPr>
                        <w:tcW w:w="1350" w:type="dxa"/>
                        <w:tcBorders>
                          <w:top w:val="nil"/>
                          <w:left w:val="single" w:sz="4" w:space="0" w:color="auto"/>
                          <w:bottom w:val="single" w:sz="4" w:space="0" w:color="auto"/>
                        </w:tcBorders>
                        <w:shd w:val="clear" w:color="auto" w:fill="auto"/>
                        <w:noWrap/>
                        <w:hideMark/>
                      </w:tcPr>
                      <w:p w:rsidR="00740372" w:rsidRPr="002352D5" w:rsidRDefault="00740372" w:rsidP="00A47D5A">
                        <w:pPr>
                          <w:jc w:val="right"/>
                          <w:rPr>
                            <w:color w:val="000000"/>
                            <w:sz w:val="20"/>
                          </w:rPr>
                        </w:pPr>
                        <w:r w:rsidRPr="002352D5">
                          <w:rPr>
                            <w:color w:val="000000"/>
                            <w:sz w:val="20"/>
                          </w:rPr>
                          <w:t>1.30%</w:t>
                        </w:r>
                      </w:p>
                    </w:tc>
                  </w:tr>
                  <w:tr w:rsidR="00740372" w:rsidRPr="002352D5" w:rsidTr="00A47D5A">
                    <w:trPr>
                      <w:trHeight w:val="300"/>
                    </w:trPr>
                    <w:tc>
                      <w:tcPr>
                        <w:tcW w:w="2345" w:type="dxa"/>
                        <w:tcBorders>
                          <w:top w:val="single" w:sz="4" w:space="0" w:color="auto"/>
                          <w:bottom w:val="nil"/>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 xml:space="preserve">     AI Service by MAITs</w:t>
                        </w:r>
                      </w:p>
                    </w:tc>
                    <w:tc>
                      <w:tcPr>
                        <w:tcW w:w="900" w:type="dxa"/>
                        <w:vMerge w:val="restart"/>
                        <w:tcBorders>
                          <w:top w:val="single" w:sz="4" w:space="0" w:color="auto"/>
                          <w:left w:val="single" w:sz="4" w:space="0" w:color="auto"/>
                          <w:bottom w:val="nil"/>
                          <w:right w:val="single" w:sz="4" w:space="0" w:color="auto"/>
                        </w:tcBorders>
                        <w:shd w:val="clear" w:color="auto" w:fill="auto"/>
                        <w:noWrap/>
                        <w:vAlign w:val="center"/>
                        <w:hideMark/>
                      </w:tcPr>
                      <w:p w:rsidR="00740372" w:rsidRPr="002352D5" w:rsidRDefault="00740372" w:rsidP="00A47D5A">
                        <w:pPr>
                          <w:jc w:val="right"/>
                          <w:rPr>
                            <w:color w:val="000000"/>
                            <w:sz w:val="20"/>
                          </w:rPr>
                        </w:pPr>
                        <w:r w:rsidRPr="002352D5">
                          <w:rPr>
                            <w:color w:val="000000"/>
                            <w:sz w:val="20"/>
                          </w:rPr>
                          <w:t>2.00%</w:t>
                        </w:r>
                      </w:p>
                    </w:tc>
                    <w:tc>
                      <w:tcPr>
                        <w:tcW w:w="1350" w:type="dxa"/>
                        <w:tcBorders>
                          <w:top w:val="single" w:sz="4" w:space="0" w:color="auto"/>
                          <w:left w:val="single" w:sz="4" w:space="0" w:color="auto"/>
                          <w:bottom w:val="nil"/>
                        </w:tcBorders>
                        <w:shd w:val="clear" w:color="auto" w:fill="auto"/>
                        <w:noWrap/>
                        <w:hideMark/>
                      </w:tcPr>
                      <w:p w:rsidR="00740372" w:rsidRPr="002352D5" w:rsidRDefault="00740372" w:rsidP="00A47D5A">
                        <w:pPr>
                          <w:jc w:val="right"/>
                          <w:rPr>
                            <w:color w:val="000000"/>
                            <w:sz w:val="20"/>
                          </w:rPr>
                        </w:pPr>
                        <w:r w:rsidRPr="002352D5">
                          <w:rPr>
                            <w:color w:val="000000"/>
                            <w:sz w:val="20"/>
                          </w:rPr>
                          <w:t>0.26%</w:t>
                        </w:r>
                      </w:p>
                    </w:tc>
                  </w:tr>
                  <w:tr w:rsidR="00740372" w:rsidRPr="002352D5" w:rsidTr="00A47D5A">
                    <w:trPr>
                      <w:trHeight w:val="300"/>
                    </w:trPr>
                    <w:tc>
                      <w:tcPr>
                        <w:tcW w:w="2345" w:type="dxa"/>
                        <w:tcBorders>
                          <w:top w:val="nil"/>
                          <w:bottom w:val="single" w:sz="4" w:space="0" w:color="auto"/>
                          <w:right w:val="single" w:sz="4" w:space="0" w:color="auto"/>
                        </w:tcBorders>
                        <w:shd w:val="clear" w:color="auto" w:fill="auto"/>
                        <w:noWrap/>
                        <w:hideMark/>
                      </w:tcPr>
                      <w:p w:rsidR="00740372" w:rsidRPr="002352D5" w:rsidRDefault="00740372" w:rsidP="00A47D5A">
                        <w:pPr>
                          <w:rPr>
                            <w:color w:val="000000"/>
                            <w:sz w:val="20"/>
                          </w:rPr>
                        </w:pPr>
                        <w:r w:rsidRPr="002352D5">
                          <w:rPr>
                            <w:color w:val="000000"/>
                            <w:sz w:val="20"/>
                          </w:rPr>
                          <w:t xml:space="preserve">     Nutrition Management</w:t>
                        </w:r>
                      </w:p>
                    </w:tc>
                    <w:tc>
                      <w:tcPr>
                        <w:tcW w:w="900" w:type="dxa"/>
                        <w:vMerge/>
                        <w:tcBorders>
                          <w:top w:val="nil"/>
                          <w:left w:val="single" w:sz="4" w:space="0" w:color="auto"/>
                          <w:bottom w:val="single" w:sz="4" w:space="0" w:color="auto"/>
                          <w:right w:val="single" w:sz="4" w:space="0" w:color="auto"/>
                        </w:tcBorders>
                        <w:vAlign w:val="center"/>
                        <w:hideMark/>
                      </w:tcPr>
                      <w:p w:rsidR="00740372" w:rsidRPr="002352D5" w:rsidRDefault="00740372" w:rsidP="00A47D5A">
                        <w:pPr>
                          <w:rPr>
                            <w:color w:val="000000"/>
                            <w:sz w:val="20"/>
                          </w:rPr>
                        </w:pPr>
                      </w:p>
                    </w:tc>
                    <w:tc>
                      <w:tcPr>
                        <w:tcW w:w="1350" w:type="dxa"/>
                        <w:tcBorders>
                          <w:top w:val="nil"/>
                          <w:left w:val="single" w:sz="4" w:space="0" w:color="auto"/>
                          <w:bottom w:val="single" w:sz="4" w:space="0" w:color="auto"/>
                        </w:tcBorders>
                        <w:shd w:val="clear" w:color="auto" w:fill="auto"/>
                        <w:noWrap/>
                        <w:hideMark/>
                      </w:tcPr>
                      <w:p w:rsidR="00740372" w:rsidRPr="002352D5" w:rsidRDefault="00740372" w:rsidP="00A47D5A">
                        <w:pPr>
                          <w:jc w:val="right"/>
                          <w:rPr>
                            <w:color w:val="000000"/>
                            <w:sz w:val="20"/>
                          </w:rPr>
                        </w:pPr>
                        <w:r w:rsidRPr="002352D5">
                          <w:rPr>
                            <w:color w:val="000000"/>
                            <w:sz w:val="20"/>
                          </w:rPr>
                          <w:t>0.55%</w:t>
                        </w:r>
                      </w:p>
                    </w:tc>
                  </w:tr>
                  <w:tr w:rsidR="00740372" w:rsidRPr="002352D5" w:rsidTr="00A47D5A">
                    <w:trPr>
                      <w:trHeight w:val="300"/>
                    </w:trPr>
                    <w:tc>
                      <w:tcPr>
                        <w:tcW w:w="2345" w:type="dxa"/>
                        <w:tcBorders>
                          <w:top w:val="single" w:sz="4" w:space="0" w:color="auto"/>
                          <w:right w:val="single" w:sz="4" w:space="0" w:color="auto"/>
                        </w:tcBorders>
                        <w:shd w:val="clear" w:color="auto" w:fill="auto"/>
                        <w:noWrap/>
                        <w:hideMark/>
                      </w:tcPr>
                      <w:p w:rsidR="00740372" w:rsidRPr="002352D5" w:rsidRDefault="00740372" w:rsidP="00A47D5A">
                        <w:pPr>
                          <w:rPr>
                            <w:rFonts w:ascii="Bookman Old Style" w:hAnsi="Bookman Old Style"/>
                            <w:color w:val="000000"/>
                            <w:sz w:val="20"/>
                          </w:rPr>
                        </w:pPr>
                        <w:r w:rsidRPr="002352D5">
                          <w:rPr>
                            <w:rFonts w:ascii="Bookman Old Style" w:hAnsi="Bookman Old Style"/>
                            <w:color w:val="000000"/>
                            <w:sz w:val="20"/>
                          </w:rPr>
                          <w:t>Total</w:t>
                        </w:r>
                      </w:p>
                    </w:tc>
                    <w:tc>
                      <w:tcPr>
                        <w:tcW w:w="900" w:type="dxa"/>
                        <w:tcBorders>
                          <w:top w:val="single" w:sz="4" w:space="0" w:color="auto"/>
                          <w:left w:val="single" w:sz="4" w:space="0" w:color="auto"/>
                          <w:bottom w:val="single" w:sz="4" w:space="0" w:color="auto"/>
                          <w:right w:val="single" w:sz="4" w:space="0" w:color="auto"/>
                        </w:tcBorders>
                        <w:shd w:val="clear" w:color="auto" w:fill="auto"/>
                        <w:noWrap/>
                        <w:hideMark/>
                      </w:tcPr>
                      <w:p w:rsidR="00740372" w:rsidRPr="002352D5" w:rsidRDefault="00740372" w:rsidP="00A47D5A">
                        <w:pPr>
                          <w:jc w:val="right"/>
                          <w:rPr>
                            <w:color w:val="000000"/>
                            <w:sz w:val="20"/>
                          </w:rPr>
                        </w:pPr>
                        <w:r w:rsidRPr="002352D5">
                          <w:rPr>
                            <w:color w:val="000000"/>
                            <w:sz w:val="20"/>
                          </w:rPr>
                          <w:t>2.20%</w:t>
                        </w:r>
                      </w:p>
                    </w:tc>
                    <w:tc>
                      <w:tcPr>
                        <w:tcW w:w="1350" w:type="dxa"/>
                        <w:tcBorders>
                          <w:top w:val="single" w:sz="4" w:space="0" w:color="auto"/>
                          <w:left w:val="single" w:sz="4" w:space="0" w:color="auto"/>
                        </w:tcBorders>
                        <w:shd w:val="clear" w:color="auto" w:fill="auto"/>
                        <w:noWrap/>
                        <w:hideMark/>
                      </w:tcPr>
                      <w:p w:rsidR="00740372" w:rsidRPr="002352D5" w:rsidRDefault="00740372" w:rsidP="00A47D5A">
                        <w:pPr>
                          <w:jc w:val="right"/>
                          <w:rPr>
                            <w:color w:val="000000"/>
                            <w:sz w:val="20"/>
                          </w:rPr>
                        </w:pPr>
                        <w:r w:rsidRPr="002352D5">
                          <w:rPr>
                            <w:color w:val="000000"/>
                            <w:sz w:val="20"/>
                          </w:rPr>
                          <w:t>2.11%</w:t>
                        </w:r>
                      </w:p>
                    </w:tc>
                  </w:tr>
                </w:tbl>
                <w:p w:rsidR="00740372" w:rsidRPr="00940442" w:rsidRDefault="00740372" w:rsidP="00A47D5A">
                  <w:pPr>
                    <w:rPr>
                      <w:sz w:val="20"/>
                    </w:rPr>
                  </w:pPr>
                </w:p>
              </w:txbxContent>
            </v:textbox>
            <w10:wrap type="square"/>
          </v:shape>
        </w:pict>
      </w:r>
    </w:p>
    <w:bookmarkEnd w:id="0"/>
    <w:bookmarkEnd w:id="1"/>
    <w:p w:rsidR="00A47D5A" w:rsidRPr="00363E3A" w:rsidRDefault="00A47D5A" w:rsidP="00A47D5A">
      <w:pPr>
        <w:pStyle w:val="Default"/>
        <w:widowControl/>
        <w:numPr>
          <w:ilvl w:val="0"/>
          <w:numId w:val="14"/>
        </w:numPr>
        <w:rPr>
          <w:rFonts w:ascii="Times New Roman" w:hAnsi="Times New Roman" w:cs="Times New Roman"/>
          <w:b/>
          <w:bCs/>
        </w:rPr>
      </w:pPr>
      <w:r w:rsidRPr="00363E3A">
        <w:rPr>
          <w:rFonts w:ascii="Times New Roman" w:hAnsi="Times New Roman" w:cs="Times New Roman"/>
          <w:b/>
          <w:bCs/>
        </w:rPr>
        <w:t>Accelerated Milk Productivity growth</w:t>
      </w:r>
    </w:p>
    <w:p w:rsidR="00A47D5A" w:rsidRPr="00363E3A" w:rsidRDefault="00A47D5A" w:rsidP="00A47D5A">
      <w:pPr>
        <w:pStyle w:val="Default"/>
        <w:rPr>
          <w:rFonts w:ascii="Times New Roman" w:hAnsi="Times New Roman" w:cs="Times New Roman"/>
        </w:rPr>
      </w:pPr>
    </w:p>
    <w:p w:rsidR="00A47D5A" w:rsidRPr="00363E3A" w:rsidRDefault="00A47D5A" w:rsidP="00AC2F9F">
      <w:pPr>
        <w:pStyle w:val="ListParagraph"/>
        <w:numPr>
          <w:ilvl w:val="0"/>
          <w:numId w:val="18"/>
        </w:numPr>
        <w:autoSpaceDE w:val="0"/>
        <w:autoSpaceDN w:val="0"/>
        <w:adjustRightInd w:val="0"/>
        <w:spacing w:after="120"/>
        <w:ind w:left="0" w:firstLine="0"/>
        <w:jc w:val="both"/>
      </w:pPr>
      <w:r w:rsidRPr="00363E3A">
        <w:t xml:space="preserve">The project will have significant impact on productivity growth of milk in the project area. Annual milk productivity growth </w:t>
      </w:r>
      <w:r w:rsidRPr="00363E3A">
        <w:rPr>
          <w:lang w:val="en-GB"/>
        </w:rPr>
        <w:t xml:space="preserve">in the last decade (2000-2010) </w:t>
      </w:r>
      <w:r w:rsidRPr="00363E3A">
        <w:t xml:space="preserve">is 2.2%, out of which genetic improvement contributed only 0.2%. The project will increase milk productivity through: (a) breed improvement – better genetics – will lead to incremental annual milk productivity growth of 1.3%; (b) quality delivery of AI service will further increase milk productivity growth by 0.26% annually; and (c) better nutrition through the ration balancing program will contribute another 0.55% growth in annual milk productivity. </w:t>
      </w:r>
    </w:p>
    <w:p w:rsidR="00A47D5A" w:rsidRPr="00E33886" w:rsidRDefault="00A47D5A" w:rsidP="00A47D5A">
      <w:pPr>
        <w:pStyle w:val="Default"/>
        <w:rPr>
          <w:rFonts w:ascii="Times New Roman" w:hAnsi="Times New Roman" w:cs="Times New Roman"/>
          <w:sz w:val="16"/>
          <w:szCs w:val="16"/>
        </w:rPr>
      </w:pPr>
    </w:p>
    <w:p w:rsidR="00A47D5A" w:rsidRPr="00363E3A" w:rsidRDefault="00A47D5A" w:rsidP="00A47D5A">
      <w:pPr>
        <w:pStyle w:val="ListParagraph"/>
        <w:numPr>
          <w:ilvl w:val="0"/>
          <w:numId w:val="18"/>
        </w:numPr>
        <w:autoSpaceDE w:val="0"/>
        <w:autoSpaceDN w:val="0"/>
        <w:adjustRightInd w:val="0"/>
        <w:ind w:left="0" w:firstLine="0"/>
      </w:pPr>
      <w:r w:rsidRPr="00363E3A">
        <w:rPr>
          <w:i/>
        </w:rPr>
        <w:t xml:space="preserve">Overall annual milk productivity growth will almost double to reach 4.3% with project compared to 2.2% without project. The composition of the projects incremental 2.1% in milk productivity growth comes from: breed improvement (62%); AI services (12%); and improved nutrition (26%).  </w:t>
      </w:r>
    </w:p>
    <w:p w:rsidR="00A47D5A" w:rsidRDefault="00A47D5A" w:rsidP="00A47D5A">
      <w:pPr>
        <w:rPr>
          <w:color w:val="000000"/>
          <w:sz w:val="16"/>
          <w:szCs w:val="16"/>
          <w:u w:val="single"/>
          <w:lang w:bidi="ta-IN"/>
        </w:rPr>
      </w:pPr>
    </w:p>
    <w:p w:rsidR="00A47D5A" w:rsidRDefault="00A47D5A" w:rsidP="00A47D5A">
      <w:pPr>
        <w:rPr>
          <w:color w:val="000000"/>
          <w:sz w:val="16"/>
          <w:szCs w:val="16"/>
          <w:u w:val="single"/>
          <w:lang w:bidi="ta-IN"/>
        </w:rPr>
      </w:pPr>
    </w:p>
    <w:p w:rsidR="00A47D5A" w:rsidRDefault="00A47D5A" w:rsidP="00A47D5A">
      <w:pPr>
        <w:rPr>
          <w:color w:val="000000"/>
          <w:sz w:val="16"/>
          <w:szCs w:val="16"/>
          <w:u w:val="single"/>
          <w:lang w:bidi="ta-IN"/>
        </w:rPr>
      </w:pPr>
    </w:p>
    <w:p w:rsidR="00A47D5A" w:rsidRDefault="00A47D5A" w:rsidP="00A47D5A">
      <w:pPr>
        <w:rPr>
          <w:color w:val="000000"/>
          <w:sz w:val="16"/>
          <w:szCs w:val="16"/>
          <w:u w:val="single"/>
          <w:lang w:bidi="ta-IN"/>
        </w:rPr>
      </w:pPr>
    </w:p>
    <w:p w:rsidR="00A47D5A" w:rsidRDefault="00A47D5A" w:rsidP="00A47D5A">
      <w:pPr>
        <w:rPr>
          <w:color w:val="000000"/>
          <w:sz w:val="16"/>
          <w:szCs w:val="16"/>
          <w:u w:val="single"/>
          <w:lang w:bidi="ta-IN"/>
        </w:rPr>
      </w:pPr>
    </w:p>
    <w:p w:rsidR="00A47D5A" w:rsidRPr="0004033D" w:rsidRDefault="00A47D5A" w:rsidP="00A47D5A">
      <w:pPr>
        <w:rPr>
          <w:b/>
          <w:color w:val="000000"/>
          <w:sz w:val="22"/>
          <w:szCs w:val="22"/>
          <w:lang w:bidi="ta-IN"/>
        </w:rPr>
      </w:pPr>
      <w:r>
        <w:rPr>
          <w:b/>
          <w:color w:val="000000"/>
          <w:sz w:val="22"/>
          <w:szCs w:val="22"/>
          <w:lang w:bidi="ta-IN"/>
        </w:rPr>
        <w:t xml:space="preserve">Data </w:t>
      </w:r>
      <w:r w:rsidRPr="0004033D">
        <w:rPr>
          <w:b/>
          <w:color w:val="000000"/>
          <w:sz w:val="22"/>
          <w:szCs w:val="22"/>
          <w:lang w:bidi="ta-IN"/>
        </w:rPr>
        <w:t>T</w:t>
      </w:r>
      <w:r>
        <w:rPr>
          <w:b/>
          <w:color w:val="000000"/>
          <w:sz w:val="22"/>
          <w:szCs w:val="22"/>
          <w:lang w:bidi="ta-IN"/>
        </w:rPr>
        <w:t>ables</w:t>
      </w:r>
    </w:p>
    <w:p w:rsidR="00A47D5A" w:rsidRPr="00E33886" w:rsidRDefault="00A47D5A" w:rsidP="00A47D5A">
      <w:pPr>
        <w:rPr>
          <w:color w:val="000000"/>
          <w:sz w:val="16"/>
          <w:szCs w:val="16"/>
          <w:u w:val="single"/>
          <w:lang w:bidi="ta-IN"/>
        </w:rPr>
      </w:pPr>
    </w:p>
    <w:p w:rsidR="00A47D5A" w:rsidRPr="0004033D" w:rsidRDefault="00A47D5A" w:rsidP="00A47D5A">
      <w:pPr>
        <w:rPr>
          <w:color w:val="000000"/>
          <w:sz w:val="20"/>
        </w:rPr>
      </w:pPr>
      <w:r w:rsidRPr="0004033D">
        <w:rPr>
          <w:color w:val="000000"/>
          <w:sz w:val="20"/>
        </w:rPr>
        <w:t>A-1 NDSP: Impacts on Milk Productivity (kg/day/animal) for Zone.1</w:t>
      </w:r>
    </w:p>
    <w:tbl>
      <w:tblPr>
        <w:tblW w:w="7380" w:type="dxa"/>
        <w:tblInd w:w="108" w:type="dxa"/>
        <w:tblLook w:val="04A0"/>
      </w:tblPr>
      <w:tblGrid>
        <w:gridCol w:w="2970"/>
        <w:gridCol w:w="1170"/>
        <w:gridCol w:w="810"/>
        <w:gridCol w:w="810"/>
        <w:gridCol w:w="810"/>
        <w:gridCol w:w="810"/>
      </w:tblGrid>
      <w:tr w:rsidR="00A47D5A" w:rsidRPr="005D60B8" w:rsidTr="00A47D5A">
        <w:trPr>
          <w:trHeight w:val="300"/>
        </w:trPr>
        <w:tc>
          <w:tcPr>
            <w:tcW w:w="2970" w:type="dxa"/>
            <w:vMerge w:val="restart"/>
            <w:tcBorders>
              <w:top w:val="single" w:sz="4" w:space="0" w:color="auto"/>
              <w:left w:val="nil"/>
              <w:right w:val="single" w:sz="4" w:space="0" w:color="auto"/>
            </w:tcBorders>
            <w:shd w:val="clear" w:color="auto" w:fill="auto"/>
            <w:noWrap/>
            <w:vAlign w:val="bottom"/>
            <w:hideMark/>
          </w:tcPr>
          <w:p w:rsidR="00A47D5A" w:rsidRPr="005D60B8" w:rsidRDefault="00A47D5A" w:rsidP="00A47D5A">
            <w:pPr>
              <w:rPr>
                <w:color w:val="000000"/>
                <w:sz w:val="20"/>
              </w:rPr>
            </w:pPr>
          </w:p>
        </w:tc>
        <w:tc>
          <w:tcPr>
            <w:tcW w:w="1170" w:type="dxa"/>
            <w:vMerge w:val="restart"/>
            <w:tcBorders>
              <w:top w:val="single" w:sz="4" w:space="0" w:color="auto"/>
              <w:left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With Out Project</w:t>
            </w:r>
          </w:p>
        </w:tc>
        <w:tc>
          <w:tcPr>
            <w:tcW w:w="3240" w:type="dxa"/>
            <w:gridSpan w:val="4"/>
            <w:tcBorders>
              <w:top w:val="single" w:sz="4" w:space="0" w:color="auto"/>
              <w:left w:val="single" w:sz="4" w:space="0" w:color="auto"/>
              <w:bottom w:val="single" w:sz="4" w:space="0" w:color="auto"/>
            </w:tcBorders>
            <w:shd w:val="clear" w:color="auto" w:fill="auto"/>
            <w:vAlign w:val="bottom"/>
            <w:hideMark/>
          </w:tcPr>
          <w:p w:rsidR="00A47D5A" w:rsidRPr="005D60B8" w:rsidRDefault="00A47D5A" w:rsidP="00A47D5A">
            <w:pPr>
              <w:ind w:right="-288"/>
              <w:rPr>
                <w:color w:val="000000"/>
                <w:sz w:val="20"/>
              </w:rPr>
            </w:pPr>
            <w:r w:rsidRPr="005D60B8">
              <w:rPr>
                <w:color w:val="000000"/>
                <w:sz w:val="20"/>
              </w:rPr>
              <w:t>With Project</w:t>
            </w:r>
          </w:p>
        </w:tc>
      </w:tr>
      <w:tr w:rsidR="00A47D5A" w:rsidRPr="005D60B8" w:rsidTr="00A47D5A">
        <w:trPr>
          <w:trHeight w:val="300"/>
        </w:trPr>
        <w:tc>
          <w:tcPr>
            <w:tcW w:w="2970" w:type="dxa"/>
            <w:vMerge/>
            <w:tcBorders>
              <w:left w:val="nil"/>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p>
        </w:tc>
        <w:tc>
          <w:tcPr>
            <w:tcW w:w="1170" w:type="dxa"/>
            <w:vMerge/>
            <w:tcBorders>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PY-6</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PY-7</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PY-8</w:t>
            </w:r>
          </w:p>
        </w:tc>
        <w:tc>
          <w:tcPr>
            <w:tcW w:w="810" w:type="dxa"/>
            <w:tcBorders>
              <w:top w:val="single" w:sz="4" w:space="0" w:color="auto"/>
              <w:left w:val="single" w:sz="4" w:space="0" w:color="auto"/>
              <w:bottom w:val="single" w:sz="4" w:space="0" w:color="auto"/>
              <w:right w:val="nil"/>
            </w:tcBorders>
            <w:shd w:val="clear" w:color="auto" w:fill="auto"/>
            <w:noWrap/>
            <w:vAlign w:val="bottom"/>
            <w:hideMark/>
          </w:tcPr>
          <w:p w:rsidR="00A47D5A" w:rsidRPr="005D60B8" w:rsidRDefault="00A47D5A" w:rsidP="00A47D5A">
            <w:pPr>
              <w:rPr>
                <w:color w:val="000000"/>
                <w:sz w:val="20"/>
              </w:rPr>
            </w:pPr>
            <w:r w:rsidRPr="005D60B8">
              <w:rPr>
                <w:color w:val="000000"/>
                <w:sz w:val="20"/>
              </w:rPr>
              <w:t>PY-20</w:t>
            </w:r>
          </w:p>
        </w:tc>
      </w:tr>
      <w:tr w:rsidR="00A47D5A" w:rsidRPr="005D60B8" w:rsidTr="00A47D5A">
        <w:trPr>
          <w:trHeight w:val="300"/>
        </w:trPr>
        <w:tc>
          <w:tcPr>
            <w:tcW w:w="2970" w:type="dxa"/>
            <w:tcBorders>
              <w:top w:val="single" w:sz="4" w:space="0" w:color="auto"/>
              <w:left w:val="nil"/>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Base Productivity Level</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3.99</w:t>
            </w:r>
            <w:r>
              <w:rPr>
                <w:rStyle w:val="FootnoteReference"/>
                <w:color w:val="000000"/>
                <w:sz w:val="20"/>
              </w:rPr>
              <w:footnoteReference w:id="15"/>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3.99</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4.00</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4.00</w:t>
            </w:r>
          </w:p>
        </w:tc>
        <w:tc>
          <w:tcPr>
            <w:tcW w:w="810" w:type="dxa"/>
            <w:tcBorders>
              <w:top w:val="single" w:sz="4" w:space="0" w:color="auto"/>
              <w:left w:val="single" w:sz="4" w:space="0" w:color="auto"/>
              <w:bottom w:val="single" w:sz="4" w:space="0" w:color="auto"/>
              <w:right w:val="nil"/>
            </w:tcBorders>
            <w:shd w:val="clear" w:color="auto" w:fill="auto"/>
            <w:noWrap/>
            <w:vAlign w:val="bottom"/>
            <w:hideMark/>
          </w:tcPr>
          <w:p w:rsidR="00A47D5A" w:rsidRPr="005D60B8" w:rsidRDefault="00A47D5A" w:rsidP="00A47D5A">
            <w:pPr>
              <w:rPr>
                <w:color w:val="000000"/>
                <w:sz w:val="20"/>
              </w:rPr>
            </w:pPr>
            <w:r w:rsidRPr="005D60B8">
              <w:rPr>
                <w:color w:val="000000"/>
                <w:sz w:val="20"/>
              </w:rPr>
              <w:t>4.10</w:t>
            </w:r>
          </w:p>
        </w:tc>
      </w:tr>
      <w:tr w:rsidR="00A47D5A" w:rsidRPr="005D60B8" w:rsidTr="00A47D5A">
        <w:trPr>
          <w:trHeight w:val="300"/>
        </w:trPr>
        <w:tc>
          <w:tcPr>
            <w:tcW w:w="2970" w:type="dxa"/>
            <w:tcBorders>
              <w:top w:val="single" w:sz="4" w:space="0" w:color="auto"/>
              <w:left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Incremental impacts through</w:t>
            </w:r>
          </w:p>
        </w:tc>
        <w:tc>
          <w:tcPr>
            <w:tcW w:w="1170" w:type="dxa"/>
            <w:tcBorders>
              <w:top w:val="single" w:sz="4" w:space="0" w:color="auto"/>
              <w:left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p>
        </w:tc>
        <w:tc>
          <w:tcPr>
            <w:tcW w:w="810" w:type="dxa"/>
            <w:tcBorders>
              <w:top w:val="single" w:sz="4" w:space="0" w:color="auto"/>
              <w:left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p>
        </w:tc>
        <w:tc>
          <w:tcPr>
            <w:tcW w:w="810" w:type="dxa"/>
            <w:tcBorders>
              <w:top w:val="single" w:sz="4" w:space="0" w:color="auto"/>
              <w:left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p>
        </w:tc>
        <w:tc>
          <w:tcPr>
            <w:tcW w:w="810" w:type="dxa"/>
            <w:tcBorders>
              <w:top w:val="single" w:sz="4" w:space="0" w:color="auto"/>
              <w:left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p>
        </w:tc>
        <w:tc>
          <w:tcPr>
            <w:tcW w:w="810" w:type="dxa"/>
            <w:tcBorders>
              <w:top w:val="single" w:sz="4" w:space="0" w:color="auto"/>
              <w:left w:val="single" w:sz="4" w:space="0" w:color="auto"/>
              <w:right w:val="nil"/>
            </w:tcBorders>
            <w:shd w:val="clear" w:color="auto" w:fill="auto"/>
            <w:noWrap/>
            <w:vAlign w:val="bottom"/>
            <w:hideMark/>
          </w:tcPr>
          <w:p w:rsidR="00A47D5A" w:rsidRPr="005D60B8" w:rsidRDefault="00A47D5A" w:rsidP="00A47D5A">
            <w:pPr>
              <w:rPr>
                <w:color w:val="000000"/>
                <w:sz w:val="20"/>
              </w:rPr>
            </w:pPr>
          </w:p>
        </w:tc>
      </w:tr>
      <w:tr w:rsidR="00A47D5A" w:rsidRPr="005D60B8" w:rsidTr="00A47D5A">
        <w:trPr>
          <w:trHeight w:val="300"/>
        </w:trPr>
        <w:tc>
          <w:tcPr>
            <w:tcW w:w="2970" w:type="dxa"/>
            <w:tcBorders>
              <w:left w:val="nil"/>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 xml:space="preserve">     Genetic Improvement</w:t>
            </w:r>
          </w:p>
        </w:tc>
        <w:tc>
          <w:tcPr>
            <w:tcW w:w="1170" w:type="dxa"/>
            <w:tcBorders>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0.00</w:t>
            </w:r>
          </w:p>
        </w:tc>
        <w:tc>
          <w:tcPr>
            <w:tcW w:w="810" w:type="dxa"/>
            <w:tcBorders>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0.00</w:t>
            </w:r>
          </w:p>
        </w:tc>
        <w:tc>
          <w:tcPr>
            <w:tcW w:w="810" w:type="dxa"/>
            <w:tcBorders>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4.49</w:t>
            </w:r>
          </w:p>
        </w:tc>
        <w:tc>
          <w:tcPr>
            <w:tcW w:w="810" w:type="dxa"/>
            <w:tcBorders>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4.63</w:t>
            </w:r>
          </w:p>
        </w:tc>
        <w:tc>
          <w:tcPr>
            <w:tcW w:w="810" w:type="dxa"/>
            <w:tcBorders>
              <w:left w:val="single" w:sz="4" w:space="0" w:color="auto"/>
              <w:bottom w:val="nil"/>
              <w:right w:val="nil"/>
            </w:tcBorders>
            <w:shd w:val="clear" w:color="auto" w:fill="auto"/>
            <w:noWrap/>
            <w:vAlign w:val="bottom"/>
            <w:hideMark/>
          </w:tcPr>
          <w:p w:rsidR="00A47D5A" w:rsidRPr="005D60B8" w:rsidRDefault="00A47D5A" w:rsidP="00A47D5A">
            <w:pPr>
              <w:rPr>
                <w:color w:val="000000"/>
                <w:sz w:val="20"/>
              </w:rPr>
            </w:pPr>
            <w:r w:rsidRPr="005D60B8">
              <w:rPr>
                <w:color w:val="000000"/>
                <w:sz w:val="20"/>
              </w:rPr>
              <w:t>5.17</w:t>
            </w:r>
          </w:p>
        </w:tc>
      </w:tr>
      <w:tr w:rsidR="00A47D5A" w:rsidRPr="005D60B8" w:rsidTr="00A47D5A">
        <w:trPr>
          <w:trHeight w:val="300"/>
        </w:trPr>
        <w:tc>
          <w:tcPr>
            <w:tcW w:w="2970" w:type="dxa"/>
            <w:tcBorders>
              <w:top w:val="nil"/>
              <w:left w:val="nil"/>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 xml:space="preserve">     AI Service by MAITs</w:t>
            </w:r>
          </w:p>
        </w:tc>
        <w:tc>
          <w:tcPr>
            <w:tcW w:w="117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0.00</w:t>
            </w:r>
          </w:p>
        </w:tc>
        <w:tc>
          <w:tcPr>
            <w:tcW w:w="81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0.00</w:t>
            </w:r>
          </w:p>
        </w:tc>
        <w:tc>
          <w:tcPr>
            <w:tcW w:w="81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0.21</w:t>
            </w:r>
          </w:p>
        </w:tc>
        <w:tc>
          <w:tcPr>
            <w:tcW w:w="81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0.21</w:t>
            </w:r>
          </w:p>
        </w:tc>
        <w:tc>
          <w:tcPr>
            <w:tcW w:w="810" w:type="dxa"/>
            <w:tcBorders>
              <w:top w:val="nil"/>
              <w:left w:val="single" w:sz="4" w:space="0" w:color="auto"/>
              <w:bottom w:val="nil"/>
              <w:right w:val="nil"/>
            </w:tcBorders>
            <w:shd w:val="clear" w:color="auto" w:fill="auto"/>
            <w:noWrap/>
            <w:vAlign w:val="bottom"/>
            <w:hideMark/>
          </w:tcPr>
          <w:p w:rsidR="00A47D5A" w:rsidRPr="005D60B8" w:rsidRDefault="00A47D5A" w:rsidP="00A47D5A">
            <w:pPr>
              <w:rPr>
                <w:color w:val="000000"/>
                <w:sz w:val="20"/>
              </w:rPr>
            </w:pPr>
            <w:r w:rsidRPr="005D60B8">
              <w:rPr>
                <w:color w:val="000000"/>
                <w:sz w:val="20"/>
              </w:rPr>
              <w:t>0.21</w:t>
            </w:r>
          </w:p>
        </w:tc>
      </w:tr>
      <w:tr w:rsidR="00A47D5A" w:rsidRPr="005D60B8" w:rsidTr="00A47D5A">
        <w:trPr>
          <w:trHeight w:val="300"/>
        </w:trPr>
        <w:tc>
          <w:tcPr>
            <w:tcW w:w="2970" w:type="dxa"/>
            <w:tcBorders>
              <w:top w:val="nil"/>
              <w:left w:val="nil"/>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 xml:space="preserve">     Nutrition Management</w:t>
            </w:r>
          </w:p>
        </w:tc>
        <w:tc>
          <w:tcPr>
            <w:tcW w:w="117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0.00</w:t>
            </w:r>
          </w:p>
        </w:tc>
        <w:tc>
          <w:tcPr>
            <w:tcW w:w="81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0.41</w:t>
            </w:r>
          </w:p>
        </w:tc>
        <w:tc>
          <w:tcPr>
            <w:tcW w:w="81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0.45</w:t>
            </w:r>
          </w:p>
        </w:tc>
        <w:tc>
          <w:tcPr>
            <w:tcW w:w="810" w:type="dxa"/>
            <w:tcBorders>
              <w:top w:val="nil"/>
              <w:left w:val="single" w:sz="4" w:space="0" w:color="auto"/>
              <w:bottom w:val="nil"/>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0.45</w:t>
            </w:r>
          </w:p>
        </w:tc>
        <w:tc>
          <w:tcPr>
            <w:tcW w:w="810" w:type="dxa"/>
            <w:tcBorders>
              <w:top w:val="nil"/>
              <w:left w:val="single" w:sz="4" w:space="0" w:color="auto"/>
              <w:bottom w:val="nil"/>
              <w:right w:val="nil"/>
            </w:tcBorders>
            <w:shd w:val="clear" w:color="auto" w:fill="auto"/>
            <w:noWrap/>
            <w:vAlign w:val="bottom"/>
            <w:hideMark/>
          </w:tcPr>
          <w:p w:rsidR="00A47D5A" w:rsidRPr="005D60B8" w:rsidRDefault="00A47D5A" w:rsidP="00A47D5A">
            <w:pPr>
              <w:rPr>
                <w:color w:val="000000"/>
                <w:sz w:val="20"/>
              </w:rPr>
            </w:pPr>
            <w:r w:rsidRPr="005D60B8">
              <w:rPr>
                <w:color w:val="000000"/>
                <w:sz w:val="20"/>
              </w:rPr>
              <w:t>0.45</w:t>
            </w:r>
          </w:p>
        </w:tc>
      </w:tr>
      <w:tr w:rsidR="00A47D5A" w:rsidRPr="005D60B8" w:rsidTr="00A47D5A">
        <w:trPr>
          <w:trHeight w:val="300"/>
        </w:trPr>
        <w:tc>
          <w:tcPr>
            <w:tcW w:w="2970" w:type="dxa"/>
            <w:tcBorders>
              <w:top w:val="nil"/>
              <w:left w:val="nil"/>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Total</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3.99</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4.62</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5.16</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rsidR="00A47D5A" w:rsidRPr="005D60B8" w:rsidRDefault="00A47D5A" w:rsidP="00A47D5A">
            <w:pPr>
              <w:rPr>
                <w:color w:val="000000"/>
                <w:sz w:val="20"/>
              </w:rPr>
            </w:pPr>
            <w:r w:rsidRPr="005D60B8">
              <w:rPr>
                <w:color w:val="000000"/>
                <w:sz w:val="20"/>
              </w:rPr>
              <w:t>5.30</w:t>
            </w:r>
          </w:p>
        </w:tc>
        <w:tc>
          <w:tcPr>
            <w:tcW w:w="810" w:type="dxa"/>
            <w:tcBorders>
              <w:top w:val="nil"/>
              <w:left w:val="single" w:sz="4" w:space="0" w:color="auto"/>
              <w:bottom w:val="single" w:sz="4" w:space="0" w:color="auto"/>
              <w:right w:val="nil"/>
            </w:tcBorders>
            <w:shd w:val="clear" w:color="auto" w:fill="auto"/>
            <w:noWrap/>
            <w:vAlign w:val="bottom"/>
            <w:hideMark/>
          </w:tcPr>
          <w:p w:rsidR="00A47D5A" w:rsidRPr="005D60B8" w:rsidRDefault="00A47D5A" w:rsidP="00A47D5A">
            <w:pPr>
              <w:rPr>
                <w:color w:val="000000"/>
                <w:sz w:val="20"/>
              </w:rPr>
            </w:pPr>
            <w:r w:rsidRPr="005D60B8">
              <w:rPr>
                <w:color w:val="000000"/>
                <w:sz w:val="20"/>
              </w:rPr>
              <w:t>5.84</w:t>
            </w:r>
          </w:p>
        </w:tc>
      </w:tr>
    </w:tbl>
    <w:p w:rsidR="00A47D5A" w:rsidRPr="005D60B8" w:rsidRDefault="00A47D5A" w:rsidP="00A47D5A">
      <w:pPr>
        <w:pStyle w:val="Header"/>
        <w:rPr>
          <w:color w:val="000000"/>
          <w:sz w:val="20"/>
        </w:rPr>
      </w:pPr>
    </w:p>
    <w:p w:rsidR="00A47D5A" w:rsidRPr="0004033D" w:rsidRDefault="00A47D5A" w:rsidP="00A47D5A">
      <w:pPr>
        <w:pStyle w:val="Header"/>
        <w:rPr>
          <w:color w:val="000000"/>
          <w:sz w:val="20"/>
          <w:u w:val="single"/>
          <w:lang w:bidi="ta-IN"/>
        </w:rPr>
      </w:pPr>
      <w:r w:rsidRPr="0004033D">
        <w:rPr>
          <w:color w:val="000000"/>
          <w:sz w:val="20"/>
        </w:rPr>
        <w:t>A-2 NDSP: Incremental Milk Production by Sources (Million tonnes)</w:t>
      </w:r>
    </w:p>
    <w:tbl>
      <w:tblPr>
        <w:tblW w:w="8568" w:type="dxa"/>
        <w:tblInd w:w="108" w:type="dxa"/>
        <w:tblBorders>
          <w:top w:val="single" w:sz="4" w:space="0" w:color="auto"/>
          <w:bottom w:val="single" w:sz="4" w:space="0" w:color="auto"/>
        </w:tblBorders>
        <w:tblLook w:val="04A0"/>
      </w:tblPr>
      <w:tblGrid>
        <w:gridCol w:w="1556"/>
        <w:gridCol w:w="1776"/>
        <w:gridCol w:w="1536"/>
        <w:gridCol w:w="2144"/>
        <w:gridCol w:w="1556"/>
      </w:tblGrid>
      <w:tr w:rsidR="00A47D5A" w:rsidRPr="005D60B8" w:rsidTr="00A47D5A">
        <w:trPr>
          <w:trHeight w:val="300"/>
        </w:trPr>
        <w:tc>
          <w:tcPr>
            <w:tcW w:w="1556" w:type="dxa"/>
            <w:tcBorders>
              <w:top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Sources</w:t>
            </w:r>
          </w:p>
        </w:tc>
        <w:tc>
          <w:tcPr>
            <w:tcW w:w="1776" w:type="dxa"/>
            <w:tcBorders>
              <w:top w:val="single" w:sz="4" w:space="0" w:color="auto"/>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Pure Genetics</w:t>
            </w:r>
          </w:p>
        </w:tc>
        <w:tc>
          <w:tcPr>
            <w:tcW w:w="1536" w:type="dxa"/>
            <w:tcBorders>
              <w:top w:val="single" w:sz="4" w:space="0" w:color="auto"/>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AI by MAITs</w:t>
            </w:r>
          </w:p>
        </w:tc>
        <w:tc>
          <w:tcPr>
            <w:tcW w:w="2144" w:type="dxa"/>
            <w:tcBorders>
              <w:top w:val="single" w:sz="4" w:space="0" w:color="auto"/>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Nutrition Management</w:t>
            </w:r>
          </w:p>
        </w:tc>
        <w:tc>
          <w:tcPr>
            <w:tcW w:w="1556" w:type="dxa"/>
            <w:tcBorders>
              <w:top w:val="single" w:sz="4" w:space="0" w:color="auto"/>
              <w:left w:val="single" w:sz="4" w:space="0" w:color="auto"/>
              <w:bottom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Total</w:t>
            </w:r>
          </w:p>
        </w:tc>
      </w:tr>
      <w:tr w:rsidR="00A47D5A" w:rsidRPr="005D60B8" w:rsidTr="00A47D5A">
        <w:trPr>
          <w:trHeight w:val="300"/>
        </w:trPr>
        <w:tc>
          <w:tcPr>
            <w:tcW w:w="1556" w:type="dxa"/>
            <w:tcBorders>
              <w:top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w:t>
            </w:r>
          </w:p>
        </w:tc>
        <w:tc>
          <w:tcPr>
            <w:tcW w:w="1776" w:type="dxa"/>
            <w:tcBorders>
              <w:top w:val="single" w:sz="4" w:space="0" w:color="auto"/>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36" w:type="dxa"/>
            <w:tcBorders>
              <w:top w:val="single" w:sz="4" w:space="0" w:color="auto"/>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2144" w:type="dxa"/>
            <w:tcBorders>
              <w:top w:val="single" w:sz="4" w:space="0" w:color="auto"/>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56" w:type="dxa"/>
            <w:tcBorders>
              <w:top w:val="single" w:sz="4" w:space="0" w:color="auto"/>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0.00</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PY-2</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0.01</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0.01</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0.02</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PY-3</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0.03</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0.04</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0.07</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PY-4</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0.05</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0.17</w:t>
            </w:r>
          </w:p>
        </w:tc>
      </w:tr>
      <w:tr w:rsidR="00A47D5A" w:rsidRPr="005D60B8" w:rsidTr="00A47D5A">
        <w:trPr>
          <w:trHeight w:val="300"/>
        </w:trPr>
        <w:tc>
          <w:tcPr>
            <w:tcW w:w="1556" w:type="dxa"/>
            <w:tcBorders>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PY-5</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0.07</w:t>
            </w:r>
          </w:p>
        </w:tc>
        <w:tc>
          <w:tcPr>
            <w:tcW w:w="2144" w:type="dxa"/>
            <w:tcBorders>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0.23</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0.30</w:t>
            </w:r>
          </w:p>
        </w:tc>
      </w:tr>
      <w:tr w:rsidR="00A47D5A" w:rsidRPr="005D60B8" w:rsidTr="00A47D5A">
        <w:trPr>
          <w:trHeight w:val="300"/>
        </w:trPr>
        <w:tc>
          <w:tcPr>
            <w:tcW w:w="1556" w:type="dxa"/>
            <w:tcBorders>
              <w:top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PY-6</w:t>
            </w:r>
          </w:p>
        </w:tc>
        <w:tc>
          <w:tcPr>
            <w:tcW w:w="1776"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536"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0.10</w:t>
            </w:r>
          </w:p>
        </w:tc>
        <w:tc>
          <w:tcPr>
            <w:tcW w:w="2144"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0.33</w:t>
            </w:r>
          </w:p>
        </w:tc>
        <w:tc>
          <w:tcPr>
            <w:tcW w:w="1556" w:type="dxa"/>
            <w:tcBorders>
              <w:top w:val="nil"/>
              <w:left w:val="single" w:sz="4" w:space="0" w:color="auto"/>
              <w:bottom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0.43</w:t>
            </w:r>
          </w:p>
        </w:tc>
      </w:tr>
      <w:tr w:rsidR="00A47D5A" w:rsidRPr="005D60B8" w:rsidTr="00A47D5A">
        <w:trPr>
          <w:trHeight w:val="300"/>
        </w:trPr>
        <w:tc>
          <w:tcPr>
            <w:tcW w:w="1556" w:type="dxa"/>
            <w:tcBorders>
              <w:top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PY-7</w:t>
            </w:r>
          </w:p>
        </w:tc>
        <w:tc>
          <w:tcPr>
            <w:tcW w:w="1776" w:type="dxa"/>
            <w:tcBorders>
              <w:top w:val="single" w:sz="4" w:space="0" w:color="auto"/>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0.02</w:t>
            </w:r>
          </w:p>
        </w:tc>
        <w:tc>
          <w:tcPr>
            <w:tcW w:w="1536" w:type="dxa"/>
            <w:tcBorders>
              <w:top w:val="single" w:sz="4" w:space="0" w:color="auto"/>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top w:val="single" w:sz="4" w:space="0" w:color="auto"/>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0.40</w:t>
            </w:r>
          </w:p>
        </w:tc>
        <w:tc>
          <w:tcPr>
            <w:tcW w:w="1556" w:type="dxa"/>
            <w:tcBorders>
              <w:top w:val="single" w:sz="4" w:space="0" w:color="auto"/>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0.55</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PY-8</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0.08</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0.45</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0.66</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PY-9</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0.20</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0.78</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PY-10</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0.38</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0.96</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PY-11</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0.63</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1.21</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PY-12</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0.92</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1.50</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PY-13</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1.19</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1.78</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PY-14</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1.43</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2.01</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PY-15</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1.61</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2.19</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PY-16</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1.73</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2.32</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PY-17</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1.80</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2.39</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PY-18</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1.86</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2.45</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PY-19</w:t>
            </w:r>
          </w:p>
        </w:tc>
        <w:tc>
          <w:tcPr>
            <w:tcW w:w="177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1.93</w:t>
            </w:r>
          </w:p>
        </w:tc>
        <w:tc>
          <w:tcPr>
            <w:tcW w:w="1536" w:type="dxa"/>
            <w:tcBorders>
              <w:top w:val="nil"/>
              <w:left w:val="single" w:sz="4" w:space="0" w:color="auto"/>
              <w:bottom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nil"/>
            </w:tcBorders>
            <w:shd w:val="clear" w:color="auto" w:fill="auto"/>
            <w:noWrap/>
            <w:hideMark/>
          </w:tcPr>
          <w:p w:rsidR="00A47D5A" w:rsidRPr="005D60B8" w:rsidRDefault="00A47D5A" w:rsidP="00A47D5A">
            <w:pPr>
              <w:rPr>
                <w:color w:val="000000"/>
                <w:sz w:val="20"/>
              </w:rPr>
            </w:pPr>
            <w:r w:rsidRPr="005D60B8">
              <w:rPr>
                <w:color w:val="000000"/>
                <w:sz w:val="20"/>
              </w:rPr>
              <w:t>2.51</w:t>
            </w:r>
          </w:p>
        </w:tc>
      </w:tr>
      <w:tr w:rsidR="00A47D5A" w:rsidRPr="005D60B8" w:rsidTr="00A47D5A">
        <w:trPr>
          <w:trHeight w:val="300"/>
        </w:trPr>
        <w:tc>
          <w:tcPr>
            <w:tcW w:w="1556" w:type="dxa"/>
            <w:tcBorders>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PY-20</w:t>
            </w:r>
          </w:p>
        </w:tc>
        <w:tc>
          <w:tcPr>
            <w:tcW w:w="1776"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1.99</w:t>
            </w:r>
          </w:p>
        </w:tc>
        <w:tc>
          <w:tcPr>
            <w:tcW w:w="1536"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2144" w:type="dxa"/>
            <w:tcBorders>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0.46</w:t>
            </w:r>
          </w:p>
        </w:tc>
        <w:tc>
          <w:tcPr>
            <w:tcW w:w="1556" w:type="dxa"/>
            <w:tcBorders>
              <w:top w:val="nil"/>
              <w:left w:val="single" w:sz="4" w:space="0" w:color="auto"/>
              <w:bottom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2.57</w:t>
            </w:r>
          </w:p>
        </w:tc>
      </w:tr>
    </w:tbl>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Default="00A47D5A" w:rsidP="00A47D5A">
      <w:pPr>
        <w:pStyle w:val="Header"/>
        <w:rPr>
          <w:color w:val="000000"/>
          <w:sz w:val="20"/>
          <w:u w:val="single"/>
          <w:lang w:bidi="ta-IN"/>
        </w:rPr>
      </w:pPr>
    </w:p>
    <w:p w:rsidR="00A47D5A" w:rsidRPr="005D60B8" w:rsidRDefault="00A47D5A" w:rsidP="00A47D5A">
      <w:pPr>
        <w:pStyle w:val="Header"/>
        <w:rPr>
          <w:color w:val="000000"/>
          <w:sz w:val="20"/>
          <w:u w:val="single"/>
          <w:lang w:bidi="ta-IN"/>
        </w:rPr>
      </w:pPr>
    </w:p>
    <w:p w:rsidR="00A47D5A" w:rsidRPr="0004033D" w:rsidRDefault="00A47D5A" w:rsidP="00A47D5A">
      <w:pPr>
        <w:pStyle w:val="Header"/>
        <w:rPr>
          <w:color w:val="000000"/>
          <w:sz w:val="20"/>
          <w:lang w:bidi="ta-IN"/>
        </w:rPr>
      </w:pPr>
      <w:r w:rsidRPr="0004033D">
        <w:rPr>
          <w:color w:val="000000"/>
          <w:sz w:val="20"/>
          <w:lang w:bidi="ta-IN"/>
        </w:rPr>
        <w:t>A-3 NDSP: Benefits from reduced inter calving period due to quality AI service in Zone.1</w:t>
      </w:r>
    </w:p>
    <w:tbl>
      <w:tblPr>
        <w:tblW w:w="7655" w:type="dxa"/>
        <w:tblInd w:w="103" w:type="dxa"/>
        <w:tblLook w:val="04A0"/>
      </w:tblPr>
      <w:tblGrid>
        <w:gridCol w:w="1715"/>
        <w:gridCol w:w="1980"/>
        <w:gridCol w:w="2160"/>
        <w:gridCol w:w="1800"/>
      </w:tblGrid>
      <w:tr w:rsidR="00A47D5A" w:rsidRPr="005D60B8" w:rsidTr="00A47D5A">
        <w:trPr>
          <w:trHeight w:val="300"/>
        </w:trPr>
        <w:tc>
          <w:tcPr>
            <w:tcW w:w="1715" w:type="dxa"/>
            <w:vMerge w:val="restart"/>
            <w:tcBorders>
              <w:top w:val="single" w:sz="4" w:space="0" w:color="auto"/>
              <w:left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With Project</w:t>
            </w:r>
          </w:p>
        </w:tc>
        <w:tc>
          <w:tcPr>
            <w:tcW w:w="1980" w:type="dxa"/>
            <w:vMerge w:val="restart"/>
            <w:tcBorders>
              <w:top w:val="single" w:sz="4" w:space="0" w:color="auto"/>
              <w:left w:val="nil"/>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Animals Calved, Million</w:t>
            </w:r>
          </w:p>
        </w:tc>
        <w:tc>
          <w:tcPr>
            <w:tcW w:w="3960" w:type="dxa"/>
            <w:gridSpan w:val="2"/>
            <w:tcBorders>
              <w:top w:val="single" w:sz="4" w:space="0" w:color="auto"/>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Benefits due to Reduced Inter calving period</w:t>
            </w:r>
          </w:p>
        </w:tc>
      </w:tr>
      <w:tr w:rsidR="00A47D5A" w:rsidRPr="005D60B8" w:rsidTr="00A47D5A">
        <w:trPr>
          <w:trHeight w:val="300"/>
        </w:trPr>
        <w:tc>
          <w:tcPr>
            <w:tcW w:w="1715" w:type="dxa"/>
            <w:vMerge/>
            <w:tcBorders>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p>
        </w:tc>
        <w:tc>
          <w:tcPr>
            <w:tcW w:w="1980" w:type="dxa"/>
            <w:vMerge/>
            <w:tcBorders>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Million tonnes</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Rs Million</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PY-1</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0.00</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PY-2</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0.15</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0.01</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35.8</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PY-3</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0.35</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0.03</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82.9</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PY-4</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0.64</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0.05</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153.9</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PY-5</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0.94</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0.07</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224.6</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PY-6</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1.28</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0.10</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306.6</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PY-7</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1.55</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371.0</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PY-8</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1.56</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372.8</w:t>
            </w:r>
          </w:p>
        </w:tc>
      </w:tr>
      <w:tr w:rsidR="00A47D5A" w:rsidRPr="005D60B8" w:rsidTr="00A47D5A">
        <w:trPr>
          <w:trHeight w:val="300"/>
        </w:trPr>
        <w:tc>
          <w:tcPr>
            <w:tcW w:w="1715" w:type="dxa"/>
            <w:tcBorders>
              <w:top w:val="nil"/>
              <w:left w:val="single" w:sz="4" w:space="0" w:color="auto"/>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PY-20</w:t>
            </w:r>
          </w:p>
        </w:tc>
        <w:tc>
          <w:tcPr>
            <w:tcW w:w="198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1.56</w:t>
            </w:r>
          </w:p>
        </w:tc>
        <w:tc>
          <w:tcPr>
            <w:tcW w:w="216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0.12</w:t>
            </w:r>
          </w:p>
        </w:tc>
        <w:tc>
          <w:tcPr>
            <w:tcW w:w="1800" w:type="dxa"/>
            <w:tcBorders>
              <w:top w:val="nil"/>
              <w:left w:val="nil"/>
              <w:bottom w:val="single" w:sz="4" w:space="0" w:color="auto"/>
              <w:right w:val="single" w:sz="4" w:space="0" w:color="auto"/>
            </w:tcBorders>
            <w:shd w:val="clear" w:color="auto" w:fill="auto"/>
            <w:noWrap/>
            <w:hideMark/>
          </w:tcPr>
          <w:p w:rsidR="00A47D5A" w:rsidRPr="005D60B8" w:rsidRDefault="00A47D5A" w:rsidP="00A47D5A">
            <w:pPr>
              <w:rPr>
                <w:color w:val="000000"/>
                <w:sz w:val="20"/>
              </w:rPr>
            </w:pPr>
            <w:r w:rsidRPr="005D60B8">
              <w:rPr>
                <w:color w:val="000000"/>
                <w:sz w:val="20"/>
              </w:rPr>
              <w:t>372.8</w:t>
            </w:r>
          </w:p>
        </w:tc>
      </w:tr>
    </w:tbl>
    <w:p w:rsidR="00A47D5A" w:rsidRPr="005D60B8" w:rsidRDefault="00A47D5A" w:rsidP="00A47D5A">
      <w:pPr>
        <w:pStyle w:val="Header"/>
        <w:rPr>
          <w:color w:val="000000"/>
          <w:sz w:val="18"/>
          <w:szCs w:val="18"/>
          <w:lang w:bidi="ta-IN"/>
        </w:rPr>
      </w:pPr>
      <w:r w:rsidRPr="005D60B8">
        <w:rPr>
          <w:color w:val="000000"/>
          <w:sz w:val="18"/>
          <w:szCs w:val="18"/>
          <w:lang w:bidi="ta-IN"/>
        </w:rPr>
        <w:t xml:space="preserve">Note: Inter calving period comes down by 14 days across lactating bovines. Average lactation yield for the bovines benefited by this intervention is 78 kg per animal. </w:t>
      </w:r>
    </w:p>
    <w:p w:rsidR="00A47D5A" w:rsidRDefault="00A47D5A" w:rsidP="00A47D5A">
      <w:pPr>
        <w:pStyle w:val="Header"/>
        <w:rPr>
          <w:color w:val="000000"/>
          <w:sz w:val="20"/>
          <w:lang w:bidi="ta-IN"/>
        </w:rPr>
      </w:pPr>
    </w:p>
    <w:p w:rsidR="00042C4B" w:rsidRDefault="00042C4B" w:rsidP="00A47D5A">
      <w:pPr>
        <w:pStyle w:val="Header"/>
        <w:rPr>
          <w:color w:val="000000"/>
          <w:sz w:val="20"/>
          <w:lang w:bidi="ta-IN"/>
        </w:rPr>
      </w:pPr>
    </w:p>
    <w:p w:rsidR="00042C4B" w:rsidRPr="005D60B8" w:rsidRDefault="00042C4B" w:rsidP="00A47D5A">
      <w:pPr>
        <w:pStyle w:val="Header"/>
        <w:rPr>
          <w:color w:val="000000"/>
          <w:sz w:val="20"/>
          <w:lang w:bidi="ta-IN"/>
        </w:rPr>
      </w:pPr>
    </w:p>
    <w:p w:rsidR="00A47D5A" w:rsidRPr="0004033D" w:rsidRDefault="00A47D5A" w:rsidP="00A47D5A">
      <w:pPr>
        <w:pStyle w:val="Header"/>
        <w:rPr>
          <w:color w:val="000000"/>
          <w:sz w:val="20"/>
          <w:lang w:bidi="ta-IN"/>
        </w:rPr>
      </w:pPr>
      <w:r w:rsidRPr="0004033D">
        <w:rPr>
          <w:color w:val="000000"/>
          <w:sz w:val="20"/>
          <w:lang w:bidi="ta-IN"/>
        </w:rPr>
        <w:t>A-</w:t>
      </w:r>
      <w:r>
        <w:rPr>
          <w:color w:val="000000"/>
          <w:sz w:val="20"/>
          <w:lang w:bidi="ta-IN"/>
        </w:rPr>
        <w:t>4 NDSP:</w:t>
      </w:r>
      <w:r w:rsidRPr="0004033D">
        <w:rPr>
          <w:color w:val="000000"/>
          <w:sz w:val="20"/>
          <w:lang w:bidi="ta-IN"/>
        </w:rPr>
        <w:t xml:space="preserve"> Incremental Benefits from Animal Nutrition management</w:t>
      </w:r>
    </w:p>
    <w:tbl>
      <w:tblPr>
        <w:tblW w:w="64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40"/>
        <w:gridCol w:w="1530"/>
        <w:gridCol w:w="1710"/>
      </w:tblGrid>
      <w:tr w:rsidR="00A47D5A" w:rsidRPr="005D60B8" w:rsidTr="00A47D5A">
        <w:trPr>
          <w:trHeight w:val="300"/>
        </w:trPr>
        <w:tc>
          <w:tcPr>
            <w:tcW w:w="3240" w:type="dxa"/>
            <w:vMerge w:val="restart"/>
            <w:shd w:val="clear" w:color="auto" w:fill="auto"/>
            <w:noWrap/>
            <w:vAlign w:val="bottom"/>
            <w:hideMark/>
          </w:tcPr>
          <w:p w:rsidR="00A47D5A" w:rsidRPr="005D60B8" w:rsidRDefault="00A47D5A" w:rsidP="00A47D5A">
            <w:pPr>
              <w:rPr>
                <w:color w:val="000000"/>
                <w:sz w:val="20"/>
              </w:rPr>
            </w:pPr>
            <w:r w:rsidRPr="005D60B8">
              <w:rPr>
                <w:color w:val="000000"/>
                <w:sz w:val="20"/>
              </w:rPr>
              <w:t>Source of Benefits</w:t>
            </w:r>
          </w:p>
        </w:tc>
        <w:tc>
          <w:tcPr>
            <w:tcW w:w="3240" w:type="dxa"/>
            <w:gridSpan w:val="2"/>
            <w:shd w:val="clear" w:color="auto" w:fill="auto"/>
            <w:noWrap/>
            <w:vAlign w:val="bottom"/>
            <w:hideMark/>
          </w:tcPr>
          <w:p w:rsidR="00A47D5A" w:rsidRPr="005D60B8" w:rsidRDefault="00A47D5A" w:rsidP="00A47D5A">
            <w:pPr>
              <w:rPr>
                <w:color w:val="000000"/>
                <w:sz w:val="20"/>
              </w:rPr>
            </w:pPr>
            <w:r w:rsidRPr="005D60B8">
              <w:rPr>
                <w:color w:val="000000"/>
                <w:sz w:val="20"/>
              </w:rPr>
              <w:t>Annual Financial Benefits (Rs M)</w:t>
            </w:r>
          </w:p>
        </w:tc>
      </w:tr>
      <w:tr w:rsidR="00A47D5A" w:rsidRPr="005D60B8" w:rsidTr="00A47D5A">
        <w:trPr>
          <w:trHeight w:val="300"/>
        </w:trPr>
        <w:tc>
          <w:tcPr>
            <w:tcW w:w="3240" w:type="dxa"/>
            <w:vMerge/>
            <w:shd w:val="clear" w:color="auto" w:fill="auto"/>
            <w:noWrap/>
            <w:vAlign w:val="bottom"/>
            <w:hideMark/>
          </w:tcPr>
          <w:p w:rsidR="00A47D5A" w:rsidRPr="005D60B8" w:rsidRDefault="00A47D5A" w:rsidP="00A47D5A">
            <w:pPr>
              <w:rPr>
                <w:color w:val="000000"/>
                <w:sz w:val="20"/>
              </w:rPr>
            </w:pPr>
          </w:p>
        </w:tc>
        <w:tc>
          <w:tcPr>
            <w:tcW w:w="1530" w:type="dxa"/>
            <w:shd w:val="clear" w:color="auto" w:fill="auto"/>
            <w:noWrap/>
            <w:vAlign w:val="bottom"/>
            <w:hideMark/>
          </w:tcPr>
          <w:p w:rsidR="00A47D5A" w:rsidRPr="005D60B8" w:rsidRDefault="00A47D5A" w:rsidP="00A47D5A">
            <w:pPr>
              <w:rPr>
                <w:color w:val="000000"/>
                <w:sz w:val="20"/>
              </w:rPr>
            </w:pPr>
            <w:r w:rsidRPr="005D60B8">
              <w:rPr>
                <w:color w:val="000000"/>
                <w:sz w:val="20"/>
              </w:rPr>
              <w:t>Due to RBP</w:t>
            </w:r>
          </w:p>
        </w:tc>
        <w:tc>
          <w:tcPr>
            <w:tcW w:w="1710" w:type="dxa"/>
            <w:shd w:val="clear" w:color="auto" w:fill="auto"/>
            <w:noWrap/>
            <w:vAlign w:val="bottom"/>
            <w:hideMark/>
          </w:tcPr>
          <w:p w:rsidR="00A47D5A" w:rsidRPr="005D60B8" w:rsidRDefault="00A47D5A" w:rsidP="00A47D5A">
            <w:pPr>
              <w:rPr>
                <w:color w:val="000000"/>
                <w:sz w:val="20"/>
              </w:rPr>
            </w:pPr>
            <w:r w:rsidRPr="005D60B8">
              <w:rPr>
                <w:color w:val="000000"/>
                <w:sz w:val="20"/>
              </w:rPr>
              <w:t>Share</w:t>
            </w:r>
          </w:p>
        </w:tc>
      </w:tr>
      <w:tr w:rsidR="00A47D5A" w:rsidRPr="005D60B8" w:rsidTr="00A47D5A">
        <w:trPr>
          <w:trHeight w:val="300"/>
        </w:trPr>
        <w:tc>
          <w:tcPr>
            <w:tcW w:w="3240" w:type="dxa"/>
            <w:shd w:val="clear" w:color="auto" w:fill="auto"/>
            <w:noWrap/>
            <w:vAlign w:val="bottom"/>
            <w:hideMark/>
          </w:tcPr>
          <w:p w:rsidR="00A47D5A" w:rsidRPr="005D60B8" w:rsidRDefault="00A47D5A" w:rsidP="00A47D5A">
            <w:pPr>
              <w:rPr>
                <w:color w:val="000000"/>
                <w:sz w:val="20"/>
              </w:rPr>
            </w:pPr>
            <w:r w:rsidRPr="005D60B8">
              <w:rPr>
                <w:color w:val="000000"/>
                <w:sz w:val="20"/>
              </w:rPr>
              <w:t>Reduced Production cost</w:t>
            </w:r>
          </w:p>
        </w:tc>
        <w:tc>
          <w:tcPr>
            <w:tcW w:w="1530" w:type="dxa"/>
            <w:shd w:val="clear" w:color="auto" w:fill="auto"/>
            <w:noWrap/>
            <w:vAlign w:val="bottom"/>
            <w:hideMark/>
          </w:tcPr>
          <w:p w:rsidR="00A47D5A" w:rsidRPr="005D60B8" w:rsidRDefault="00A47D5A" w:rsidP="00A47D5A">
            <w:pPr>
              <w:rPr>
                <w:color w:val="000000"/>
                <w:sz w:val="20"/>
              </w:rPr>
            </w:pPr>
            <w:r w:rsidRPr="005D60B8">
              <w:rPr>
                <w:color w:val="000000"/>
                <w:sz w:val="20"/>
              </w:rPr>
              <w:t>2691</w:t>
            </w:r>
          </w:p>
        </w:tc>
        <w:tc>
          <w:tcPr>
            <w:tcW w:w="1710" w:type="dxa"/>
            <w:shd w:val="clear" w:color="auto" w:fill="auto"/>
            <w:noWrap/>
            <w:vAlign w:val="bottom"/>
            <w:hideMark/>
          </w:tcPr>
          <w:p w:rsidR="00A47D5A" w:rsidRPr="005D60B8" w:rsidRDefault="00A47D5A" w:rsidP="00A47D5A">
            <w:pPr>
              <w:rPr>
                <w:color w:val="000000"/>
                <w:sz w:val="20"/>
              </w:rPr>
            </w:pPr>
            <w:r w:rsidRPr="005D60B8">
              <w:rPr>
                <w:color w:val="000000"/>
                <w:sz w:val="20"/>
              </w:rPr>
              <w:t>61%</w:t>
            </w:r>
          </w:p>
        </w:tc>
      </w:tr>
      <w:tr w:rsidR="00A47D5A" w:rsidRPr="005D60B8" w:rsidTr="00A47D5A">
        <w:trPr>
          <w:trHeight w:val="300"/>
        </w:trPr>
        <w:tc>
          <w:tcPr>
            <w:tcW w:w="3240" w:type="dxa"/>
            <w:shd w:val="clear" w:color="auto" w:fill="auto"/>
            <w:noWrap/>
            <w:vAlign w:val="bottom"/>
            <w:hideMark/>
          </w:tcPr>
          <w:p w:rsidR="00A47D5A" w:rsidRPr="005D60B8" w:rsidRDefault="00A47D5A" w:rsidP="00A47D5A">
            <w:pPr>
              <w:rPr>
                <w:color w:val="000000"/>
                <w:sz w:val="20"/>
              </w:rPr>
            </w:pPr>
            <w:r w:rsidRPr="005D60B8">
              <w:rPr>
                <w:color w:val="000000"/>
                <w:sz w:val="20"/>
              </w:rPr>
              <w:t>Increased Milk yield</w:t>
            </w:r>
          </w:p>
        </w:tc>
        <w:tc>
          <w:tcPr>
            <w:tcW w:w="1530" w:type="dxa"/>
            <w:shd w:val="clear" w:color="auto" w:fill="auto"/>
            <w:noWrap/>
            <w:vAlign w:val="bottom"/>
            <w:hideMark/>
          </w:tcPr>
          <w:p w:rsidR="00A47D5A" w:rsidRPr="005D60B8" w:rsidRDefault="00A47D5A" w:rsidP="00A47D5A">
            <w:pPr>
              <w:rPr>
                <w:color w:val="000000"/>
                <w:sz w:val="20"/>
              </w:rPr>
            </w:pPr>
            <w:r w:rsidRPr="005D60B8">
              <w:rPr>
                <w:color w:val="000000"/>
                <w:sz w:val="20"/>
              </w:rPr>
              <w:t>1417</w:t>
            </w:r>
          </w:p>
        </w:tc>
        <w:tc>
          <w:tcPr>
            <w:tcW w:w="1710" w:type="dxa"/>
            <w:shd w:val="clear" w:color="auto" w:fill="auto"/>
            <w:noWrap/>
            <w:vAlign w:val="bottom"/>
            <w:hideMark/>
          </w:tcPr>
          <w:p w:rsidR="00A47D5A" w:rsidRPr="005D60B8" w:rsidRDefault="00A47D5A" w:rsidP="00A47D5A">
            <w:pPr>
              <w:rPr>
                <w:color w:val="000000"/>
                <w:sz w:val="20"/>
              </w:rPr>
            </w:pPr>
            <w:r w:rsidRPr="005D60B8">
              <w:rPr>
                <w:color w:val="000000"/>
                <w:sz w:val="20"/>
              </w:rPr>
              <w:t>32%</w:t>
            </w:r>
          </w:p>
        </w:tc>
      </w:tr>
      <w:tr w:rsidR="00A47D5A" w:rsidRPr="005D60B8" w:rsidTr="00A47D5A">
        <w:trPr>
          <w:trHeight w:val="300"/>
        </w:trPr>
        <w:tc>
          <w:tcPr>
            <w:tcW w:w="3240" w:type="dxa"/>
            <w:shd w:val="clear" w:color="auto" w:fill="auto"/>
            <w:noWrap/>
            <w:vAlign w:val="bottom"/>
            <w:hideMark/>
          </w:tcPr>
          <w:p w:rsidR="00A47D5A" w:rsidRPr="005D60B8" w:rsidRDefault="00A47D5A" w:rsidP="00A47D5A">
            <w:pPr>
              <w:rPr>
                <w:color w:val="000000"/>
                <w:sz w:val="20"/>
              </w:rPr>
            </w:pPr>
            <w:r w:rsidRPr="005D60B8">
              <w:rPr>
                <w:color w:val="000000"/>
                <w:sz w:val="20"/>
              </w:rPr>
              <w:t>Reduced Methane emission</w:t>
            </w:r>
          </w:p>
        </w:tc>
        <w:tc>
          <w:tcPr>
            <w:tcW w:w="1530" w:type="dxa"/>
            <w:shd w:val="clear" w:color="auto" w:fill="auto"/>
            <w:noWrap/>
            <w:vAlign w:val="bottom"/>
            <w:hideMark/>
          </w:tcPr>
          <w:p w:rsidR="00A47D5A" w:rsidRPr="005D60B8" w:rsidRDefault="00A47D5A" w:rsidP="00A47D5A">
            <w:pPr>
              <w:rPr>
                <w:color w:val="000000"/>
                <w:sz w:val="20"/>
              </w:rPr>
            </w:pPr>
            <w:r w:rsidRPr="005D60B8">
              <w:rPr>
                <w:color w:val="000000"/>
                <w:sz w:val="20"/>
              </w:rPr>
              <w:t>331</w:t>
            </w:r>
          </w:p>
        </w:tc>
        <w:tc>
          <w:tcPr>
            <w:tcW w:w="1710" w:type="dxa"/>
            <w:shd w:val="clear" w:color="auto" w:fill="auto"/>
            <w:noWrap/>
            <w:vAlign w:val="bottom"/>
            <w:hideMark/>
          </w:tcPr>
          <w:p w:rsidR="00A47D5A" w:rsidRPr="005D60B8" w:rsidRDefault="00A47D5A" w:rsidP="00A47D5A">
            <w:pPr>
              <w:rPr>
                <w:color w:val="000000"/>
                <w:sz w:val="20"/>
              </w:rPr>
            </w:pPr>
            <w:r w:rsidRPr="005D60B8">
              <w:rPr>
                <w:color w:val="000000"/>
                <w:sz w:val="20"/>
              </w:rPr>
              <w:t>7%</w:t>
            </w:r>
          </w:p>
        </w:tc>
      </w:tr>
      <w:tr w:rsidR="00A47D5A" w:rsidRPr="005D60B8" w:rsidTr="00A47D5A">
        <w:trPr>
          <w:trHeight w:val="300"/>
        </w:trPr>
        <w:tc>
          <w:tcPr>
            <w:tcW w:w="3240" w:type="dxa"/>
            <w:shd w:val="clear" w:color="auto" w:fill="auto"/>
            <w:noWrap/>
            <w:vAlign w:val="bottom"/>
            <w:hideMark/>
          </w:tcPr>
          <w:p w:rsidR="00A47D5A" w:rsidRPr="005D60B8" w:rsidRDefault="00A47D5A" w:rsidP="00A47D5A">
            <w:pPr>
              <w:rPr>
                <w:color w:val="000000"/>
                <w:sz w:val="20"/>
              </w:rPr>
            </w:pPr>
            <w:r w:rsidRPr="005D60B8">
              <w:rPr>
                <w:color w:val="000000"/>
                <w:sz w:val="20"/>
              </w:rPr>
              <w:t>Total</w:t>
            </w:r>
          </w:p>
        </w:tc>
        <w:tc>
          <w:tcPr>
            <w:tcW w:w="1530" w:type="dxa"/>
            <w:shd w:val="clear" w:color="auto" w:fill="auto"/>
            <w:noWrap/>
            <w:vAlign w:val="bottom"/>
            <w:hideMark/>
          </w:tcPr>
          <w:p w:rsidR="00A47D5A" w:rsidRPr="005D60B8" w:rsidRDefault="00A47D5A" w:rsidP="00A47D5A">
            <w:pPr>
              <w:rPr>
                <w:color w:val="000000"/>
                <w:sz w:val="20"/>
              </w:rPr>
            </w:pPr>
            <w:r w:rsidRPr="005D60B8">
              <w:rPr>
                <w:color w:val="000000"/>
                <w:sz w:val="20"/>
              </w:rPr>
              <w:t>4439</w:t>
            </w:r>
          </w:p>
        </w:tc>
        <w:tc>
          <w:tcPr>
            <w:tcW w:w="1710" w:type="dxa"/>
            <w:shd w:val="clear" w:color="auto" w:fill="auto"/>
            <w:noWrap/>
            <w:vAlign w:val="bottom"/>
            <w:hideMark/>
          </w:tcPr>
          <w:p w:rsidR="00A47D5A" w:rsidRPr="005D60B8" w:rsidRDefault="00A47D5A" w:rsidP="00A47D5A">
            <w:pPr>
              <w:rPr>
                <w:color w:val="000000"/>
                <w:sz w:val="20"/>
              </w:rPr>
            </w:pPr>
            <w:r w:rsidRPr="005D60B8">
              <w:rPr>
                <w:color w:val="000000"/>
                <w:sz w:val="20"/>
              </w:rPr>
              <w:t>100%</w:t>
            </w:r>
          </w:p>
        </w:tc>
      </w:tr>
      <w:tr w:rsidR="00A47D5A" w:rsidRPr="005D60B8" w:rsidTr="00A47D5A">
        <w:trPr>
          <w:trHeight w:val="300"/>
        </w:trPr>
        <w:tc>
          <w:tcPr>
            <w:tcW w:w="3240" w:type="dxa"/>
            <w:shd w:val="clear" w:color="auto" w:fill="auto"/>
            <w:noWrap/>
            <w:vAlign w:val="bottom"/>
            <w:hideMark/>
          </w:tcPr>
          <w:p w:rsidR="00A47D5A" w:rsidRPr="005D60B8" w:rsidRDefault="00A47D5A" w:rsidP="00A47D5A">
            <w:pPr>
              <w:rPr>
                <w:color w:val="000000"/>
                <w:sz w:val="20"/>
              </w:rPr>
            </w:pPr>
          </w:p>
        </w:tc>
        <w:tc>
          <w:tcPr>
            <w:tcW w:w="1530" w:type="dxa"/>
            <w:shd w:val="clear" w:color="auto" w:fill="auto"/>
            <w:noWrap/>
            <w:vAlign w:val="bottom"/>
            <w:hideMark/>
          </w:tcPr>
          <w:p w:rsidR="00A47D5A" w:rsidRPr="005D60B8" w:rsidRDefault="00A47D5A" w:rsidP="00A47D5A">
            <w:pPr>
              <w:rPr>
                <w:color w:val="000000"/>
                <w:sz w:val="20"/>
              </w:rPr>
            </w:pPr>
          </w:p>
        </w:tc>
        <w:tc>
          <w:tcPr>
            <w:tcW w:w="1710" w:type="dxa"/>
            <w:shd w:val="clear" w:color="auto" w:fill="auto"/>
            <w:noWrap/>
            <w:vAlign w:val="bottom"/>
            <w:hideMark/>
          </w:tcPr>
          <w:p w:rsidR="00A47D5A" w:rsidRPr="005D60B8" w:rsidRDefault="00A47D5A" w:rsidP="00A47D5A">
            <w:pPr>
              <w:rPr>
                <w:color w:val="000000"/>
                <w:sz w:val="20"/>
              </w:rPr>
            </w:pPr>
          </w:p>
        </w:tc>
      </w:tr>
    </w:tbl>
    <w:p w:rsidR="00A47D5A" w:rsidRDefault="00A47D5A" w:rsidP="00AC2F9F">
      <w:pPr>
        <w:pStyle w:val="Header"/>
        <w:rPr>
          <w:color w:val="000000"/>
          <w:sz w:val="20"/>
          <w:lang w:bidi="ta-IN"/>
        </w:rPr>
      </w:pPr>
    </w:p>
    <w:p w:rsidR="00740372" w:rsidRDefault="00740372" w:rsidP="00AC2F9F">
      <w:pPr>
        <w:pStyle w:val="Header"/>
        <w:rPr>
          <w:color w:val="000000"/>
          <w:sz w:val="20"/>
          <w:lang w:bidi="ta-IN"/>
        </w:rPr>
      </w:pPr>
    </w:p>
    <w:p w:rsidR="00740372" w:rsidRDefault="00740372" w:rsidP="00AC2F9F">
      <w:pPr>
        <w:pStyle w:val="Header"/>
        <w:rPr>
          <w:color w:val="000000"/>
          <w:sz w:val="20"/>
          <w:lang w:bidi="ta-IN"/>
        </w:rPr>
      </w:pPr>
    </w:p>
    <w:p w:rsidR="00740372" w:rsidRDefault="00740372">
      <w:pPr>
        <w:pStyle w:val="Header"/>
        <w:tabs>
          <w:tab w:val="clear" w:pos="4320"/>
          <w:tab w:val="clear" w:pos="8640"/>
        </w:tabs>
        <w:rPr>
          <w:i/>
          <w:noProof/>
          <w:color w:val="000000"/>
          <w:sz w:val="24"/>
          <w:szCs w:val="24"/>
          <w:lang w:val="en-US" w:eastAsia="en-US"/>
        </w:rPr>
      </w:pPr>
    </w:p>
    <w:p w:rsidR="00740372" w:rsidRDefault="00740372">
      <w:pPr>
        <w:tabs>
          <w:tab w:val="clear" w:pos="1134"/>
        </w:tabs>
        <w:jc w:val="left"/>
        <w:rPr>
          <w:noProof/>
          <w:color w:val="000000"/>
          <w:sz w:val="24"/>
          <w:szCs w:val="24"/>
          <w:lang w:val="en-US" w:eastAsia="en-US"/>
        </w:rPr>
      </w:pPr>
    </w:p>
    <w:p w:rsidR="00376305" w:rsidRPr="003A5376" w:rsidRDefault="00376305" w:rsidP="00376305">
      <w:pPr>
        <w:rPr>
          <w:b/>
          <w:sz w:val="18"/>
        </w:rPr>
      </w:pPr>
    </w:p>
    <w:p w:rsidR="00740372" w:rsidRDefault="009D13F8">
      <w:pPr>
        <w:pStyle w:val="Header"/>
        <w:tabs>
          <w:tab w:val="clear" w:pos="4320"/>
          <w:tab w:val="clear" w:pos="8640"/>
        </w:tabs>
        <w:rPr>
          <w:color w:val="000000"/>
          <w:sz w:val="24"/>
          <w:szCs w:val="24"/>
          <w:u w:val="single"/>
          <w:lang w:val="en-US" w:eastAsia="en-US" w:bidi="ta-IN"/>
        </w:rPr>
      </w:pPr>
      <w:r>
        <w:rPr>
          <w:noProof/>
          <w:color w:val="000000"/>
          <w:sz w:val="24"/>
          <w:szCs w:val="24"/>
          <w:u w:val="single"/>
          <w:lang w:val="en-US" w:eastAsia="en-US"/>
        </w:rPr>
        <w:lastRenderedPageBreak/>
        <w:pict>
          <v:oval id="_x0000_s1051" style="position:absolute;left:0;text-align:left;margin-left:-23.05pt;margin-top:-21.95pt;width:487.05pt;height:441.95pt;z-index:-251644928" wrapcoords="9855 0 9235 39 7004 504 6632 776 5640 1202 4618 1861 3812 2482 3130 3102 2541 3723 1611 4964 930 6205 558 7174 279 8066 124 8687 -31 9927 -31 11789 31 12409 155 13030 496 14271 992 15512 1302 16132 2138 17373 3254 18614 3967 19234 4834 19855 5888 20475 7376 21096 7469 21173 9421 21561 9855 21561 11714 21561 12148 21561 14100 21173 14193 21096 15619 20514 16735 19855 17602 19234 18315 18614 19431 17373 20267 16132 20856 14891 21073 14271 21414 13030 21538 12409 21631 11168 21600 9927 21445 8687 21104 7446 20639 6205 19958 4964 19028 3723 18439 3102 17757 2482 16982 1861 16270 1435 15960 1202 14968 776 14565 504 12396 39 11714 0 9855 0" fillcolor="#ff9" strokeweight="1pt">
            <v:fill color2="fill lighten(67)" rotate="t" focusposition=".5,.5" focussize="" method="linear sigma" focus="100%" type="gradientRadial"/>
            <v:stroke dashstyle="dashDot"/>
            <v:textbox style="mso-next-textbox:#_x0000_s1051">
              <w:txbxContent>
                <w:p w:rsidR="00740372" w:rsidRPr="00F56893" w:rsidRDefault="00740372" w:rsidP="00740372">
                  <w:pPr>
                    <w:ind w:left="720"/>
                    <w:rPr>
                      <w:b/>
                      <w:sz w:val="16"/>
                    </w:rPr>
                  </w:pPr>
                  <w:r>
                    <w:rPr>
                      <w:b/>
                      <w:sz w:val="16"/>
                      <w:u w:val="words"/>
                    </w:rPr>
                    <w:tab/>
                  </w:r>
                  <w:r>
                    <w:rPr>
                      <w:b/>
                      <w:sz w:val="16"/>
                      <w:u w:val="words"/>
                    </w:rPr>
                    <w:tab/>
                  </w:r>
                  <w:r w:rsidRPr="00AA58B7">
                    <w:rPr>
                      <w:b/>
                      <w:sz w:val="16"/>
                      <w:u w:val="words"/>
                    </w:rPr>
                    <w:t>Zone.</w:t>
                  </w:r>
                  <w:r>
                    <w:rPr>
                      <w:b/>
                      <w:sz w:val="16"/>
                      <w:u w:val="words"/>
                    </w:rPr>
                    <w:t>3</w:t>
                  </w:r>
                  <w:r w:rsidRPr="00AA58B7">
                    <w:rPr>
                      <w:b/>
                      <w:sz w:val="16"/>
                      <w:u w:val="words"/>
                    </w:rPr>
                    <w:t xml:space="preserve"> </w:t>
                  </w:r>
                  <w:r>
                    <w:rPr>
                      <w:b/>
                      <w:sz w:val="16"/>
                      <w:u w:val="words"/>
                    </w:rPr>
                    <w:t xml:space="preserve">Project Interventions  within </w:t>
                  </w:r>
                  <w:r w:rsidRPr="00F56893">
                    <w:rPr>
                      <w:b/>
                      <w:sz w:val="16"/>
                    </w:rPr>
                    <w:t>14 States</w:t>
                  </w:r>
                </w:p>
                <w:p w:rsidR="00740372" w:rsidRDefault="00740372" w:rsidP="00740372">
                  <w:pPr>
                    <w:rPr>
                      <w:b/>
                      <w:sz w:val="16"/>
                      <w:u w:val="words"/>
                    </w:rPr>
                  </w:pPr>
                </w:p>
                <w:p w:rsidR="00740372" w:rsidRDefault="00740372" w:rsidP="00740372">
                  <w:pPr>
                    <w:pStyle w:val="ListParagraph"/>
                    <w:numPr>
                      <w:ilvl w:val="0"/>
                      <w:numId w:val="19"/>
                    </w:numPr>
                    <w:tabs>
                      <w:tab w:val="left" w:pos="1620"/>
                    </w:tabs>
                    <w:ind w:left="1620"/>
                    <w:contextualSpacing/>
                    <w:jc w:val="both"/>
                    <w:rPr>
                      <w:b/>
                      <w:sz w:val="16"/>
                    </w:rPr>
                  </w:pPr>
                  <w:r w:rsidRPr="001B3BB3">
                    <w:rPr>
                      <w:b/>
                      <w:sz w:val="16"/>
                    </w:rPr>
                    <w:t>HGM Semen Doses from Project (95% are used outside the Zone.1)</w:t>
                  </w:r>
                </w:p>
                <w:p w:rsidR="00740372" w:rsidRPr="001B3BB3" w:rsidRDefault="00740372" w:rsidP="00740372">
                  <w:pPr>
                    <w:pStyle w:val="ListParagraph"/>
                    <w:numPr>
                      <w:ilvl w:val="0"/>
                      <w:numId w:val="19"/>
                    </w:numPr>
                    <w:tabs>
                      <w:tab w:val="left" w:pos="1620"/>
                    </w:tabs>
                    <w:ind w:left="1620"/>
                    <w:contextualSpacing/>
                    <w:jc w:val="both"/>
                    <w:rPr>
                      <w:b/>
                      <w:sz w:val="16"/>
                    </w:rPr>
                  </w:pPr>
                  <w:r w:rsidRPr="001B3BB3">
                    <w:rPr>
                      <w:b/>
                      <w:sz w:val="16"/>
                    </w:rPr>
                    <w:t>Delivered by non-Project AI Centres</w:t>
                  </w:r>
                </w:p>
                <w:p w:rsidR="00740372" w:rsidRDefault="00740372"/>
              </w:txbxContent>
            </v:textbox>
            <w10:wrap type="tight"/>
          </v:oval>
        </w:pict>
      </w:r>
    </w:p>
    <w:p w:rsidR="00740372" w:rsidRDefault="00740372">
      <w:pPr>
        <w:pStyle w:val="Header"/>
        <w:tabs>
          <w:tab w:val="clear" w:pos="4320"/>
          <w:tab w:val="clear" w:pos="8640"/>
        </w:tabs>
        <w:rPr>
          <w:color w:val="000000"/>
          <w:sz w:val="24"/>
          <w:szCs w:val="24"/>
          <w:u w:val="single"/>
          <w:lang w:val="en-US" w:eastAsia="en-US" w:bidi="ta-IN"/>
        </w:rPr>
      </w:pPr>
    </w:p>
    <w:p w:rsidR="00740372" w:rsidRDefault="00740372">
      <w:pPr>
        <w:pStyle w:val="Header"/>
        <w:tabs>
          <w:tab w:val="clear" w:pos="4320"/>
          <w:tab w:val="clear" w:pos="8640"/>
        </w:tabs>
        <w:rPr>
          <w:color w:val="000000"/>
          <w:sz w:val="24"/>
          <w:szCs w:val="24"/>
          <w:u w:val="single"/>
          <w:lang w:val="en-US" w:eastAsia="en-US" w:bidi="ta-IN"/>
        </w:rPr>
      </w:pPr>
    </w:p>
    <w:p w:rsidR="00740372" w:rsidRDefault="00740372">
      <w:pPr>
        <w:pStyle w:val="Header"/>
        <w:tabs>
          <w:tab w:val="clear" w:pos="4320"/>
          <w:tab w:val="clear" w:pos="8640"/>
        </w:tabs>
        <w:rPr>
          <w:color w:val="000000"/>
          <w:sz w:val="24"/>
          <w:szCs w:val="24"/>
          <w:u w:val="single"/>
          <w:lang w:val="en-US" w:eastAsia="en-US" w:bidi="ta-IN"/>
        </w:rPr>
      </w:pPr>
    </w:p>
    <w:p w:rsidR="00740372" w:rsidRDefault="009D13F8">
      <w:pPr>
        <w:pStyle w:val="Header"/>
        <w:tabs>
          <w:tab w:val="clear" w:pos="4320"/>
          <w:tab w:val="clear" w:pos="8640"/>
        </w:tabs>
        <w:rPr>
          <w:color w:val="000000"/>
          <w:sz w:val="24"/>
          <w:szCs w:val="24"/>
          <w:u w:val="single"/>
          <w:lang w:val="en-US" w:eastAsia="en-US" w:bidi="ta-IN"/>
        </w:rPr>
      </w:pPr>
      <w:r>
        <w:rPr>
          <w:noProof/>
          <w:color w:val="000000"/>
          <w:sz w:val="24"/>
          <w:szCs w:val="24"/>
          <w:u w:val="single"/>
          <w:lang w:val="en-US" w:eastAsia="en-US"/>
        </w:rPr>
        <w:pict>
          <v:oval id="_x0000_s1056" style="position:absolute;left:0;text-align:left;margin-left:322.2pt;margin-top:108.15pt;width:64pt;height:31.05pt;z-index:251676672" fillcolor="#6f3" stroked="f">
            <v:textbox>
              <w:txbxContent>
                <w:p w:rsidR="00740372" w:rsidRPr="00DE1B17" w:rsidRDefault="00740372">
                  <w:pPr>
                    <w:rPr>
                      <w:b/>
                      <w:sz w:val="16"/>
                    </w:rPr>
                  </w:pPr>
                  <w:r w:rsidRPr="00DE1B17">
                    <w:rPr>
                      <w:b/>
                      <w:sz w:val="16"/>
                    </w:rPr>
                    <w:t>PT/IBD areas</w:t>
                  </w:r>
                </w:p>
              </w:txbxContent>
            </v:textbox>
          </v:oval>
        </w:pict>
      </w:r>
    </w:p>
    <w:p w:rsidR="00740372" w:rsidRDefault="009D13F8">
      <w:pPr>
        <w:tabs>
          <w:tab w:val="clear" w:pos="1134"/>
        </w:tabs>
        <w:jc w:val="left"/>
        <w:rPr>
          <w:color w:val="000000"/>
          <w:sz w:val="24"/>
          <w:szCs w:val="24"/>
          <w:u w:val="single"/>
          <w:lang w:val="en-US" w:eastAsia="en-US" w:bidi="ta-IN"/>
        </w:rPr>
      </w:pPr>
      <w:r>
        <w:rPr>
          <w:noProof/>
          <w:color w:val="000000"/>
          <w:sz w:val="24"/>
          <w:szCs w:val="24"/>
          <w:u w:val="single"/>
          <w:lang w:val="en-US" w:eastAsia="en-US"/>
        </w:rPr>
        <w:pict>
          <v:shape id="_x0000_s1054" type="#_x0000_t202" style="position:absolute;margin-left:-461pt;margin-top:363pt;width:482.85pt;height:234.35pt;z-index:251674624" stroked="f">
            <v:textbox>
              <w:txbxContent>
                <w:p w:rsidR="008A726E" w:rsidRDefault="00042C4B" w:rsidP="008A726E">
                  <w:pPr>
                    <w:jc w:val="center"/>
                    <w:rPr>
                      <w:b/>
                      <w:sz w:val="18"/>
                    </w:rPr>
                  </w:pPr>
                  <w:r>
                    <w:rPr>
                      <w:b/>
                      <w:sz w:val="18"/>
                    </w:rPr>
                    <w:t>Annex.5</w:t>
                  </w:r>
                  <w:r w:rsidR="008A726E" w:rsidRPr="003A5376">
                    <w:rPr>
                      <w:b/>
                      <w:sz w:val="18"/>
                    </w:rPr>
                    <w:t xml:space="preserve"> NDSP Impact Area Zones</w:t>
                  </w:r>
                  <w:r w:rsidR="008A726E">
                    <w:rPr>
                      <w:b/>
                      <w:sz w:val="18"/>
                    </w:rPr>
                    <w:t xml:space="preserve">      </w:t>
                  </w:r>
                </w:p>
                <w:p w:rsidR="00740372" w:rsidRPr="003A5376" w:rsidRDefault="00740372" w:rsidP="008A726E">
                  <w:pPr>
                    <w:jc w:val="left"/>
                    <w:rPr>
                      <w:b/>
                      <w:sz w:val="18"/>
                      <w:szCs w:val="18"/>
                      <w:u w:val="single"/>
                    </w:rPr>
                  </w:pPr>
                  <w:r w:rsidRPr="003A5376">
                    <w:rPr>
                      <w:b/>
                      <w:sz w:val="18"/>
                      <w:szCs w:val="18"/>
                      <w:u w:val="single"/>
                    </w:rPr>
                    <w:t>Explanatory Notes:</w:t>
                  </w:r>
                </w:p>
                <w:p w:rsidR="00740372" w:rsidRPr="003A5376" w:rsidRDefault="00740372">
                  <w:pPr>
                    <w:rPr>
                      <w:b/>
                      <w:sz w:val="18"/>
                      <w:szCs w:val="18"/>
                    </w:rPr>
                  </w:pPr>
                </w:p>
                <w:p w:rsidR="00740372" w:rsidRPr="00B31B95" w:rsidRDefault="00740372" w:rsidP="00740372">
                  <w:pPr>
                    <w:pStyle w:val="ListParagraph"/>
                    <w:numPr>
                      <w:ilvl w:val="0"/>
                      <w:numId w:val="23"/>
                    </w:numPr>
                    <w:tabs>
                      <w:tab w:val="left" w:pos="1134"/>
                    </w:tabs>
                    <w:contextualSpacing/>
                    <w:jc w:val="both"/>
                    <w:rPr>
                      <w:sz w:val="18"/>
                      <w:szCs w:val="18"/>
                    </w:rPr>
                  </w:pPr>
                  <w:r w:rsidRPr="00B31B95">
                    <w:rPr>
                      <w:sz w:val="18"/>
                      <w:szCs w:val="18"/>
                    </w:rPr>
                    <w:t>Not considered for benefit quantification for EFA</w:t>
                  </w:r>
                </w:p>
                <w:p w:rsidR="00740372" w:rsidRPr="008A726E" w:rsidRDefault="00740372" w:rsidP="00740372">
                  <w:pPr>
                    <w:pStyle w:val="ListParagraph"/>
                    <w:rPr>
                      <w:sz w:val="6"/>
                      <w:szCs w:val="6"/>
                    </w:rPr>
                  </w:pPr>
                </w:p>
                <w:p w:rsidR="00740372" w:rsidRPr="00B31B95" w:rsidRDefault="00740372" w:rsidP="00740372">
                  <w:pPr>
                    <w:pStyle w:val="ListParagraph"/>
                    <w:numPr>
                      <w:ilvl w:val="0"/>
                      <w:numId w:val="24"/>
                    </w:numPr>
                    <w:tabs>
                      <w:tab w:val="left" w:pos="1134"/>
                    </w:tabs>
                    <w:ind w:left="1080"/>
                    <w:contextualSpacing/>
                    <w:jc w:val="both"/>
                    <w:rPr>
                      <w:sz w:val="18"/>
                      <w:szCs w:val="18"/>
                    </w:rPr>
                  </w:pPr>
                  <w:r w:rsidRPr="00B31B95">
                    <w:rPr>
                      <w:sz w:val="18"/>
                      <w:szCs w:val="18"/>
                    </w:rPr>
                    <w:t>Considered for benefit quantification for EFA</w:t>
                  </w:r>
                </w:p>
                <w:p w:rsidR="00740372" w:rsidRPr="008A726E" w:rsidRDefault="00740372" w:rsidP="00740372">
                  <w:pPr>
                    <w:rPr>
                      <w:sz w:val="6"/>
                      <w:szCs w:val="6"/>
                    </w:rPr>
                  </w:pPr>
                </w:p>
                <w:p w:rsidR="00740372" w:rsidRPr="00B31B95" w:rsidRDefault="00740372" w:rsidP="00740372">
                  <w:pPr>
                    <w:ind w:left="1080"/>
                    <w:rPr>
                      <w:sz w:val="18"/>
                      <w:szCs w:val="18"/>
                    </w:rPr>
                  </w:pPr>
                  <w:r>
                    <w:rPr>
                      <w:sz w:val="18"/>
                      <w:szCs w:val="18"/>
                    </w:rPr>
                    <w:t>These are the vil</w:t>
                  </w:r>
                  <w:r w:rsidRPr="00B31B95">
                    <w:rPr>
                      <w:sz w:val="18"/>
                      <w:szCs w:val="18"/>
                    </w:rPr>
                    <w:t xml:space="preserve">lages </w:t>
                  </w:r>
                  <w:r>
                    <w:rPr>
                      <w:sz w:val="18"/>
                      <w:szCs w:val="18"/>
                    </w:rPr>
                    <w:t xml:space="preserve">to come under </w:t>
                  </w:r>
                  <w:r w:rsidRPr="00B31B95">
                    <w:rPr>
                      <w:sz w:val="18"/>
                      <w:szCs w:val="18"/>
                    </w:rPr>
                    <w:t>PT/IBD programmes w</w:t>
                  </w:r>
                  <w:r>
                    <w:rPr>
                      <w:sz w:val="18"/>
                      <w:szCs w:val="18"/>
                    </w:rPr>
                    <w:t xml:space="preserve">ith RBP and milk collection and bulking support spread over 11 states. This will add up to the convergence area but not included in Zone.1 for EFA benefit calculation and to that extent, convergence area captured through zone.1 for EFA is an under estimation. </w:t>
                  </w:r>
                </w:p>
                <w:p w:rsidR="00740372" w:rsidRPr="008A726E" w:rsidRDefault="00740372" w:rsidP="00740372">
                  <w:pPr>
                    <w:rPr>
                      <w:sz w:val="10"/>
                      <w:szCs w:val="10"/>
                    </w:rPr>
                  </w:pPr>
                </w:p>
                <w:p w:rsidR="00740372" w:rsidRPr="003A5376" w:rsidRDefault="00740372" w:rsidP="00740372">
                  <w:pPr>
                    <w:rPr>
                      <w:b/>
                      <w:sz w:val="18"/>
                      <w:szCs w:val="18"/>
                      <w:u w:val="single"/>
                    </w:rPr>
                  </w:pPr>
                  <w:r w:rsidRPr="003A5376">
                    <w:rPr>
                      <w:b/>
                      <w:sz w:val="18"/>
                      <w:szCs w:val="18"/>
                      <w:u w:val="single"/>
                    </w:rPr>
                    <w:t>For EFA</w:t>
                  </w:r>
                </w:p>
                <w:p w:rsidR="00740372" w:rsidRPr="002A6329" w:rsidRDefault="00740372" w:rsidP="00740372">
                  <w:pPr>
                    <w:rPr>
                      <w:sz w:val="6"/>
                      <w:szCs w:val="6"/>
                    </w:rPr>
                  </w:pPr>
                </w:p>
                <w:p w:rsidR="00740372" w:rsidRPr="002A6329" w:rsidRDefault="00740372" w:rsidP="00740372">
                  <w:pPr>
                    <w:rPr>
                      <w:sz w:val="18"/>
                      <w:szCs w:val="18"/>
                    </w:rPr>
                  </w:pPr>
                  <w:r w:rsidRPr="002A6329">
                    <w:rPr>
                      <w:sz w:val="18"/>
                      <w:szCs w:val="18"/>
                    </w:rPr>
                    <w:t>Full benefits from Zone.1</w:t>
                  </w:r>
                </w:p>
                <w:p w:rsidR="00740372" w:rsidRPr="002A6329" w:rsidRDefault="00740372" w:rsidP="00740372">
                  <w:pPr>
                    <w:rPr>
                      <w:sz w:val="18"/>
                      <w:szCs w:val="18"/>
                    </w:rPr>
                  </w:pPr>
                  <w:r>
                    <w:rPr>
                      <w:sz w:val="18"/>
                      <w:szCs w:val="18"/>
                    </w:rPr>
                    <w:t xml:space="preserve">Only </w:t>
                  </w:r>
                  <w:r w:rsidRPr="002A6329">
                    <w:rPr>
                      <w:sz w:val="18"/>
                      <w:szCs w:val="18"/>
                    </w:rPr>
                    <w:t xml:space="preserve">RBP and Milk procurement/bulking/marketing benefits </w:t>
                  </w:r>
                  <w:r>
                    <w:rPr>
                      <w:sz w:val="18"/>
                      <w:szCs w:val="18"/>
                    </w:rPr>
                    <w:t>from</w:t>
                  </w:r>
                  <w:r w:rsidRPr="002A6329">
                    <w:rPr>
                      <w:sz w:val="18"/>
                      <w:szCs w:val="18"/>
                    </w:rPr>
                    <w:t xml:space="preserve"> Zone.2</w:t>
                  </w:r>
                </w:p>
                <w:p w:rsidR="00740372" w:rsidRDefault="00740372" w:rsidP="00740372">
                  <w:pPr>
                    <w:rPr>
                      <w:sz w:val="18"/>
                      <w:szCs w:val="18"/>
                    </w:rPr>
                  </w:pPr>
                  <w:r w:rsidRPr="002A6329">
                    <w:rPr>
                      <w:sz w:val="18"/>
                      <w:szCs w:val="18"/>
                    </w:rPr>
                    <w:t xml:space="preserve">No Benefits are </w:t>
                  </w:r>
                  <w:r>
                    <w:rPr>
                      <w:sz w:val="18"/>
                      <w:szCs w:val="18"/>
                    </w:rPr>
                    <w:t>captured from Zone.3</w:t>
                  </w:r>
                </w:p>
                <w:p w:rsidR="00740372" w:rsidRPr="002A6329" w:rsidRDefault="00740372" w:rsidP="00740372">
                  <w:pPr>
                    <w:rPr>
                      <w:sz w:val="18"/>
                      <w:szCs w:val="18"/>
                    </w:rPr>
                  </w:pPr>
                </w:p>
                <w:p w:rsidR="00740372" w:rsidRPr="003A5376" w:rsidRDefault="00740372" w:rsidP="00740372">
                  <w:pPr>
                    <w:rPr>
                      <w:b/>
                      <w:sz w:val="18"/>
                      <w:szCs w:val="18"/>
                    </w:rPr>
                  </w:pPr>
                  <w:r w:rsidRPr="003A5376">
                    <w:rPr>
                      <w:b/>
                      <w:sz w:val="18"/>
                      <w:szCs w:val="18"/>
                      <w:u w:val="single"/>
                    </w:rPr>
                    <w:t>In terms of project interventions</w:t>
                  </w:r>
                  <w:r w:rsidRPr="003A5376">
                    <w:rPr>
                      <w:b/>
                      <w:sz w:val="18"/>
                      <w:szCs w:val="18"/>
                    </w:rPr>
                    <w:t>:</w:t>
                  </w:r>
                </w:p>
                <w:p w:rsidR="00740372" w:rsidRPr="003A5376" w:rsidRDefault="00740372" w:rsidP="00740372">
                  <w:pPr>
                    <w:rPr>
                      <w:b/>
                      <w:sz w:val="6"/>
                      <w:szCs w:val="6"/>
                    </w:rPr>
                  </w:pPr>
                </w:p>
                <w:p w:rsidR="00740372" w:rsidRDefault="00740372" w:rsidP="00740372">
                  <w:pPr>
                    <w:pStyle w:val="ListParagraph"/>
                    <w:numPr>
                      <w:ilvl w:val="0"/>
                      <w:numId w:val="25"/>
                    </w:numPr>
                    <w:tabs>
                      <w:tab w:val="left" w:pos="1134"/>
                    </w:tabs>
                    <w:ind w:left="360" w:hanging="270"/>
                    <w:contextualSpacing/>
                    <w:jc w:val="both"/>
                    <w:rPr>
                      <w:sz w:val="18"/>
                      <w:szCs w:val="18"/>
                    </w:rPr>
                  </w:pPr>
                  <w:r w:rsidRPr="002A6329">
                    <w:rPr>
                      <w:sz w:val="18"/>
                      <w:szCs w:val="18"/>
                    </w:rPr>
                    <w:t xml:space="preserve">For HGM Semen and AI delivery, only 5% of the semen delivered through 3000 project trained MAITs </w:t>
                  </w:r>
                  <w:r>
                    <w:rPr>
                      <w:sz w:val="18"/>
                      <w:szCs w:val="18"/>
                    </w:rPr>
                    <w:t>is</w:t>
                  </w:r>
                  <w:r w:rsidRPr="002A6329">
                    <w:rPr>
                      <w:sz w:val="18"/>
                      <w:szCs w:val="18"/>
                    </w:rPr>
                    <w:t xml:space="preserve"> considered to quantify the benefits from better genetics (Zone.1) where project has control for the proposed intervention</w:t>
                  </w:r>
                  <w:r>
                    <w:rPr>
                      <w:sz w:val="18"/>
                      <w:szCs w:val="18"/>
                    </w:rPr>
                    <w:t>s</w:t>
                  </w:r>
                  <w:r w:rsidRPr="002A6329">
                    <w:rPr>
                      <w:sz w:val="18"/>
                      <w:szCs w:val="18"/>
                    </w:rPr>
                    <w:t xml:space="preserve">. Rest 95% of the semen produced by the project but delivered by non-project AI centres </w:t>
                  </w:r>
                  <w:r>
                    <w:rPr>
                      <w:sz w:val="18"/>
                      <w:szCs w:val="18"/>
                    </w:rPr>
                    <w:t xml:space="preserve">in rest of the area </w:t>
                  </w:r>
                  <w:r w:rsidRPr="002A6329">
                    <w:rPr>
                      <w:sz w:val="18"/>
                      <w:szCs w:val="18"/>
                    </w:rPr>
                    <w:t>are not included in the EFA</w:t>
                  </w:r>
                </w:p>
                <w:p w:rsidR="00740372" w:rsidRDefault="00740372" w:rsidP="00740372">
                  <w:pPr>
                    <w:pStyle w:val="ListParagraph"/>
                    <w:numPr>
                      <w:ilvl w:val="0"/>
                      <w:numId w:val="25"/>
                    </w:numPr>
                    <w:tabs>
                      <w:tab w:val="left" w:pos="1134"/>
                    </w:tabs>
                    <w:ind w:left="360" w:hanging="270"/>
                    <w:contextualSpacing/>
                    <w:jc w:val="both"/>
                    <w:rPr>
                      <w:sz w:val="18"/>
                      <w:szCs w:val="18"/>
                    </w:rPr>
                  </w:pPr>
                  <w:r>
                    <w:rPr>
                      <w:sz w:val="18"/>
                      <w:szCs w:val="18"/>
                    </w:rPr>
                    <w:t>For RBP interventions, full benefits (from Zone.1 and Zone.2) are quantified and included in the analysis</w:t>
                  </w:r>
                </w:p>
                <w:p w:rsidR="00740372" w:rsidRPr="002A6329" w:rsidRDefault="00740372" w:rsidP="00740372">
                  <w:pPr>
                    <w:pStyle w:val="ListParagraph"/>
                    <w:numPr>
                      <w:ilvl w:val="0"/>
                      <w:numId w:val="25"/>
                    </w:numPr>
                    <w:tabs>
                      <w:tab w:val="left" w:pos="1134"/>
                    </w:tabs>
                    <w:ind w:left="360" w:hanging="270"/>
                    <w:contextualSpacing/>
                    <w:jc w:val="both"/>
                    <w:rPr>
                      <w:sz w:val="18"/>
                      <w:szCs w:val="18"/>
                    </w:rPr>
                  </w:pPr>
                  <w:r>
                    <w:rPr>
                      <w:sz w:val="18"/>
                      <w:szCs w:val="18"/>
                    </w:rPr>
                    <w:t>For milk collection/bulking interventions, full benefits (from Zone.1 and Zone.2) are quantified and included in the analysis.</w:t>
                  </w:r>
                </w:p>
                <w:p w:rsidR="00740372" w:rsidRDefault="00740372" w:rsidP="00740372"/>
              </w:txbxContent>
            </v:textbox>
          </v:shape>
        </w:pict>
      </w:r>
      <w:r>
        <w:rPr>
          <w:noProof/>
          <w:color w:val="000000"/>
          <w:sz w:val="24"/>
          <w:szCs w:val="24"/>
          <w:u w:val="single"/>
          <w:lang w:val="en-US" w:eastAsia="en-US"/>
        </w:rPr>
        <w:pict>
          <v:oval id="_x0000_s1052" style="position:absolute;margin-left:-405.6pt;margin-top:18.3pt;width:377.65pt;height:332.7pt;z-index:251672576" fillcolor="#b2a1c7 [1943]" stroked="f" strokecolor="#b2a1c7 [1943]" strokeweight="1pt">
            <v:fill color2="#e5dfec [663]" angle="-45" focus="-50%" type="gradient"/>
            <v:shadow on="t" type="perspective" color="#3f3151 [1607]" opacity=".5" offset="1pt" offset2="-3pt"/>
            <v:textbox>
              <w:txbxContent>
                <w:p w:rsidR="00740372" w:rsidRPr="00F56893" w:rsidRDefault="00740372" w:rsidP="00740372">
                  <w:pPr>
                    <w:ind w:left="720"/>
                    <w:rPr>
                      <w:b/>
                      <w:sz w:val="16"/>
                    </w:rPr>
                  </w:pPr>
                  <w:r w:rsidRPr="00AA58B7">
                    <w:rPr>
                      <w:b/>
                      <w:sz w:val="16"/>
                      <w:u w:val="words"/>
                    </w:rPr>
                    <w:t xml:space="preserve">Zone.2 </w:t>
                  </w:r>
                  <w:r>
                    <w:rPr>
                      <w:b/>
                      <w:sz w:val="16"/>
                      <w:u w:val="words"/>
                    </w:rPr>
                    <w:t>Project Interventions within 14 states</w:t>
                  </w:r>
                </w:p>
                <w:p w:rsidR="00740372" w:rsidRDefault="00740372">
                  <w:pPr>
                    <w:rPr>
                      <w:b/>
                      <w:sz w:val="16"/>
                      <w:u w:val="words"/>
                    </w:rPr>
                  </w:pPr>
                </w:p>
                <w:p w:rsidR="00740372" w:rsidRPr="00887885" w:rsidRDefault="00740372" w:rsidP="00740372">
                  <w:pPr>
                    <w:pStyle w:val="ListParagraph"/>
                    <w:numPr>
                      <w:ilvl w:val="0"/>
                      <w:numId w:val="19"/>
                    </w:numPr>
                    <w:tabs>
                      <w:tab w:val="left" w:pos="1134"/>
                    </w:tabs>
                    <w:ind w:left="720"/>
                    <w:contextualSpacing/>
                    <w:jc w:val="both"/>
                    <w:rPr>
                      <w:b/>
                      <w:sz w:val="16"/>
                    </w:rPr>
                  </w:pPr>
                  <w:r w:rsidRPr="00887885">
                    <w:rPr>
                      <w:b/>
                      <w:sz w:val="16"/>
                    </w:rPr>
                    <w:t>HGM Semen Doses from Project</w:t>
                  </w:r>
                </w:p>
                <w:p w:rsidR="00740372" w:rsidRPr="00887885" w:rsidRDefault="00740372" w:rsidP="00740372">
                  <w:pPr>
                    <w:pStyle w:val="ListParagraph"/>
                    <w:numPr>
                      <w:ilvl w:val="0"/>
                      <w:numId w:val="19"/>
                    </w:numPr>
                    <w:tabs>
                      <w:tab w:val="left" w:pos="720"/>
                    </w:tabs>
                    <w:ind w:hanging="1080"/>
                    <w:contextualSpacing/>
                    <w:jc w:val="both"/>
                    <w:rPr>
                      <w:b/>
                      <w:sz w:val="16"/>
                    </w:rPr>
                  </w:pPr>
                  <w:r w:rsidRPr="00887885">
                    <w:rPr>
                      <w:b/>
                      <w:sz w:val="16"/>
                    </w:rPr>
                    <w:t>Delivered by non-Project AI Centres</w:t>
                  </w:r>
                </w:p>
                <w:p w:rsidR="00740372" w:rsidRDefault="00740372">
                  <w:pPr>
                    <w:rPr>
                      <w:b/>
                      <w:sz w:val="16"/>
                    </w:rPr>
                  </w:pPr>
                </w:p>
                <w:p w:rsidR="00740372" w:rsidRPr="00AA58B7" w:rsidRDefault="00740372" w:rsidP="00740372">
                  <w:pPr>
                    <w:pStyle w:val="ListParagraph"/>
                    <w:numPr>
                      <w:ilvl w:val="0"/>
                      <w:numId w:val="21"/>
                    </w:numPr>
                    <w:tabs>
                      <w:tab w:val="left" w:pos="1134"/>
                    </w:tabs>
                    <w:contextualSpacing/>
                    <w:jc w:val="both"/>
                    <w:rPr>
                      <w:b/>
                      <w:sz w:val="16"/>
                    </w:rPr>
                  </w:pPr>
                  <w:r w:rsidRPr="00AA58B7">
                    <w:rPr>
                      <w:b/>
                      <w:sz w:val="16"/>
                    </w:rPr>
                    <w:t xml:space="preserve">RBP Advisory by </w:t>
                  </w:r>
                  <w:r>
                    <w:rPr>
                      <w:b/>
                      <w:sz w:val="16"/>
                    </w:rPr>
                    <w:t>20000 LRPS in 20000</w:t>
                  </w:r>
                  <w:r w:rsidRPr="00AA58B7">
                    <w:rPr>
                      <w:b/>
                      <w:sz w:val="16"/>
                    </w:rPr>
                    <w:t xml:space="preserve"> villages</w:t>
                  </w:r>
                </w:p>
                <w:p w:rsidR="00740372" w:rsidRDefault="00740372">
                  <w:pPr>
                    <w:rPr>
                      <w:b/>
                      <w:sz w:val="16"/>
                    </w:rPr>
                  </w:pPr>
                </w:p>
                <w:p w:rsidR="00740372" w:rsidRDefault="00740372" w:rsidP="00740372">
                  <w:pPr>
                    <w:pStyle w:val="ListParagraph"/>
                    <w:numPr>
                      <w:ilvl w:val="0"/>
                      <w:numId w:val="21"/>
                    </w:numPr>
                    <w:tabs>
                      <w:tab w:val="left" w:pos="1134"/>
                    </w:tabs>
                    <w:contextualSpacing/>
                    <w:jc w:val="both"/>
                    <w:rPr>
                      <w:b/>
                      <w:sz w:val="16"/>
                    </w:rPr>
                  </w:pPr>
                  <w:r>
                    <w:rPr>
                      <w:b/>
                      <w:sz w:val="16"/>
                    </w:rPr>
                    <w:t>P</w:t>
                  </w:r>
                  <w:r w:rsidRPr="00AA58B7">
                    <w:rPr>
                      <w:b/>
                      <w:sz w:val="16"/>
                    </w:rPr>
                    <w:t xml:space="preserve">rocurement/bulking/marketing </w:t>
                  </w:r>
                  <w:r>
                    <w:rPr>
                      <w:b/>
                      <w:sz w:val="16"/>
                    </w:rPr>
                    <w:t>in 11</w:t>
                  </w:r>
                  <w:r w:rsidRPr="00AA58B7">
                    <w:rPr>
                      <w:b/>
                      <w:sz w:val="16"/>
                    </w:rPr>
                    <w:t xml:space="preserve">900 </w:t>
                  </w:r>
                  <w:r>
                    <w:rPr>
                      <w:b/>
                      <w:sz w:val="16"/>
                    </w:rPr>
                    <w:t xml:space="preserve">villages through </w:t>
                  </w:r>
                  <w:r w:rsidRPr="00AA58B7">
                    <w:rPr>
                      <w:b/>
                      <w:sz w:val="16"/>
                    </w:rPr>
                    <w:t>DCSs</w:t>
                  </w:r>
                </w:p>
                <w:p w:rsidR="00C2753F" w:rsidRPr="00C2753F" w:rsidRDefault="00C2753F" w:rsidP="00C2753F">
                  <w:pPr>
                    <w:pStyle w:val="ListParagraph"/>
                    <w:rPr>
                      <w:b/>
                      <w:sz w:val="16"/>
                    </w:rPr>
                  </w:pPr>
                </w:p>
                <w:p w:rsidR="00C2753F" w:rsidRDefault="00C2753F" w:rsidP="00C2753F">
                  <w:pPr>
                    <w:contextualSpacing/>
                    <w:rPr>
                      <w:b/>
                      <w:sz w:val="16"/>
                    </w:rPr>
                  </w:pPr>
                </w:p>
                <w:p w:rsidR="00C2753F" w:rsidRDefault="00C2753F" w:rsidP="00C2753F">
                  <w:pPr>
                    <w:contextualSpacing/>
                    <w:rPr>
                      <w:b/>
                      <w:sz w:val="16"/>
                    </w:rPr>
                  </w:pPr>
                </w:p>
                <w:p w:rsidR="00C2753F" w:rsidRDefault="00C2753F" w:rsidP="00C2753F">
                  <w:pPr>
                    <w:contextualSpacing/>
                    <w:rPr>
                      <w:b/>
                      <w:sz w:val="16"/>
                    </w:rPr>
                  </w:pPr>
                </w:p>
                <w:p w:rsidR="00740372" w:rsidRPr="00AA58B7" w:rsidRDefault="00C2753F">
                  <w:pPr>
                    <w:rPr>
                      <w:b/>
                      <w:sz w:val="16"/>
                    </w:rPr>
                  </w:pPr>
                  <w:r>
                    <w:rPr>
                      <w:b/>
                      <w:noProof/>
                      <w:sz w:val="16"/>
                      <w:lang w:val="en-US" w:eastAsia="en-US"/>
                    </w:rPr>
                    <w:drawing>
                      <wp:inline distT="0" distB="0" distL="0" distR="0">
                        <wp:extent cx="3261995" cy="1528222"/>
                        <wp:effectExtent l="1905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3261995" cy="1528222"/>
                                </a:xfrm>
                                <a:prstGeom prst="rect">
                                  <a:avLst/>
                                </a:prstGeom>
                                <a:noFill/>
                                <a:ln w="9525">
                                  <a:noFill/>
                                  <a:miter lim="800000"/>
                                  <a:headEnd/>
                                  <a:tailEnd/>
                                </a:ln>
                              </pic:spPr>
                            </pic:pic>
                          </a:graphicData>
                        </a:graphic>
                      </wp:inline>
                    </w:drawing>
                  </w:r>
                </w:p>
              </w:txbxContent>
            </v:textbox>
          </v:oval>
        </w:pict>
      </w:r>
      <w:r>
        <w:rPr>
          <w:noProof/>
          <w:color w:val="000000"/>
          <w:sz w:val="24"/>
          <w:szCs w:val="24"/>
          <w:u w:val="single"/>
          <w:lang w:val="en-US" w:eastAsia="en-US"/>
        </w:rPr>
        <w:pict>
          <v:oval id="_x0000_s1057" style="position:absolute;margin-left:-389.05pt;margin-top:146.85pt;width:57.9pt;height:35.75pt;z-index:251677696" fillcolor="#6f3" stroked="f">
            <v:textbox>
              <w:txbxContent>
                <w:p w:rsidR="00740372" w:rsidRPr="00DE1B17" w:rsidRDefault="00740372">
                  <w:pPr>
                    <w:rPr>
                      <w:b/>
                      <w:sz w:val="16"/>
                      <w:szCs w:val="16"/>
                    </w:rPr>
                  </w:pPr>
                  <w:r w:rsidRPr="00DE1B17">
                    <w:rPr>
                      <w:b/>
                      <w:sz w:val="16"/>
                      <w:szCs w:val="16"/>
                    </w:rPr>
                    <w:t>PT/IBD areas</w:t>
                  </w:r>
                </w:p>
              </w:txbxContent>
            </v:textbox>
          </v:oval>
        </w:pict>
      </w:r>
      <w:r>
        <w:rPr>
          <w:noProof/>
          <w:color w:val="000000"/>
          <w:sz w:val="24"/>
          <w:szCs w:val="24"/>
          <w:u w:val="single"/>
          <w:lang w:val="en-US" w:eastAsia="en-US"/>
        </w:rPr>
        <w:pict>
          <v:oval id="_x0000_s1059" style="position:absolute;margin-left:-92.6pt;margin-top:147.75pt;width:52.25pt;height:34.85pt;z-index:251679744" fillcolor="#6f3" stroked="f">
            <v:textbox style="mso-next-textbox:#_x0000_s1059">
              <w:txbxContent>
                <w:p w:rsidR="00740372" w:rsidRPr="00DE1B17" w:rsidRDefault="00740372">
                  <w:pPr>
                    <w:rPr>
                      <w:b/>
                      <w:sz w:val="16"/>
                      <w:szCs w:val="16"/>
                    </w:rPr>
                  </w:pPr>
                  <w:r>
                    <w:rPr>
                      <w:b/>
                      <w:sz w:val="16"/>
                      <w:szCs w:val="16"/>
                    </w:rPr>
                    <w:t>PT/IBD areas</w:t>
                  </w:r>
                </w:p>
              </w:txbxContent>
            </v:textbox>
          </v:oval>
        </w:pict>
      </w:r>
      <w:r>
        <w:rPr>
          <w:noProof/>
          <w:color w:val="000000"/>
          <w:sz w:val="24"/>
          <w:szCs w:val="24"/>
          <w:u w:val="single"/>
          <w:lang w:val="en-US" w:eastAsia="en-US"/>
        </w:rPr>
        <w:pict>
          <v:oval id="_x0000_s1058" style="position:absolute;margin-left:359.2pt;margin-top:161.6pt;width:54.15pt;height:36.25pt;z-index:251678720" fillcolor="#6f3" stroked="f">
            <v:textbox>
              <w:txbxContent>
                <w:p w:rsidR="00740372" w:rsidRPr="00DE1B17" w:rsidRDefault="00740372">
                  <w:pPr>
                    <w:rPr>
                      <w:b/>
                      <w:sz w:val="16"/>
                      <w:szCs w:val="16"/>
                    </w:rPr>
                  </w:pPr>
                  <w:r>
                    <w:rPr>
                      <w:b/>
                      <w:sz w:val="16"/>
                      <w:szCs w:val="16"/>
                    </w:rPr>
                    <w:t>PT/IBD areas</w:t>
                  </w:r>
                </w:p>
              </w:txbxContent>
            </v:textbox>
          </v:oval>
        </w:pict>
      </w:r>
      <w:r>
        <w:rPr>
          <w:noProof/>
          <w:color w:val="000000"/>
          <w:sz w:val="24"/>
          <w:szCs w:val="24"/>
          <w:u w:val="single"/>
          <w:lang w:val="en-US" w:eastAsia="en-US"/>
        </w:rPr>
        <w:pict>
          <v:oval id="_x0000_s1053" style="position:absolute;margin-left:113.4pt;margin-top:167.95pt;width:270.6pt;height:152.45pt;z-index:251673600" fillcolor="white [3201]" strokecolor="black [3213]" strokeweight="2pt">
            <v:fill color2="#92d050" focusposition="1" focussize="" focus="100%" type="gradient"/>
            <v:shadow on="t" type="perspective" color="#974706 [1609]" opacity=".5" offset="1pt" offset2="-3pt"/>
            <v:textbox>
              <w:txbxContent>
                <w:p w:rsidR="00740372" w:rsidRDefault="00740372">
                  <w:pPr>
                    <w:rPr>
                      <w:b/>
                      <w:sz w:val="16"/>
                      <w:u w:val="single"/>
                    </w:rPr>
                  </w:pPr>
                </w:p>
                <w:p w:rsidR="00740372" w:rsidRDefault="00740372">
                  <w:pPr>
                    <w:rPr>
                      <w:b/>
                      <w:sz w:val="16"/>
                      <w:u w:val="single"/>
                    </w:rPr>
                  </w:pPr>
                  <w:r w:rsidRPr="002D60CC">
                    <w:rPr>
                      <w:b/>
                      <w:sz w:val="16"/>
                      <w:u w:val="single"/>
                    </w:rPr>
                    <w:t>Zone.1 (Convergence zone)</w:t>
                  </w:r>
                  <w:r>
                    <w:rPr>
                      <w:b/>
                      <w:sz w:val="16"/>
                      <w:u w:val="single"/>
                    </w:rPr>
                    <w:t xml:space="preserve">  Project </w:t>
                  </w:r>
                </w:p>
                <w:p w:rsidR="00740372" w:rsidRPr="002D60CC" w:rsidRDefault="00740372">
                  <w:pPr>
                    <w:rPr>
                      <w:b/>
                      <w:sz w:val="16"/>
                      <w:u w:val="single"/>
                    </w:rPr>
                  </w:pPr>
                  <w:r>
                    <w:rPr>
                      <w:b/>
                      <w:sz w:val="16"/>
                      <w:u w:val="single"/>
                    </w:rPr>
                    <w:t>Interventions within 5 states</w:t>
                  </w:r>
                </w:p>
                <w:p w:rsidR="00740372" w:rsidRPr="002D60CC" w:rsidRDefault="00740372">
                  <w:pPr>
                    <w:rPr>
                      <w:b/>
                      <w:sz w:val="10"/>
                      <w:szCs w:val="10"/>
                    </w:rPr>
                  </w:pPr>
                </w:p>
                <w:p w:rsidR="00740372" w:rsidRPr="00887885" w:rsidRDefault="00740372" w:rsidP="00740372">
                  <w:pPr>
                    <w:pStyle w:val="ListParagraph"/>
                    <w:numPr>
                      <w:ilvl w:val="0"/>
                      <w:numId w:val="22"/>
                    </w:numPr>
                    <w:tabs>
                      <w:tab w:val="left" w:pos="1134"/>
                    </w:tabs>
                    <w:ind w:left="270" w:hanging="270"/>
                    <w:contextualSpacing/>
                    <w:jc w:val="both"/>
                    <w:rPr>
                      <w:b/>
                      <w:sz w:val="16"/>
                      <w:szCs w:val="16"/>
                    </w:rPr>
                  </w:pPr>
                  <w:r w:rsidRPr="00887885">
                    <w:rPr>
                      <w:b/>
                      <w:sz w:val="16"/>
                      <w:szCs w:val="16"/>
                    </w:rPr>
                    <w:t>HGM Semen Doses -  3.85 M/year</w:t>
                  </w:r>
                </w:p>
                <w:p w:rsidR="00740372" w:rsidRPr="00887885" w:rsidRDefault="00740372" w:rsidP="00740372">
                  <w:pPr>
                    <w:pStyle w:val="ListParagraph"/>
                    <w:numPr>
                      <w:ilvl w:val="0"/>
                      <w:numId w:val="22"/>
                    </w:numPr>
                    <w:tabs>
                      <w:tab w:val="left" w:pos="1134"/>
                    </w:tabs>
                    <w:ind w:left="270" w:hanging="270"/>
                    <w:contextualSpacing/>
                    <w:rPr>
                      <w:b/>
                      <w:sz w:val="16"/>
                      <w:szCs w:val="16"/>
                    </w:rPr>
                  </w:pPr>
                  <w:r w:rsidRPr="00887885">
                    <w:rPr>
                      <w:b/>
                      <w:sz w:val="16"/>
                      <w:szCs w:val="16"/>
                    </w:rPr>
                    <w:t>Delivered by 3000 Project MAITs in 24000 villages</w:t>
                  </w:r>
                </w:p>
                <w:p w:rsidR="00740372" w:rsidRPr="002D60CC" w:rsidRDefault="00740372">
                  <w:pPr>
                    <w:rPr>
                      <w:b/>
                      <w:sz w:val="10"/>
                      <w:szCs w:val="10"/>
                    </w:rPr>
                  </w:pPr>
                </w:p>
                <w:p w:rsidR="00740372" w:rsidRPr="00887885" w:rsidRDefault="00740372" w:rsidP="00740372">
                  <w:pPr>
                    <w:pStyle w:val="ListParagraph"/>
                    <w:numPr>
                      <w:ilvl w:val="0"/>
                      <w:numId w:val="22"/>
                    </w:numPr>
                    <w:tabs>
                      <w:tab w:val="left" w:pos="1134"/>
                    </w:tabs>
                    <w:ind w:left="270" w:hanging="270"/>
                    <w:contextualSpacing/>
                    <w:rPr>
                      <w:b/>
                      <w:sz w:val="16"/>
                      <w:szCs w:val="16"/>
                    </w:rPr>
                  </w:pPr>
                  <w:r w:rsidRPr="00887885">
                    <w:rPr>
                      <w:b/>
                      <w:sz w:val="16"/>
                      <w:szCs w:val="16"/>
                    </w:rPr>
                    <w:t>RBP Advisory by 20</w:t>
                  </w:r>
                  <w:r>
                    <w:rPr>
                      <w:b/>
                      <w:sz w:val="16"/>
                      <w:szCs w:val="16"/>
                    </w:rPr>
                    <w:t>319</w:t>
                  </w:r>
                  <w:r w:rsidRPr="00887885">
                    <w:rPr>
                      <w:b/>
                      <w:sz w:val="16"/>
                      <w:szCs w:val="16"/>
                    </w:rPr>
                    <w:t xml:space="preserve"> LRPs in 20</w:t>
                  </w:r>
                  <w:r>
                    <w:rPr>
                      <w:b/>
                      <w:sz w:val="16"/>
                      <w:szCs w:val="16"/>
                    </w:rPr>
                    <w:t>319</w:t>
                  </w:r>
                  <w:r w:rsidRPr="00887885">
                    <w:rPr>
                      <w:b/>
                      <w:sz w:val="16"/>
                      <w:szCs w:val="16"/>
                    </w:rPr>
                    <w:t xml:space="preserve"> villages</w:t>
                  </w:r>
                </w:p>
                <w:p w:rsidR="00740372" w:rsidRPr="002D60CC" w:rsidRDefault="00740372">
                  <w:pPr>
                    <w:rPr>
                      <w:b/>
                      <w:sz w:val="10"/>
                      <w:szCs w:val="10"/>
                    </w:rPr>
                  </w:pPr>
                </w:p>
                <w:p w:rsidR="00740372" w:rsidRDefault="00740372" w:rsidP="00740372">
                  <w:pPr>
                    <w:pStyle w:val="ListParagraph"/>
                    <w:numPr>
                      <w:ilvl w:val="0"/>
                      <w:numId w:val="22"/>
                    </w:numPr>
                    <w:tabs>
                      <w:tab w:val="left" w:pos="1134"/>
                    </w:tabs>
                    <w:ind w:left="270" w:hanging="270"/>
                    <w:contextualSpacing/>
                    <w:rPr>
                      <w:b/>
                      <w:sz w:val="16"/>
                      <w:szCs w:val="16"/>
                    </w:rPr>
                  </w:pPr>
                  <w:r>
                    <w:rPr>
                      <w:b/>
                      <w:sz w:val="16"/>
                      <w:szCs w:val="16"/>
                    </w:rPr>
                    <w:t>P</w:t>
                  </w:r>
                  <w:r w:rsidRPr="00887885">
                    <w:rPr>
                      <w:b/>
                      <w:sz w:val="16"/>
                      <w:szCs w:val="16"/>
                    </w:rPr>
                    <w:t xml:space="preserve">rocurement/bulking/marketing </w:t>
                  </w:r>
                  <w:r>
                    <w:rPr>
                      <w:b/>
                      <w:sz w:val="16"/>
                      <w:szCs w:val="16"/>
                    </w:rPr>
                    <w:t>in 2</w:t>
                  </w:r>
                  <w:r w:rsidRPr="00887885">
                    <w:rPr>
                      <w:b/>
                      <w:sz w:val="16"/>
                      <w:szCs w:val="16"/>
                    </w:rPr>
                    <w:t xml:space="preserve">0297 </w:t>
                  </w:r>
                  <w:r>
                    <w:rPr>
                      <w:b/>
                      <w:sz w:val="16"/>
                      <w:szCs w:val="16"/>
                    </w:rPr>
                    <w:t>villages through PCs</w:t>
                  </w:r>
                </w:p>
                <w:p w:rsidR="00740372" w:rsidRPr="00887885" w:rsidRDefault="00740372" w:rsidP="00740372">
                  <w:pPr>
                    <w:pStyle w:val="ListParagraph"/>
                    <w:ind w:left="270"/>
                    <w:rPr>
                      <w:b/>
                      <w:sz w:val="16"/>
                      <w:szCs w:val="16"/>
                    </w:rPr>
                  </w:pPr>
                  <w:r>
                    <w:rPr>
                      <w:b/>
                      <w:sz w:val="16"/>
                      <w:szCs w:val="16"/>
                    </w:rPr>
                    <w:t>through PCs</w:t>
                  </w:r>
                </w:p>
                <w:p w:rsidR="00740372" w:rsidRPr="002D60CC" w:rsidRDefault="00740372">
                  <w:pPr>
                    <w:rPr>
                      <w:b/>
                      <w:sz w:val="16"/>
                    </w:rPr>
                  </w:pPr>
                </w:p>
              </w:txbxContent>
            </v:textbox>
          </v:oval>
        </w:pict>
      </w:r>
      <w:r>
        <w:rPr>
          <w:noProof/>
          <w:color w:val="000000"/>
          <w:sz w:val="24"/>
          <w:szCs w:val="24"/>
          <w:u w:val="single"/>
          <w:lang w:val="en-US" w:eastAsia="en-US"/>
        </w:rPr>
        <w:pict>
          <v:shape id="_x0000_s1055" type="#_x0000_t202" style="position:absolute;margin-left:174.6pt;margin-top:373.35pt;width:155.75pt;height:20.25pt;z-index:251675648" stroked="f">
            <v:textbox>
              <w:txbxContent>
                <w:p w:rsidR="00740372" w:rsidRPr="003A5376" w:rsidRDefault="00740372">
                  <w:pPr>
                    <w:rPr>
                      <w:b/>
                      <w:sz w:val="18"/>
                    </w:rPr>
                  </w:pPr>
                  <w:r w:rsidRPr="003A5376">
                    <w:rPr>
                      <w:b/>
                      <w:sz w:val="18"/>
                    </w:rPr>
                    <w:t>Fig.1 NDSP Impact Area Zones</w:t>
                  </w:r>
                </w:p>
              </w:txbxContent>
            </v:textbox>
          </v:shape>
        </w:pict>
      </w:r>
      <w:r w:rsidR="00740372">
        <w:rPr>
          <w:color w:val="000000"/>
          <w:sz w:val="24"/>
          <w:szCs w:val="24"/>
          <w:u w:val="single"/>
          <w:lang w:val="en-US" w:eastAsia="en-US" w:bidi="ta-IN"/>
        </w:rPr>
        <w:br w:type="page"/>
      </w:r>
    </w:p>
    <w:p w:rsidR="00740372" w:rsidRPr="005D60B8" w:rsidRDefault="00740372" w:rsidP="00AC2F9F">
      <w:pPr>
        <w:pStyle w:val="Header"/>
        <w:rPr>
          <w:color w:val="000000"/>
          <w:sz w:val="20"/>
          <w:lang w:bidi="ta-IN"/>
        </w:rPr>
      </w:pPr>
    </w:p>
    <w:sectPr w:rsidR="00740372" w:rsidRPr="005D60B8" w:rsidSect="00C94E19">
      <w:footerReference w:type="default" r:id="rId12"/>
      <w:footerReference w:type="first" r:id="rId13"/>
      <w:pgSz w:w="12240" w:h="15840"/>
      <w:pgMar w:top="1440" w:right="1440" w:bottom="1440" w:left="158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5254" w:rsidRDefault="00845254">
      <w:r>
        <w:separator/>
      </w:r>
    </w:p>
  </w:endnote>
  <w:endnote w:type="continuationSeparator" w:id="1">
    <w:p w:rsidR="00845254" w:rsidRDefault="0084525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Univers (W1)">
    <w:altName w:val="Arial"/>
    <w:panose1 w:val="00000000000000000000"/>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0372" w:rsidRDefault="009D13F8">
    <w:pPr>
      <w:pStyle w:val="Footer"/>
      <w:jc w:val="right"/>
    </w:pPr>
    <w:fldSimple w:instr=" PAGE   \* MERGEFORMAT ">
      <w:r w:rsidR="005B05D5">
        <w:rPr>
          <w:noProof/>
        </w:rPr>
        <w:t>1</w:t>
      </w:r>
    </w:fldSimple>
  </w:p>
  <w:p w:rsidR="00740372" w:rsidRDefault="0074037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0372" w:rsidRDefault="009D13F8">
    <w:pPr>
      <w:pStyle w:val="Footer"/>
      <w:jc w:val="center"/>
    </w:pPr>
    <w:r>
      <w:rPr>
        <w:rStyle w:val="PageNumber"/>
      </w:rPr>
      <w:fldChar w:fldCharType="begin"/>
    </w:r>
    <w:r w:rsidR="00740372">
      <w:rPr>
        <w:rStyle w:val="PageNumber"/>
      </w:rPr>
      <w:instrText xml:space="preserve"> PAGE </w:instrText>
    </w:r>
    <w:r>
      <w:rPr>
        <w:rStyle w:val="PageNumber"/>
      </w:rPr>
      <w:fldChar w:fldCharType="separate"/>
    </w:r>
    <w:r w:rsidR="00740372">
      <w:rPr>
        <w:rStyle w:val="PageNumber"/>
        <w:noProof/>
      </w:rPr>
      <w:t>2</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5254" w:rsidRDefault="00845254">
      <w:r>
        <w:separator/>
      </w:r>
    </w:p>
  </w:footnote>
  <w:footnote w:type="continuationSeparator" w:id="1">
    <w:p w:rsidR="00845254" w:rsidRDefault="00845254">
      <w:r>
        <w:continuationSeparator/>
      </w:r>
    </w:p>
  </w:footnote>
  <w:footnote w:id="2">
    <w:p w:rsidR="00740372" w:rsidRDefault="00740372" w:rsidP="00A47D5A">
      <w:pPr>
        <w:pStyle w:val="FootnoteText"/>
        <w:rPr>
          <w:sz w:val="16"/>
          <w:szCs w:val="16"/>
        </w:rPr>
      </w:pPr>
      <w:r>
        <w:rPr>
          <w:rStyle w:val="FootnoteReference"/>
        </w:rPr>
        <w:footnoteRef/>
      </w:r>
      <w:r>
        <w:t xml:space="preserve"> The f</w:t>
      </w:r>
      <w:r w:rsidRPr="004B22FD">
        <w:rPr>
          <w:sz w:val="16"/>
          <w:szCs w:val="16"/>
        </w:rPr>
        <w:t>ive states are Andhra Pradesh, Gujarat</w:t>
      </w:r>
      <w:r>
        <w:rPr>
          <w:sz w:val="16"/>
          <w:szCs w:val="16"/>
        </w:rPr>
        <w:t xml:space="preserve"> (Saurashtra and Kutch regions)</w:t>
      </w:r>
      <w:r w:rsidRPr="004B22FD">
        <w:rPr>
          <w:sz w:val="16"/>
          <w:szCs w:val="16"/>
        </w:rPr>
        <w:t>, Punjab, Rajasthan and Uttar Pradesh.</w:t>
      </w:r>
    </w:p>
    <w:p w:rsidR="00740372" w:rsidRPr="004B22FD" w:rsidRDefault="00740372" w:rsidP="00A47D5A">
      <w:pPr>
        <w:pStyle w:val="FootnoteText"/>
        <w:rPr>
          <w:sz w:val="6"/>
          <w:szCs w:val="6"/>
        </w:rPr>
      </w:pPr>
    </w:p>
  </w:footnote>
  <w:footnote w:id="3">
    <w:p w:rsidR="00740372" w:rsidRDefault="00740372" w:rsidP="00A47D5A">
      <w:pPr>
        <w:pStyle w:val="FootnoteText"/>
        <w:rPr>
          <w:sz w:val="16"/>
          <w:szCs w:val="16"/>
        </w:rPr>
      </w:pPr>
      <w:r>
        <w:rPr>
          <w:rStyle w:val="FootnoteReference"/>
        </w:rPr>
        <w:footnoteRef/>
      </w:r>
      <w:r>
        <w:t xml:space="preserve"> </w:t>
      </w:r>
      <w:r w:rsidRPr="00BE17DF">
        <w:rPr>
          <w:sz w:val="16"/>
          <w:szCs w:val="16"/>
        </w:rPr>
        <w:t>A</w:t>
      </w:r>
      <w:r>
        <w:rPr>
          <w:sz w:val="16"/>
          <w:szCs w:val="16"/>
        </w:rPr>
        <w:t xml:space="preserve">verage ACGR for </w:t>
      </w:r>
      <w:r w:rsidRPr="00BE17DF">
        <w:rPr>
          <w:sz w:val="16"/>
          <w:szCs w:val="16"/>
        </w:rPr>
        <w:t xml:space="preserve">milk productivity in </w:t>
      </w:r>
      <w:r>
        <w:rPr>
          <w:sz w:val="16"/>
          <w:szCs w:val="16"/>
        </w:rPr>
        <w:t>14 project states during the last decade (2000-10)</w:t>
      </w:r>
      <w:r w:rsidRPr="00BE17DF">
        <w:rPr>
          <w:sz w:val="16"/>
          <w:szCs w:val="16"/>
        </w:rPr>
        <w:t xml:space="preserve"> is 2.2%.  The country currently has less than 10% of the bulls in the semen collection programme, which can be considered as pure selection. This severely restricted the productivity growth due to pure genetics to only 0.2%. With NDSP, it is projected that by PY-6, 73% of the semen collected from the bulls in the country will come from HGM bulls, which will be maintained throughout the project life. </w:t>
      </w:r>
    </w:p>
    <w:p w:rsidR="00740372" w:rsidRPr="00BE17DF" w:rsidRDefault="00740372" w:rsidP="00A47D5A">
      <w:pPr>
        <w:pStyle w:val="FootnoteText"/>
        <w:rPr>
          <w:sz w:val="6"/>
          <w:szCs w:val="6"/>
        </w:rPr>
      </w:pPr>
    </w:p>
  </w:footnote>
  <w:footnote w:id="4">
    <w:p w:rsidR="00740372" w:rsidRPr="00407EEB" w:rsidRDefault="00740372" w:rsidP="00A47D5A">
      <w:pPr>
        <w:pStyle w:val="FootnoteText"/>
      </w:pPr>
      <w:r>
        <w:rPr>
          <w:rStyle w:val="FootnoteReference"/>
        </w:rPr>
        <w:footnoteRef/>
      </w:r>
      <w:r>
        <w:t xml:space="preserve"> </w:t>
      </w:r>
      <w:r w:rsidRPr="00407EEB">
        <w:rPr>
          <w:sz w:val="16"/>
          <w:szCs w:val="16"/>
        </w:rPr>
        <w:t xml:space="preserve">Estimated by NDDB experts based </w:t>
      </w:r>
      <w:r>
        <w:rPr>
          <w:sz w:val="16"/>
          <w:szCs w:val="16"/>
        </w:rPr>
        <w:t xml:space="preserve">field </w:t>
      </w:r>
      <w:r w:rsidRPr="00407EEB">
        <w:rPr>
          <w:sz w:val="16"/>
          <w:szCs w:val="16"/>
        </w:rPr>
        <w:t xml:space="preserve">evidences </w:t>
      </w:r>
      <w:r>
        <w:rPr>
          <w:sz w:val="16"/>
          <w:szCs w:val="16"/>
        </w:rPr>
        <w:t>in other countries</w:t>
      </w:r>
    </w:p>
  </w:footnote>
  <w:footnote w:id="5">
    <w:p w:rsidR="00740372" w:rsidRDefault="00740372" w:rsidP="00A47D5A">
      <w:pPr>
        <w:rPr>
          <w:sz w:val="16"/>
          <w:szCs w:val="16"/>
        </w:rPr>
      </w:pPr>
      <w:r>
        <w:rPr>
          <w:rStyle w:val="FootnoteReference"/>
        </w:rPr>
        <w:footnoteRef/>
      </w:r>
      <w:r>
        <w:t xml:space="preserve"> </w:t>
      </w:r>
      <w:r w:rsidRPr="00BE17DF">
        <w:rPr>
          <w:sz w:val="16"/>
          <w:szCs w:val="16"/>
        </w:rPr>
        <w:t>The service provider (India Gen) for AI service delivery in NDSP area</w:t>
      </w:r>
      <w:r>
        <w:rPr>
          <w:sz w:val="16"/>
          <w:szCs w:val="16"/>
        </w:rPr>
        <w:t>,</w:t>
      </w:r>
      <w:r w:rsidRPr="00BE17DF">
        <w:rPr>
          <w:sz w:val="16"/>
          <w:szCs w:val="16"/>
        </w:rPr>
        <w:t xml:space="preserve"> has </w:t>
      </w:r>
      <w:r>
        <w:rPr>
          <w:sz w:val="16"/>
          <w:szCs w:val="16"/>
        </w:rPr>
        <w:t xml:space="preserve">consistently </w:t>
      </w:r>
      <w:r w:rsidRPr="00BE17DF">
        <w:rPr>
          <w:sz w:val="16"/>
          <w:szCs w:val="16"/>
        </w:rPr>
        <w:t xml:space="preserve">achieved average conception rate of </w:t>
      </w:r>
      <w:r>
        <w:rPr>
          <w:sz w:val="16"/>
          <w:szCs w:val="16"/>
        </w:rPr>
        <w:t>above 50</w:t>
      </w:r>
      <w:r w:rsidRPr="00BE17DF">
        <w:rPr>
          <w:sz w:val="16"/>
          <w:szCs w:val="16"/>
        </w:rPr>
        <w:t xml:space="preserve">% </w:t>
      </w:r>
      <w:r>
        <w:rPr>
          <w:sz w:val="16"/>
          <w:szCs w:val="16"/>
        </w:rPr>
        <w:t>over one</w:t>
      </w:r>
      <w:r w:rsidRPr="00BE17DF">
        <w:rPr>
          <w:sz w:val="16"/>
          <w:szCs w:val="16"/>
        </w:rPr>
        <w:t xml:space="preserve"> million AIs </w:t>
      </w:r>
      <w:r>
        <w:rPr>
          <w:sz w:val="16"/>
          <w:szCs w:val="16"/>
        </w:rPr>
        <w:t xml:space="preserve">in six years through 1377 AI centers operating </w:t>
      </w:r>
      <w:r w:rsidRPr="00BE17DF">
        <w:rPr>
          <w:sz w:val="16"/>
          <w:szCs w:val="16"/>
        </w:rPr>
        <w:t>in six Indian states</w:t>
      </w:r>
      <w:r>
        <w:rPr>
          <w:sz w:val="16"/>
          <w:szCs w:val="16"/>
        </w:rPr>
        <w:t xml:space="preserve"> (</w:t>
      </w:r>
      <w:r w:rsidRPr="00FC4EEA">
        <w:rPr>
          <w:sz w:val="16"/>
          <w:szCs w:val="16"/>
        </w:rPr>
        <w:t>Maharashtra, Bihar, Uttar Pradesh, Tamil Nadu, Rajasthan and Andhra Pradesh</w:t>
      </w:r>
      <w:r>
        <w:rPr>
          <w:sz w:val="16"/>
          <w:szCs w:val="16"/>
        </w:rPr>
        <w:t xml:space="preserve">), </w:t>
      </w:r>
      <w:r w:rsidRPr="00BE17DF">
        <w:rPr>
          <w:sz w:val="16"/>
          <w:szCs w:val="16"/>
        </w:rPr>
        <w:t xml:space="preserve">three of which are also NDSP project states. </w:t>
      </w:r>
      <w:r>
        <w:rPr>
          <w:sz w:val="16"/>
          <w:szCs w:val="16"/>
        </w:rPr>
        <w:t>F</w:t>
      </w:r>
      <w:r w:rsidRPr="00BE17DF">
        <w:rPr>
          <w:sz w:val="16"/>
          <w:szCs w:val="16"/>
        </w:rPr>
        <w:t>or th</w:t>
      </w:r>
      <w:r>
        <w:rPr>
          <w:sz w:val="16"/>
          <w:szCs w:val="16"/>
        </w:rPr>
        <w:t xml:space="preserve">e present </w:t>
      </w:r>
      <w:r w:rsidRPr="00BE17DF">
        <w:rPr>
          <w:sz w:val="16"/>
          <w:szCs w:val="16"/>
        </w:rPr>
        <w:t xml:space="preserve">analysis, a modest </w:t>
      </w:r>
      <w:r>
        <w:rPr>
          <w:sz w:val="16"/>
          <w:szCs w:val="16"/>
        </w:rPr>
        <w:t xml:space="preserve">conception </w:t>
      </w:r>
      <w:r w:rsidRPr="00BE17DF">
        <w:rPr>
          <w:sz w:val="16"/>
          <w:szCs w:val="16"/>
        </w:rPr>
        <w:t>rate of 45% is a</w:t>
      </w:r>
      <w:r>
        <w:rPr>
          <w:sz w:val="16"/>
          <w:szCs w:val="16"/>
        </w:rPr>
        <w:t xml:space="preserve">pplied for HGM bull produced 3.85 M AI doses produced by HGM bulls annually and service delivered by MAITs in Zone.1 area. </w:t>
      </w:r>
      <w:r w:rsidRPr="00BE17DF">
        <w:rPr>
          <w:sz w:val="16"/>
          <w:szCs w:val="16"/>
        </w:rPr>
        <w:t xml:space="preserve"> </w:t>
      </w:r>
    </w:p>
    <w:p w:rsidR="00740372" w:rsidRPr="00BE17DF" w:rsidRDefault="00740372" w:rsidP="00A47D5A">
      <w:pPr>
        <w:pStyle w:val="FootnoteText"/>
        <w:rPr>
          <w:sz w:val="6"/>
          <w:szCs w:val="6"/>
        </w:rPr>
      </w:pPr>
    </w:p>
  </w:footnote>
  <w:footnote w:id="6">
    <w:p w:rsidR="00740372" w:rsidRPr="007E3ECE" w:rsidRDefault="00740372" w:rsidP="00A47D5A">
      <w:pPr>
        <w:pStyle w:val="FootnoteText"/>
        <w:rPr>
          <w:sz w:val="16"/>
          <w:szCs w:val="16"/>
        </w:rPr>
      </w:pPr>
      <w:r>
        <w:rPr>
          <w:rStyle w:val="FootnoteReference"/>
        </w:rPr>
        <w:footnoteRef/>
      </w:r>
      <w:r>
        <w:t xml:space="preserve"> </w:t>
      </w:r>
      <w:r w:rsidRPr="007E3ECE">
        <w:rPr>
          <w:sz w:val="16"/>
          <w:szCs w:val="16"/>
        </w:rPr>
        <w:t xml:space="preserve">The proposed service provider, India Gen, has recorded average number of monthly AIs which started with 50 per month for one year old AI centres and increased gradually up to 107 for five year old centres. In NDSP, 3000 MAITs are to be phased over five years. Since we are freezing the number of AIs by 3000 MAITs at </w:t>
      </w:r>
      <w:r>
        <w:rPr>
          <w:sz w:val="16"/>
          <w:szCs w:val="16"/>
        </w:rPr>
        <w:t>year 6</w:t>
      </w:r>
      <w:r w:rsidRPr="007E3ECE">
        <w:rPr>
          <w:sz w:val="16"/>
          <w:szCs w:val="16"/>
        </w:rPr>
        <w:t xml:space="preserve"> levels for the subsequent years, the implied weighted average of monthly AIs per MAIT from </w:t>
      </w:r>
      <w:r>
        <w:rPr>
          <w:sz w:val="16"/>
          <w:szCs w:val="16"/>
        </w:rPr>
        <w:t>year 6</w:t>
      </w:r>
      <w:r w:rsidRPr="007E3ECE">
        <w:rPr>
          <w:sz w:val="16"/>
          <w:szCs w:val="16"/>
        </w:rPr>
        <w:t xml:space="preserve"> onwards comes to 107 matching with what has been achieved by the service provider in five states.</w:t>
      </w:r>
    </w:p>
    <w:p w:rsidR="00740372" w:rsidRPr="00437AB2" w:rsidRDefault="00740372" w:rsidP="00A47D5A">
      <w:pPr>
        <w:pStyle w:val="FootnoteText"/>
        <w:rPr>
          <w:sz w:val="6"/>
          <w:szCs w:val="6"/>
        </w:rPr>
      </w:pPr>
      <w:r w:rsidRPr="00437AB2">
        <w:rPr>
          <w:sz w:val="6"/>
          <w:szCs w:val="6"/>
        </w:rPr>
        <w:t xml:space="preserve">   </w:t>
      </w:r>
    </w:p>
  </w:footnote>
  <w:footnote w:id="7">
    <w:p w:rsidR="00740372" w:rsidRDefault="00740372" w:rsidP="00A47D5A">
      <w:pPr>
        <w:pStyle w:val="FootnoteText"/>
        <w:rPr>
          <w:sz w:val="16"/>
          <w:szCs w:val="16"/>
        </w:rPr>
      </w:pPr>
      <w:r>
        <w:rPr>
          <w:rStyle w:val="FootnoteReference"/>
        </w:rPr>
        <w:footnoteRef/>
      </w:r>
      <w:r>
        <w:t xml:space="preserve"> </w:t>
      </w:r>
      <w:r w:rsidRPr="00BE17DF">
        <w:rPr>
          <w:sz w:val="16"/>
          <w:szCs w:val="16"/>
        </w:rPr>
        <w:t>In-milk yield is average milk yield during the lactation period of 305 days.</w:t>
      </w:r>
    </w:p>
    <w:p w:rsidR="00740372" w:rsidRPr="00BE17DF" w:rsidRDefault="00740372" w:rsidP="00A47D5A">
      <w:pPr>
        <w:pStyle w:val="FootnoteText"/>
        <w:rPr>
          <w:sz w:val="6"/>
          <w:szCs w:val="6"/>
        </w:rPr>
      </w:pPr>
    </w:p>
  </w:footnote>
  <w:footnote w:id="8">
    <w:p w:rsidR="00740372" w:rsidRDefault="00740372" w:rsidP="00A47D5A">
      <w:pPr>
        <w:pStyle w:val="Header"/>
        <w:rPr>
          <w:color w:val="000000"/>
          <w:szCs w:val="16"/>
        </w:rPr>
      </w:pPr>
      <w:r>
        <w:rPr>
          <w:rStyle w:val="FootnoteReference"/>
        </w:rPr>
        <w:footnoteRef/>
      </w:r>
      <w:r>
        <w:t xml:space="preserve"> </w:t>
      </w:r>
      <w:r w:rsidRPr="00BE17DF">
        <w:rPr>
          <w:bCs/>
          <w:color w:val="000000"/>
          <w:szCs w:val="16"/>
        </w:rPr>
        <w:t>References for animal nutrition assumptions are; (a) Kannan, A., Garg, MR and Pankaj Singh.</w:t>
      </w:r>
      <w:r w:rsidRPr="00BE17DF">
        <w:rPr>
          <w:color w:val="000000"/>
          <w:szCs w:val="16"/>
        </w:rPr>
        <w:t xml:space="preserve">2010. Effect of Ration Balancing on Methane Emission and Milk Production in Lactating Animals under Field Conditions in Rae Bareli district of Uttar Pradesh, </w:t>
      </w:r>
      <w:r w:rsidRPr="00BE17DF">
        <w:rPr>
          <w:i/>
          <w:color w:val="000000"/>
          <w:szCs w:val="16"/>
        </w:rPr>
        <w:t>Indian journal of Animal Nutrition</w:t>
      </w:r>
      <w:r w:rsidRPr="00BE17DF">
        <w:rPr>
          <w:color w:val="000000"/>
          <w:szCs w:val="16"/>
        </w:rPr>
        <w:t xml:space="preserve">, 27(2): pp.103-108, (b) NATCOM, 2004: India's Initial National Communication to UNFCCC, Ministry of Enviornment &amp; Forests, Government of India, (c) </w:t>
      </w:r>
      <w:r w:rsidRPr="00BE17DF">
        <w:rPr>
          <w:bCs/>
          <w:color w:val="000000"/>
          <w:szCs w:val="16"/>
        </w:rPr>
        <w:t>Kannan, A. and Garg M R 2009.</w:t>
      </w:r>
      <w:r w:rsidRPr="00BE17DF">
        <w:rPr>
          <w:color w:val="000000"/>
          <w:szCs w:val="16"/>
        </w:rPr>
        <w:t xml:space="preserve"> Effect of RBP on Methane Emission Reductions in Lactating Animals Under Field Conditions, </w:t>
      </w:r>
      <w:r w:rsidRPr="00BE17DF">
        <w:rPr>
          <w:i/>
          <w:color w:val="000000"/>
          <w:szCs w:val="16"/>
        </w:rPr>
        <w:t>Indian Journal of Dairy Science</w:t>
      </w:r>
      <w:r w:rsidRPr="00BE17DF">
        <w:rPr>
          <w:color w:val="000000"/>
          <w:szCs w:val="16"/>
        </w:rPr>
        <w:t xml:space="preserve">, 62(4), PP. 292-296, (d) Climate Change 2007. The Physical Science Basis, Intergovernmental Panel on Climate Change, (e) </w:t>
      </w:r>
      <w:r w:rsidRPr="00BE17DF">
        <w:rPr>
          <w:bCs/>
          <w:color w:val="000000"/>
          <w:szCs w:val="16"/>
        </w:rPr>
        <w:t xml:space="preserve">Kannan, A., Garg, MR and Pankaj Singh.2010, </w:t>
      </w:r>
      <w:r w:rsidRPr="00BE17DF">
        <w:rPr>
          <w:color w:val="000000"/>
          <w:szCs w:val="16"/>
        </w:rPr>
        <w:t xml:space="preserve">Effect of Ration Balancing on Methane Emission and Milk Production in Lactating Animals under Field Conditions in Rae Bareli district of Uttar Pradesh, </w:t>
      </w:r>
      <w:r w:rsidRPr="00BE17DF">
        <w:rPr>
          <w:i/>
          <w:color w:val="000000"/>
          <w:szCs w:val="16"/>
        </w:rPr>
        <w:t>Indian journal of Animal Nutrition</w:t>
      </w:r>
      <w:r w:rsidRPr="00BE17DF">
        <w:rPr>
          <w:color w:val="000000"/>
          <w:szCs w:val="16"/>
        </w:rPr>
        <w:t>, 27(2): pp. 103-108.</w:t>
      </w:r>
    </w:p>
    <w:p w:rsidR="00740372" w:rsidRPr="00BE17DF" w:rsidRDefault="00740372" w:rsidP="00A47D5A">
      <w:pPr>
        <w:pStyle w:val="FootnoteText"/>
        <w:rPr>
          <w:sz w:val="6"/>
          <w:szCs w:val="6"/>
        </w:rPr>
      </w:pPr>
    </w:p>
  </w:footnote>
  <w:footnote w:id="9">
    <w:p w:rsidR="00740372" w:rsidRPr="00BE17DF" w:rsidRDefault="00740372" w:rsidP="00A47D5A">
      <w:pPr>
        <w:pStyle w:val="FootnoteText"/>
        <w:rPr>
          <w:sz w:val="16"/>
          <w:szCs w:val="16"/>
        </w:rPr>
      </w:pPr>
      <w:r>
        <w:rPr>
          <w:rStyle w:val="FootnoteReference"/>
        </w:rPr>
        <w:footnoteRef/>
      </w:r>
      <w:r>
        <w:t xml:space="preserve"> </w:t>
      </w:r>
      <w:r w:rsidRPr="00BE17DF">
        <w:rPr>
          <w:sz w:val="16"/>
          <w:szCs w:val="16"/>
        </w:rPr>
        <w:t>Milk yield is average milk yield per day for the year.</w:t>
      </w:r>
    </w:p>
  </w:footnote>
  <w:footnote w:id="10">
    <w:p w:rsidR="00740372" w:rsidRPr="00BA2932" w:rsidRDefault="00740372" w:rsidP="00A47D5A">
      <w:pPr>
        <w:autoSpaceDE w:val="0"/>
        <w:autoSpaceDN w:val="0"/>
        <w:adjustRightInd w:val="0"/>
        <w:rPr>
          <w:rFonts w:ascii="Calibri" w:hAnsi="Calibri"/>
          <w:sz w:val="16"/>
          <w:szCs w:val="16"/>
        </w:rPr>
      </w:pPr>
      <w:r>
        <w:rPr>
          <w:rStyle w:val="FootnoteReference"/>
        </w:rPr>
        <w:footnoteRef/>
      </w:r>
      <w:r>
        <w:t xml:space="preserve"> </w:t>
      </w:r>
      <w:r w:rsidRPr="00BA2932">
        <w:rPr>
          <w:sz w:val="16"/>
          <w:szCs w:val="16"/>
        </w:rPr>
        <w:t>Strengthening Infrastructure for Quality and Clean Milk Production, Report on Evaluation 2003/04 to 2007/08, Centre for Management Development Thycaud, Thiruvananthapuram, Department of Animal Husbandry, Dairying &amp; Fisheries, Ministry of Agriculture, GOI, India</w:t>
      </w:r>
    </w:p>
    <w:p w:rsidR="00740372" w:rsidRPr="004C471E" w:rsidRDefault="00740372" w:rsidP="00A47D5A">
      <w:pPr>
        <w:pStyle w:val="FootnoteText"/>
        <w:rPr>
          <w:sz w:val="6"/>
          <w:szCs w:val="6"/>
        </w:rPr>
      </w:pPr>
    </w:p>
  </w:footnote>
  <w:footnote w:id="11">
    <w:p w:rsidR="00740372" w:rsidRPr="00B70652" w:rsidRDefault="00740372" w:rsidP="00A47D5A">
      <w:pPr>
        <w:rPr>
          <w:sz w:val="16"/>
          <w:szCs w:val="16"/>
        </w:rPr>
      </w:pPr>
      <w:r>
        <w:rPr>
          <w:rStyle w:val="FootnoteReference"/>
        </w:rPr>
        <w:footnoteRef/>
      </w:r>
      <w:r>
        <w:t xml:space="preserve"> </w:t>
      </w:r>
      <w:r w:rsidRPr="00B70652">
        <w:rPr>
          <w:sz w:val="16"/>
          <w:szCs w:val="16"/>
        </w:rPr>
        <w:t>Source: (Internet Based Dairy Information System, i-DIS, NDDB)</w:t>
      </w:r>
      <w:r>
        <w:rPr>
          <w:sz w:val="16"/>
          <w:szCs w:val="16"/>
        </w:rPr>
        <w:t xml:space="preserve">. </w:t>
      </w:r>
    </w:p>
    <w:p w:rsidR="00740372" w:rsidRPr="004C471E" w:rsidRDefault="00740372" w:rsidP="00A47D5A">
      <w:pPr>
        <w:pStyle w:val="FootnoteText"/>
        <w:rPr>
          <w:sz w:val="6"/>
          <w:szCs w:val="6"/>
        </w:rPr>
      </w:pPr>
    </w:p>
  </w:footnote>
  <w:footnote w:id="12">
    <w:p w:rsidR="00740372" w:rsidRPr="00D77619" w:rsidRDefault="00740372" w:rsidP="00A47D5A">
      <w:pPr>
        <w:autoSpaceDE w:val="0"/>
        <w:autoSpaceDN w:val="0"/>
        <w:adjustRightInd w:val="0"/>
        <w:rPr>
          <w:sz w:val="16"/>
          <w:szCs w:val="16"/>
        </w:rPr>
      </w:pPr>
      <w:r>
        <w:rPr>
          <w:rStyle w:val="FootnoteReference"/>
        </w:rPr>
        <w:footnoteRef/>
      </w:r>
      <w:r>
        <w:t xml:space="preserve"> </w:t>
      </w:r>
      <w:r w:rsidRPr="001D6503">
        <w:rPr>
          <w:sz w:val="16"/>
          <w:szCs w:val="16"/>
        </w:rPr>
        <w:t>Strengthening Infrastructure for Quality and Clean Milk Production, Report on Evaluation 2003/04 to 2007/08, Centre for Management Development Thycaud, Thiruvananthapuram, Department of Animal Husbandry, Dairying &amp; Fisheries, Ministry of Agriculture, GOI, India</w:t>
      </w:r>
      <w:r>
        <w:rPr>
          <w:sz w:val="16"/>
          <w:szCs w:val="16"/>
        </w:rPr>
        <w:t xml:space="preserve">. In 80% of the milk unions studied, BMC capacity utilization recorded above 60% and in 40% of the unions BMC capacity utilization exceeded 90%. </w:t>
      </w:r>
      <w:r w:rsidRPr="00D77619">
        <w:rPr>
          <w:sz w:val="16"/>
          <w:szCs w:val="16"/>
        </w:rPr>
        <w:t>C</w:t>
      </w:r>
      <w:r>
        <w:rPr>
          <w:sz w:val="16"/>
          <w:szCs w:val="16"/>
        </w:rPr>
        <w:t>ost saving of Rs 0.90 per kg is</w:t>
      </w:r>
      <w:r w:rsidRPr="00D77619">
        <w:rPr>
          <w:sz w:val="16"/>
          <w:szCs w:val="16"/>
        </w:rPr>
        <w:t xml:space="preserve"> contributed by efficient operations (42%), processing (28%), transportation (20%) and handling (10%) in BMC supported market interventions.</w:t>
      </w:r>
    </w:p>
    <w:p w:rsidR="00740372" w:rsidRPr="001D6503" w:rsidRDefault="00740372" w:rsidP="00A47D5A">
      <w:pPr>
        <w:pStyle w:val="FootnoteText"/>
        <w:rPr>
          <w:sz w:val="16"/>
          <w:szCs w:val="16"/>
        </w:rPr>
      </w:pPr>
    </w:p>
  </w:footnote>
  <w:footnote w:id="13">
    <w:p w:rsidR="00740372" w:rsidRPr="00B243C0" w:rsidRDefault="00740372" w:rsidP="00A47D5A">
      <w:pPr>
        <w:pStyle w:val="FootnoteText"/>
        <w:rPr>
          <w:sz w:val="16"/>
          <w:szCs w:val="16"/>
        </w:rPr>
      </w:pPr>
      <w:r>
        <w:rPr>
          <w:rStyle w:val="FootnoteReference"/>
        </w:rPr>
        <w:footnoteRef/>
      </w:r>
      <w:r>
        <w:t xml:space="preserve">  </w:t>
      </w:r>
      <w:r w:rsidRPr="00B243C0">
        <w:rPr>
          <w:sz w:val="16"/>
          <w:szCs w:val="16"/>
        </w:rPr>
        <w:t>References for animal activity models and milk production costs are; (a) Hemme et al. (2009): IFCN Dairy Report 2009, IFCN Dairy Research Center, Kiel, Germany, (b) Amit Saha, Otto Garcia and Torsten Hemme, The Economics of milk production in Orissa, India, with particular emphasis on small scale milk producers, PPLPI Working Paper No. 16, IFCN, 2004, (c) Final IFCN 2009/10 Results, NDDB, (d) Torsten Hemme, Otto Garcia and Amit Saha, The Economics of milk production in India, with particular emphasis on small scale milk producers, PPLPI Working Paper No. 2, IFCN, 2003. Sample states are; Bihar, Andhra Pradesh, Madhya Pradesh and Maharashtra.</w:t>
      </w:r>
    </w:p>
    <w:p w:rsidR="00740372" w:rsidRPr="00B243C0" w:rsidRDefault="00740372" w:rsidP="00A47D5A">
      <w:pPr>
        <w:pStyle w:val="FootnoteText"/>
        <w:rPr>
          <w:rFonts w:ascii="Calibri" w:hAnsi="Calibri"/>
          <w:sz w:val="10"/>
          <w:szCs w:val="10"/>
        </w:rPr>
      </w:pPr>
    </w:p>
  </w:footnote>
  <w:footnote w:id="14">
    <w:p w:rsidR="00740372" w:rsidRPr="00F65276" w:rsidRDefault="00740372" w:rsidP="00A47D5A">
      <w:pPr>
        <w:pStyle w:val="FootnoteText"/>
      </w:pPr>
      <w:r>
        <w:rPr>
          <w:rStyle w:val="FootnoteReference"/>
        </w:rPr>
        <w:footnoteRef/>
      </w:r>
      <w:r>
        <w:t xml:space="preserve"> </w:t>
      </w:r>
      <w:r w:rsidRPr="00652C72">
        <w:rPr>
          <w:sz w:val="14"/>
          <w:szCs w:val="14"/>
        </w:rPr>
        <w:t xml:space="preserve">Torsten Hemme, Otto Garcia and Amit Saha, The Economics of milk production in India, with particular emphasis on small scale milk producers, PPLPI Working Paper No. 2, IFCN, 2003, and </w:t>
      </w:r>
      <w:r w:rsidRPr="00652C72">
        <w:rPr>
          <w:bCs/>
          <w:sz w:val="14"/>
          <w:szCs w:val="14"/>
        </w:rPr>
        <w:t>NSS Report No. 493 on Livestock Ownership Across Operational Land Holding Classes in India, 2002-03, NSS 59th Round, (January–December 2003), National Sample Survey Organisation, Ministry of Statistics &amp; Programme Implementation, GOI, Jan 2006</w:t>
      </w:r>
    </w:p>
  </w:footnote>
  <w:footnote w:id="15">
    <w:p w:rsidR="00740372" w:rsidRDefault="00740372" w:rsidP="00A47D5A">
      <w:pPr>
        <w:pStyle w:val="FootnoteText"/>
      </w:pPr>
      <w:r>
        <w:rPr>
          <w:rStyle w:val="FootnoteReference"/>
        </w:rPr>
        <w:footnoteRef/>
      </w:r>
      <w:r>
        <w:t xml:space="preserve"> </w:t>
      </w:r>
      <w:r w:rsidRPr="00892A37">
        <w:rPr>
          <w:sz w:val="14"/>
          <w:szCs w:val="14"/>
        </w:rPr>
        <w:t>Accounts for 0.2% annual growth</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none"/>
      <w:pStyle w:val="Heading1"/>
      <w:suff w:val="nothing"/>
      <w:lvlText w:val=""/>
      <w:lvlJc w:val="left"/>
    </w:lvl>
    <w:lvl w:ilvl="1">
      <w:start w:val="1"/>
      <w:numFmt w:val="decimal"/>
      <w:pStyle w:val="Heading2"/>
      <w:lvlText w:val="%2."/>
      <w:legacy w:legacy="1" w:legacySpace="0" w:legacyIndent="1134"/>
      <w:lvlJc w:val="left"/>
    </w:lvl>
    <w:lvl w:ilvl="2">
      <w:start w:val="1"/>
      <w:numFmt w:val="none"/>
      <w:pStyle w:val="Heading3"/>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decimal"/>
      <w:pStyle w:val="Heading6"/>
      <w:lvlText w:val=".%6"/>
      <w:legacy w:legacy="1" w:legacySpace="144" w:legacyIndent="0"/>
      <w:lvlJc w:val="left"/>
    </w:lvl>
    <w:lvl w:ilvl="6">
      <w:start w:val="1"/>
      <w:numFmt w:val="decimal"/>
      <w:pStyle w:val="Heading7"/>
      <w:lvlText w:val=".%6.%7"/>
      <w:legacy w:legacy="1" w:legacySpace="144" w:legacyIndent="0"/>
      <w:lvlJc w:val="left"/>
    </w:lvl>
    <w:lvl w:ilvl="7">
      <w:start w:val="1"/>
      <w:numFmt w:val="decimal"/>
      <w:pStyle w:val="Heading8"/>
      <w:lvlText w:val=".%6.%7.%8"/>
      <w:legacy w:legacy="1" w:legacySpace="144" w:legacyIndent="0"/>
      <w:lvlJc w:val="left"/>
    </w:lvl>
    <w:lvl w:ilvl="8">
      <w:start w:val="1"/>
      <w:numFmt w:val="decimal"/>
      <w:pStyle w:val="Heading9"/>
      <w:lvlText w:val=".%6.%7.%8.%9"/>
      <w:legacy w:legacy="1" w:legacySpace="144" w:legacyIndent="0"/>
      <w:lvlJc w:val="left"/>
    </w:lvl>
  </w:abstractNum>
  <w:abstractNum w:abstractNumId="1">
    <w:nsid w:val="01787996"/>
    <w:multiLevelType w:val="hybridMultilevel"/>
    <w:tmpl w:val="5F0A95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9D0E6B"/>
    <w:multiLevelType w:val="hybridMultilevel"/>
    <w:tmpl w:val="8E862450"/>
    <w:lvl w:ilvl="0" w:tplc="0409000F">
      <w:start w:val="1"/>
      <w:numFmt w:val="decimal"/>
      <w:lvlText w:val="%1."/>
      <w:lvlJc w:val="left"/>
      <w:pPr>
        <w:ind w:left="720" w:hanging="360"/>
      </w:pPr>
      <w:rPr>
        <w:rFonts w:hint="default"/>
      </w:rPr>
    </w:lvl>
    <w:lvl w:ilvl="1" w:tplc="E4B21D2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023370"/>
    <w:multiLevelType w:val="hybridMultilevel"/>
    <w:tmpl w:val="778C9474"/>
    <w:lvl w:ilvl="0" w:tplc="C0529E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0F0A7F"/>
    <w:multiLevelType w:val="hybridMultilevel"/>
    <w:tmpl w:val="A4EC7BD6"/>
    <w:lvl w:ilvl="0" w:tplc="23A27384">
      <w:start w:val="1"/>
      <w:numFmt w:val="decimal"/>
      <w:lvlText w:val="%1."/>
      <w:lvlJc w:val="left"/>
      <w:pPr>
        <w:ind w:left="450" w:hanging="360"/>
      </w:pPr>
      <w:rPr>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EE5A3B"/>
    <w:multiLevelType w:val="singleLevel"/>
    <w:tmpl w:val="00000000"/>
    <w:lvl w:ilvl="0">
      <w:start w:val="1"/>
      <w:numFmt w:val="lowerRoman"/>
      <w:lvlText w:val="(%1)"/>
      <w:legacy w:legacy="1" w:legacySpace="0" w:legacyIndent="567"/>
      <w:lvlJc w:val="left"/>
      <w:pPr>
        <w:ind w:left="567" w:hanging="567"/>
      </w:pPr>
    </w:lvl>
  </w:abstractNum>
  <w:abstractNum w:abstractNumId="6">
    <w:nsid w:val="09DB544F"/>
    <w:multiLevelType w:val="hybridMultilevel"/>
    <w:tmpl w:val="458A4764"/>
    <w:lvl w:ilvl="0" w:tplc="44DC2916">
      <w:start w:val="1"/>
      <w:numFmt w:val="bullet"/>
      <w:lvlText w:val=""/>
      <w:lvlJc w:val="left"/>
      <w:pPr>
        <w:tabs>
          <w:tab w:val="num" w:pos="1152"/>
        </w:tabs>
        <w:ind w:left="115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B49218A"/>
    <w:multiLevelType w:val="hybridMultilevel"/>
    <w:tmpl w:val="CA8285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0DEA0056"/>
    <w:multiLevelType w:val="hybridMultilevel"/>
    <w:tmpl w:val="0144CDF2"/>
    <w:lvl w:ilvl="0" w:tplc="C0529E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B418C"/>
    <w:multiLevelType w:val="hybridMultilevel"/>
    <w:tmpl w:val="C56A0E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1A1A1352"/>
    <w:multiLevelType w:val="hybridMultilevel"/>
    <w:tmpl w:val="16FE97AA"/>
    <w:lvl w:ilvl="0" w:tplc="E9B09DA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CC4487E"/>
    <w:multiLevelType w:val="multilevel"/>
    <w:tmpl w:val="593A5CAE"/>
    <w:lvl w:ilvl="0">
      <w:start w:val="1"/>
      <w:numFmt w:val="upperRoman"/>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228D466C"/>
    <w:multiLevelType w:val="hybridMultilevel"/>
    <w:tmpl w:val="AB82158E"/>
    <w:lvl w:ilvl="0" w:tplc="0CB8293E">
      <w:start w:val="1"/>
      <w:numFmt w:val="decimal"/>
      <w:lvlText w:val="%1."/>
      <w:lvlJc w:val="left"/>
      <w:pPr>
        <w:tabs>
          <w:tab w:val="num" w:pos="1080"/>
        </w:tabs>
        <w:ind w:left="1080" w:hanging="360"/>
      </w:pPr>
      <w:rPr>
        <w:rFonts w:hint="default"/>
        <w:b w:val="0"/>
        <w:i w:val="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3">
    <w:nsid w:val="239A07EC"/>
    <w:multiLevelType w:val="hybridMultilevel"/>
    <w:tmpl w:val="2FD8E5E6"/>
    <w:lvl w:ilvl="0" w:tplc="E9B09DA6">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5FE34AA"/>
    <w:multiLevelType w:val="hybridMultilevel"/>
    <w:tmpl w:val="55A6153E"/>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nsid w:val="284F1722"/>
    <w:multiLevelType w:val="hybridMultilevel"/>
    <w:tmpl w:val="59F20C70"/>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nsid w:val="34E7403E"/>
    <w:multiLevelType w:val="hybridMultilevel"/>
    <w:tmpl w:val="0D1C647A"/>
    <w:lvl w:ilvl="0" w:tplc="C4C41CB0">
      <w:start w:val="1"/>
      <w:numFmt w:val="decimal"/>
      <w:lvlText w:val="%1."/>
      <w:lvlJc w:val="left"/>
      <w:pPr>
        <w:tabs>
          <w:tab w:val="num" w:pos="1080"/>
        </w:tabs>
        <w:ind w:left="1080" w:hanging="360"/>
      </w:pPr>
      <w:rPr>
        <w:rFonts w:hint="default"/>
        <w:b/>
        <w:u w:val="singl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749738C"/>
    <w:multiLevelType w:val="hybridMultilevel"/>
    <w:tmpl w:val="6476A1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A001EB"/>
    <w:multiLevelType w:val="hybridMultilevel"/>
    <w:tmpl w:val="AD3088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586CF1"/>
    <w:multiLevelType w:val="hybridMultilevel"/>
    <w:tmpl w:val="221C0FEC"/>
    <w:lvl w:ilvl="0" w:tplc="2324741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A6167D2"/>
    <w:multiLevelType w:val="multilevel"/>
    <w:tmpl w:val="6A28231A"/>
    <w:lvl w:ilvl="0">
      <w:start w:val="1"/>
      <w:numFmt w:val="decimal"/>
      <w:lvlText w:val="%1."/>
      <w:lvlJc w:val="left"/>
      <w:pPr>
        <w:ind w:left="360" w:hanging="360"/>
      </w:pPr>
      <w:rPr>
        <w:rFonts w:hint="default"/>
        <w:b/>
        <w:sz w:val="22"/>
        <w:szCs w:val="22"/>
      </w:rPr>
    </w:lvl>
    <w:lvl w:ilvl="1">
      <w:start w:val="1"/>
      <w:numFmt w:val="decimal"/>
      <w:lvlText w:val="%1.%2."/>
      <w:lvlJc w:val="left"/>
      <w:pPr>
        <w:ind w:left="522" w:hanging="432"/>
      </w:pPr>
      <w:rPr>
        <w:b/>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C0B4184"/>
    <w:multiLevelType w:val="hybridMultilevel"/>
    <w:tmpl w:val="A8FE8E64"/>
    <w:lvl w:ilvl="0" w:tplc="A384B0A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761F62AE"/>
    <w:multiLevelType w:val="hybridMultilevel"/>
    <w:tmpl w:val="377AB6A4"/>
    <w:lvl w:ilvl="0" w:tplc="6AE66080">
      <w:start w:val="1"/>
      <w:numFmt w:val="decimal"/>
      <w:lvlText w:val="%1."/>
      <w:lvlJc w:val="left"/>
      <w:pPr>
        <w:tabs>
          <w:tab w:val="num" w:pos="720"/>
        </w:tabs>
        <w:ind w:left="720" w:hanging="360"/>
      </w:pPr>
      <w:rPr>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7965676A"/>
    <w:multiLevelType w:val="hybridMultilevel"/>
    <w:tmpl w:val="F6C48420"/>
    <w:lvl w:ilvl="0" w:tplc="C93EE1B2">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B25072"/>
    <w:multiLevelType w:val="hybridMultilevel"/>
    <w:tmpl w:val="39E20194"/>
    <w:lvl w:ilvl="0" w:tplc="B748E63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F5F31C3"/>
    <w:multiLevelType w:val="hybridMultilevel"/>
    <w:tmpl w:val="A3EE4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22"/>
  </w:num>
  <w:num w:numId="4">
    <w:abstractNumId w:val="12"/>
  </w:num>
  <w:num w:numId="5">
    <w:abstractNumId w:val="16"/>
  </w:num>
  <w:num w:numId="6">
    <w:abstractNumId w:val="9"/>
  </w:num>
  <w:num w:numId="7">
    <w:abstractNumId w:val="21"/>
  </w:num>
  <w:num w:numId="8">
    <w:abstractNumId w:val="7"/>
  </w:num>
  <w:num w:numId="9">
    <w:abstractNumId w:val="5"/>
  </w:num>
  <w:num w:numId="10">
    <w:abstractNumId w:val="1"/>
  </w:num>
  <w:num w:numId="11">
    <w:abstractNumId w:val="6"/>
  </w:num>
  <w:num w:numId="12">
    <w:abstractNumId w:val="4"/>
  </w:num>
  <w:num w:numId="13">
    <w:abstractNumId w:val="11"/>
  </w:num>
  <w:num w:numId="14">
    <w:abstractNumId w:val="24"/>
  </w:num>
  <w:num w:numId="15">
    <w:abstractNumId w:val="3"/>
  </w:num>
  <w:num w:numId="16">
    <w:abstractNumId w:val="8"/>
  </w:num>
  <w:num w:numId="17">
    <w:abstractNumId w:val="23"/>
  </w:num>
  <w:num w:numId="18">
    <w:abstractNumId w:val="2"/>
  </w:num>
  <w:num w:numId="19">
    <w:abstractNumId w:val="10"/>
  </w:num>
  <w:num w:numId="20">
    <w:abstractNumId w:val="20"/>
  </w:num>
  <w:num w:numId="21">
    <w:abstractNumId w:val="18"/>
  </w:num>
  <w:num w:numId="22">
    <w:abstractNumId w:val="17"/>
  </w:num>
  <w:num w:numId="23">
    <w:abstractNumId w:val="13"/>
  </w:num>
  <w:num w:numId="24">
    <w:abstractNumId w:val="15"/>
  </w:num>
  <w:num w:numId="25">
    <w:abstractNumId w:val="25"/>
  </w:num>
  <w:num w:numId="26">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18434"/>
  </w:hdrShapeDefaults>
  <w:footnotePr>
    <w:footnote w:id="0"/>
    <w:footnote w:id="1"/>
  </w:footnotePr>
  <w:endnotePr>
    <w:endnote w:id="0"/>
    <w:endnote w:id="1"/>
  </w:endnotePr>
  <w:compat/>
  <w:rsids>
    <w:rsidRoot w:val="00BF5A5E"/>
    <w:rsid w:val="00042C4B"/>
    <w:rsid w:val="00053BE4"/>
    <w:rsid w:val="000551FD"/>
    <w:rsid w:val="0005731C"/>
    <w:rsid w:val="00090F2D"/>
    <w:rsid w:val="000C0351"/>
    <w:rsid w:val="000C4F5E"/>
    <w:rsid w:val="000D1A39"/>
    <w:rsid w:val="000E7540"/>
    <w:rsid w:val="001008EF"/>
    <w:rsid w:val="00120CBE"/>
    <w:rsid w:val="001252C0"/>
    <w:rsid w:val="00133D08"/>
    <w:rsid w:val="0013693B"/>
    <w:rsid w:val="00136D5B"/>
    <w:rsid w:val="00144F2E"/>
    <w:rsid w:val="00157575"/>
    <w:rsid w:val="00171302"/>
    <w:rsid w:val="001753CF"/>
    <w:rsid w:val="001A2A27"/>
    <w:rsid w:val="001B4B13"/>
    <w:rsid w:val="001C6069"/>
    <w:rsid w:val="001C74D9"/>
    <w:rsid w:val="001D19AC"/>
    <w:rsid w:val="001E4867"/>
    <w:rsid w:val="001F3F95"/>
    <w:rsid w:val="001F55D3"/>
    <w:rsid w:val="001F6EBC"/>
    <w:rsid w:val="00217D2B"/>
    <w:rsid w:val="00233D87"/>
    <w:rsid w:val="00262774"/>
    <w:rsid w:val="00265FA3"/>
    <w:rsid w:val="002905AF"/>
    <w:rsid w:val="002B62C1"/>
    <w:rsid w:val="002B7BA8"/>
    <w:rsid w:val="002C58CA"/>
    <w:rsid w:val="00305F3D"/>
    <w:rsid w:val="003271BF"/>
    <w:rsid w:val="00357696"/>
    <w:rsid w:val="00366014"/>
    <w:rsid w:val="00374164"/>
    <w:rsid w:val="00374D0F"/>
    <w:rsid w:val="00376305"/>
    <w:rsid w:val="0037729E"/>
    <w:rsid w:val="00377988"/>
    <w:rsid w:val="00385E97"/>
    <w:rsid w:val="003A6E8D"/>
    <w:rsid w:val="003B5595"/>
    <w:rsid w:val="003E5861"/>
    <w:rsid w:val="003F4B80"/>
    <w:rsid w:val="00402129"/>
    <w:rsid w:val="00460D80"/>
    <w:rsid w:val="0048044D"/>
    <w:rsid w:val="00483B1C"/>
    <w:rsid w:val="004A0F15"/>
    <w:rsid w:val="004A2269"/>
    <w:rsid w:val="004F7D08"/>
    <w:rsid w:val="00524EB3"/>
    <w:rsid w:val="00542886"/>
    <w:rsid w:val="00542D53"/>
    <w:rsid w:val="00547D7A"/>
    <w:rsid w:val="00554FBF"/>
    <w:rsid w:val="00564A61"/>
    <w:rsid w:val="0057403F"/>
    <w:rsid w:val="005A123F"/>
    <w:rsid w:val="005A5880"/>
    <w:rsid w:val="005B05D5"/>
    <w:rsid w:val="005C75C3"/>
    <w:rsid w:val="005D6A8F"/>
    <w:rsid w:val="005D6CA1"/>
    <w:rsid w:val="005F71E4"/>
    <w:rsid w:val="006017F7"/>
    <w:rsid w:val="00610AEB"/>
    <w:rsid w:val="006119BB"/>
    <w:rsid w:val="006176E0"/>
    <w:rsid w:val="0062468E"/>
    <w:rsid w:val="00630D8C"/>
    <w:rsid w:val="006553E7"/>
    <w:rsid w:val="0065642F"/>
    <w:rsid w:val="0065714E"/>
    <w:rsid w:val="00661C05"/>
    <w:rsid w:val="00664EBE"/>
    <w:rsid w:val="00682AC7"/>
    <w:rsid w:val="0069354A"/>
    <w:rsid w:val="00694248"/>
    <w:rsid w:val="006A52EF"/>
    <w:rsid w:val="006C183C"/>
    <w:rsid w:val="006D62D7"/>
    <w:rsid w:val="006E0245"/>
    <w:rsid w:val="00701123"/>
    <w:rsid w:val="00702E3D"/>
    <w:rsid w:val="00727E43"/>
    <w:rsid w:val="0073352B"/>
    <w:rsid w:val="00736396"/>
    <w:rsid w:val="00740372"/>
    <w:rsid w:val="007431EA"/>
    <w:rsid w:val="00743F40"/>
    <w:rsid w:val="00747C2A"/>
    <w:rsid w:val="007A69EC"/>
    <w:rsid w:val="00804FF6"/>
    <w:rsid w:val="00807E86"/>
    <w:rsid w:val="00821EC7"/>
    <w:rsid w:val="008269D4"/>
    <w:rsid w:val="00845254"/>
    <w:rsid w:val="00853744"/>
    <w:rsid w:val="00864C66"/>
    <w:rsid w:val="00872C02"/>
    <w:rsid w:val="00894065"/>
    <w:rsid w:val="00897518"/>
    <w:rsid w:val="00897DEA"/>
    <w:rsid w:val="008A726E"/>
    <w:rsid w:val="008D6CB4"/>
    <w:rsid w:val="008E17AD"/>
    <w:rsid w:val="008E7C5B"/>
    <w:rsid w:val="00903E0D"/>
    <w:rsid w:val="00932CA0"/>
    <w:rsid w:val="0093419B"/>
    <w:rsid w:val="00943BD2"/>
    <w:rsid w:val="0096584B"/>
    <w:rsid w:val="00973827"/>
    <w:rsid w:val="009A2AA5"/>
    <w:rsid w:val="009B0FA1"/>
    <w:rsid w:val="009D13F8"/>
    <w:rsid w:val="009F2FF6"/>
    <w:rsid w:val="009F4179"/>
    <w:rsid w:val="00A010CF"/>
    <w:rsid w:val="00A05BF2"/>
    <w:rsid w:val="00A11909"/>
    <w:rsid w:val="00A1304E"/>
    <w:rsid w:val="00A47D5A"/>
    <w:rsid w:val="00A5215F"/>
    <w:rsid w:val="00A545E2"/>
    <w:rsid w:val="00A5756C"/>
    <w:rsid w:val="00A70400"/>
    <w:rsid w:val="00A90AED"/>
    <w:rsid w:val="00A963DA"/>
    <w:rsid w:val="00AA134C"/>
    <w:rsid w:val="00AB6C37"/>
    <w:rsid w:val="00AC2F9F"/>
    <w:rsid w:val="00B25D6F"/>
    <w:rsid w:val="00B33AF0"/>
    <w:rsid w:val="00B34F49"/>
    <w:rsid w:val="00B43619"/>
    <w:rsid w:val="00B5050B"/>
    <w:rsid w:val="00B5616B"/>
    <w:rsid w:val="00B77E6D"/>
    <w:rsid w:val="00BB1FA1"/>
    <w:rsid w:val="00BD2B79"/>
    <w:rsid w:val="00BD7F73"/>
    <w:rsid w:val="00BF5A5E"/>
    <w:rsid w:val="00C2753F"/>
    <w:rsid w:val="00C31767"/>
    <w:rsid w:val="00C44EE3"/>
    <w:rsid w:val="00C91AF0"/>
    <w:rsid w:val="00C9210C"/>
    <w:rsid w:val="00C94E19"/>
    <w:rsid w:val="00CA6C7A"/>
    <w:rsid w:val="00CD1B91"/>
    <w:rsid w:val="00CD3971"/>
    <w:rsid w:val="00CF019D"/>
    <w:rsid w:val="00CF7142"/>
    <w:rsid w:val="00D01244"/>
    <w:rsid w:val="00D10A59"/>
    <w:rsid w:val="00D34BCB"/>
    <w:rsid w:val="00D4162B"/>
    <w:rsid w:val="00D53A42"/>
    <w:rsid w:val="00D559C9"/>
    <w:rsid w:val="00D6143C"/>
    <w:rsid w:val="00D8527B"/>
    <w:rsid w:val="00D86820"/>
    <w:rsid w:val="00DD3BCC"/>
    <w:rsid w:val="00DE3859"/>
    <w:rsid w:val="00DF54BC"/>
    <w:rsid w:val="00E07AE5"/>
    <w:rsid w:val="00E23948"/>
    <w:rsid w:val="00E24363"/>
    <w:rsid w:val="00E30287"/>
    <w:rsid w:val="00E82367"/>
    <w:rsid w:val="00EB3587"/>
    <w:rsid w:val="00EC551F"/>
    <w:rsid w:val="00EC5ADE"/>
    <w:rsid w:val="00EF71FA"/>
    <w:rsid w:val="00F06133"/>
    <w:rsid w:val="00F2003D"/>
    <w:rsid w:val="00F50C29"/>
    <w:rsid w:val="00F95D3E"/>
    <w:rsid w:val="00FA5971"/>
    <w:rsid w:val="00FC3048"/>
    <w:rsid w:val="00FD7C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semiHidden="0" w:uiPriority="35" w:unhideWhenUsed="0"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CI-Normal"/>
    <w:qFormat/>
    <w:rsid w:val="00661C05"/>
    <w:pPr>
      <w:tabs>
        <w:tab w:val="left" w:pos="1134"/>
      </w:tabs>
      <w:jc w:val="both"/>
    </w:pPr>
    <w:rPr>
      <w:sz w:val="23"/>
      <w:lang w:val="en-GB" w:eastAsia="en-GB"/>
    </w:rPr>
  </w:style>
  <w:style w:type="paragraph" w:styleId="Heading1">
    <w:name w:val="heading 1"/>
    <w:aliases w:val=" "/>
    <w:basedOn w:val="Normal"/>
    <w:next w:val="Normal"/>
    <w:qFormat/>
    <w:rsid w:val="00661C05"/>
    <w:pPr>
      <w:keepNext/>
      <w:numPr>
        <w:numId w:val="1"/>
      </w:numPr>
      <w:spacing w:before="120" w:after="480"/>
      <w:jc w:val="center"/>
      <w:outlineLvl w:val="0"/>
    </w:pPr>
    <w:rPr>
      <w:rFonts w:ascii="Univers (W1)" w:hAnsi="Univers (W1)"/>
      <w:b/>
      <w:caps/>
      <w:kern w:val="28"/>
      <w:sz w:val="28"/>
    </w:rPr>
  </w:style>
  <w:style w:type="paragraph" w:styleId="Heading2">
    <w:name w:val="heading 2"/>
    <w:aliases w:val="Paranum"/>
    <w:basedOn w:val="Normal"/>
    <w:next w:val="Normal"/>
    <w:qFormat/>
    <w:rsid w:val="00661C05"/>
    <w:pPr>
      <w:numPr>
        <w:ilvl w:val="1"/>
        <w:numId w:val="1"/>
      </w:numPr>
      <w:spacing w:after="240"/>
      <w:outlineLvl w:val="1"/>
    </w:pPr>
  </w:style>
  <w:style w:type="paragraph" w:styleId="Heading3">
    <w:name w:val="heading 3"/>
    <w:aliases w:val=" Centered,Centered"/>
    <w:basedOn w:val="Normal"/>
    <w:next w:val="Normal"/>
    <w:qFormat/>
    <w:rsid w:val="00661C05"/>
    <w:pPr>
      <w:keepNext/>
      <w:numPr>
        <w:ilvl w:val="2"/>
        <w:numId w:val="1"/>
      </w:numPr>
      <w:spacing w:before="120" w:after="240"/>
      <w:jc w:val="center"/>
      <w:outlineLvl w:val="2"/>
    </w:pPr>
    <w:rPr>
      <w:b/>
    </w:rPr>
  </w:style>
  <w:style w:type="paragraph" w:styleId="Heading4">
    <w:name w:val="heading 4"/>
    <w:aliases w:val="Centred"/>
    <w:basedOn w:val="Normal"/>
    <w:next w:val="Normal"/>
    <w:qFormat/>
    <w:rsid w:val="00661C05"/>
    <w:pPr>
      <w:keepNext/>
      <w:numPr>
        <w:ilvl w:val="3"/>
        <w:numId w:val="1"/>
      </w:numPr>
      <w:spacing w:before="120" w:after="240"/>
      <w:jc w:val="center"/>
      <w:outlineLvl w:val="3"/>
    </w:pPr>
    <w:rPr>
      <w:b/>
    </w:rPr>
  </w:style>
  <w:style w:type="paragraph" w:styleId="Heading5">
    <w:name w:val="heading 5"/>
    <w:aliases w:val=" Side,Side"/>
    <w:basedOn w:val="Normal"/>
    <w:next w:val="Normal"/>
    <w:qFormat/>
    <w:rsid w:val="00661C05"/>
    <w:pPr>
      <w:numPr>
        <w:ilvl w:val="4"/>
        <w:numId w:val="1"/>
      </w:numPr>
      <w:spacing w:before="120" w:after="240"/>
      <w:jc w:val="left"/>
      <w:outlineLvl w:val="4"/>
    </w:pPr>
    <w:rPr>
      <w:rFonts w:ascii="Times New Roman Bold" w:hAnsi="Times New Roman Bold"/>
      <w:b/>
    </w:rPr>
  </w:style>
  <w:style w:type="paragraph" w:styleId="Heading6">
    <w:name w:val="heading 6"/>
    <w:basedOn w:val="Normal"/>
    <w:next w:val="Normal"/>
    <w:qFormat/>
    <w:rsid w:val="00661C05"/>
    <w:pPr>
      <w:numPr>
        <w:ilvl w:val="5"/>
        <w:numId w:val="1"/>
      </w:numPr>
      <w:spacing w:before="240" w:after="60"/>
      <w:ind w:left="1134"/>
      <w:outlineLvl w:val="5"/>
    </w:pPr>
    <w:rPr>
      <w:rFonts w:ascii="Arial" w:hAnsi="Arial"/>
      <w:i/>
      <w:sz w:val="22"/>
    </w:rPr>
  </w:style>
  <w:style w:type="paragraph" w:styleId="Heading7">
    <w:name w:val="heading 7"/>
    <w:basedOn w:val="Normal"/>
    <w:next w:val="Normal"/>
    <w:qFormat/>
    <w:rsid w:val="00661C05"/>
    <w:pPr>
      <w:numPr>
        <w:ilvl w:val="6"/>
        <w:numId w:val="1"/>
      </w:numPr>
      <w:spacing w:before="240" w:after="60"/>
      <w:ind w:left="1134"/>
      <w:outlineLvl w:val="6"/>
    </w:pPr>
    <w:rPr>
      <w:rFonts w:ascii="Arial" w:hAnsi="Arial"/>
      <w:sz w:val="20"/>
    </w:rPr>
  </w:style>
  <w:style w:type="paragraph" w:styleId="Heading8">
    <w:name w:val="heading 8"/>
    <w:basedOn w:val="Normal"/>
    <w:next w:val="Normal"/>
    <w:qFormat/>
    <w:rsid w:val="00661C05"/>
    <w:pPr>
      <w:numPr>
        <w:ilvl w:val="7"/>
        <w:numId w:val="1"/>
      </w:numPr>
      <w:spacing w:before="240" w:after="60"/>
      <w:ind w:left="1134"/>
      <w:outlineLvl w:val="7"/>
    </w:pPr>
    <w:rPr>
      <w:rFonts w:ascii="Arial" w:hAnsi="Arial"/>
      <w:i/>
      <w:sz w:val="20"/>
    </w:rPr>
  </w:style>
  <w:style w:type="paragraph" w:styleId="Heading9">
    <w:name w:val="heading 9"/>
    <w:basedOn w:val="Normal"/>
    <w:next w:val="Normal"/>
    <w:qFormat/>
    <w:rsid w:val="00661C05"/>
    <w:pPr>
      <w:numPr>
        <w:ilvl w:val="8"/>
        <w:numId w:val="1"/>
      </w:numPr>
      <w:spacing w:before="240" w:after="60"/>
      <w:ind w:left="1134"/>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rsid w:val="00661C05"/>
    <w:pPr>
      <w:tabs>
        <w:tab w:val="left" w:leader="dot" w:pos="1134"/>
        <w:tab w:val="right" w:leader="dot" w:pos="9071"/>
      </w:tabs>
      <w:spacing w:before="360"/>
      <w:jc w:val="left"/>
    </w:pPr>
    <w:rPr>
      <w:rFonts w:ascii="Times New Roman Bold" w:hAnsi="Times New Roman Bold"/>
      <w:b/>
      <w:caps/>
    </w:rPr>
  </w:style>
  <w:style w:type="paragraph" w:styleId="TOC2">
    <w:name w:val="toc 2"/>
    <w:basedOn w:val="Normal"/>
    <w:next w:val="Normal"/>
    <w:semiHidden/>
    <w:rsid w:val="00661C05"/>
    <w:pPr>
      <w:tabs>
        <w:tab w:val="clear" w:pos="1134"/>
        <w:tab w:val="right" w:leader="dot" w:pos="9071"/>
      </w:tabs>
      <w:ind w:left="567"/>
      <w:jc w:val="left"/>
    </w:pPr>
    <w:rPr>
      <w:rFonts w:ascii="Times New Roman Bold" w:hAnsi="Times New Roman Bold"/>
      <w:b/>
    </w:rPr>
  </w:style>
  <w:style w:type="paragraph" w:styleId="FootnoteText">
    <w:name w:val="footnote text"/>
    <w:aliases w:val="f,single space,footnote text,fn,FOOTNOTES,ft,Geneva 9,Font: Geneva 9,Boston 10,Footnote Text Char Char Char Char Char Char,Footnote Text Char Char Char Char1,Footnote Text Char Char Char Char Char1,Footnote Text Char Char Char Char Char"/>
    <w:basedOn w:val="Normal"/>
    <w:link w:val="FootnoteTextChar"/>
    <w:rsid w:val="00661C05"/>
    <w:pPr>
      <w:ind w:left="284" w:hanging="284"/>
    </w:pPr>
    <w:rPr>
      <w:sz w:val="20"/>
    </w:rPr>
  </w:style>
  <w:style w:type="paragraph" w:styleId="TOC3">
    <w:name w:val="toc 3"/>
    <w:basedOn w:val="Normal"/>
    <w:next w:val="Normal"/>
    <w:semiHidden/>
    <w:rsid w:val="00661C05"/>
    <w:pPr>
      <w:tabs>
        <w:tab w:val="clear" w:pos="1134"/>
        <w:tab w:val="right" w:leader="dot" w:pos="9071"/>
      </w:tabs>
      <w:ind w:left="1134"/>
      <w:jc w:val="left"/>
    </w:pPr>
    <w:rPr>
      <w:rFonts w:ascii="Times New Roman Bold" w:hAnsi="Times New Roman Bold"/>
      <w:b/>
    </w:rPr>
  </w:style>
  <w:style w:type="paragraph" w:styleId="TOC4">
    <w:name w:val="toc 4"/>
    <w:basedOn w:val="Normal"/>
    <w:next w:val="Normal"/>
    <w:semiHidden/>
    <w:rsid w:val="00661C05"/>
    <w:pPr>
      <w:tabs>
        <w:tab w:val="clear" w:pos="1134"/>
        <w:tab w:val="right" w:leader="dot" w:pos="9071"/>
      </w:tabs>
      <w:ind w:left="720"/>
      <w:jc w:val="left"/>
    </w:pPr>
  </w:style>
  <w:style w:type="paragraph" w:styleId="Header">
    <w:name w:val="header"/>
    <w:aliases w:val=" Char Char Char, Char Char"/>
    <w:basedOn w:val="Normal"/>
    <w:link w:val="HeaderChar"/>
    <w:rsid w:val="00661C05"/>
    <w:pPr>
      <w:tabs>
        <w:tab w:val="center" w:pos="4320"/>
        <w:tab w:val="right" w:pos="8640"/>
      </w:tabs>
    </w:pPr>
    <w:rPr>
      <w:sz w:val="16"/>
    </w:rPr>
  </w:style>
  <w:style w:type="paragraph" w:customStyle="1" w:styleId="Indenteda">
    <w:name w:val="Indented (a)"/>
    <w:basedOn w:val="Normal"/>
    <w:rsid w:val="00661C05"/>
    <w:pPr>
      <w:spacing w:after="240"/>
      <w:ind w:left="1701" w:hanging="567"/>
    </w:pPr>
  </w:style>
  <w:style w:type="character" w:styleId="FootnoteReference">
    <w:name w:val="footnote reference"/>
    <w:aliases w:val="ftref,Error-Fußnotenzeichen5,Error-Fußnotenzeichen6,Error-Fußnotenzeichen3,de nota al pie,Ref,FnR-ANZDEC,(NECG) Footnote Reference,fr,16 Point,Superscript 6 Point,Footnote Ref in FtNote,SUPERS,Fußnotenzeichen DISS"/>
    <w:basedOn w:val="DefaultParagraphFont"/>
    <w:rsid w:val="00661C05"/>
    <w:rPr>
      <w:vertAlign w:val="superscript"/>
    </w:rPr>
  </w:style>
  <w:style w:type="paragraph" w:styleId="Footer">
    <w:name w:val="footer"/>
    <w:basedOn w:val="Normal"/>
    <w:link w:val="FooterChar"/>
    <w:uiPriority w:val="99"/>
    <w:rsid w:val="00661C05"/>
    <w:pPr>
      <w:tabs>
        <w:tab w:val="clear" w:pos="1134"/>
        <w:tab w:val="center" w:pos="4320"/>
        <w:tab w:val="right" w:pos="8640"/>
      </w:tabs>
    </w:pPr>
  </w:style>
  <w:style w:type="character" w:styleId="PageNumber">
    <w:name w:val="page number"/>
    <w:basedOn w:val="DefaultParagraphFont"/>
    <w:rsid w:val="00661C05"/>
  </w:style>
  <w:style w:type="paragraph" w:customStyle="1" w:styleId="BoldCentred">
    <w:name w:val="Bold Centred"/>
    <w:basedOn w:val="Normal"/>
    <w:next w:val="Normal"/>
    <w:rsid w:val="00661C05"/>
    <w:pPr>
      <w:keepNext/>
      <w:spacing w:before="120" w:after="240"/>
      <w:jc w:val="center"/>
    </w:pPr>
    <w:rPr>
      <w:rFonts w:ascii="Times New Roman Bold" w:hAnsi="Times New Roman Bold"/>
      <w:b/>
    </w:rPr>
  </w:style>
  <w:style w:type="paragraph" w:styleId="Title">
    <w:name w:val="Title"/>
    <w:basedOn w:val="Normal"/>
    <w:link w:val="TitleChar"/>
    <w:qFormat/>
    <w:rsid w:val="00661C05"/>
    <w:pPr>
      <w:spacing w:before="240" w:after="60"/>
      <w:jc w:val="center"/>
    </w:pPr>
    <w:rPr>
      <w:rFonts w:ascii="Univers (W1)" w:hAnsi="Univers (W1)"/>
      <w:b/>
      <w:kern w:val="28"/>
      <w:sz w:val="28"/>
    </w:rPr>
  </w:style>
  <w:style w:type="character" w:customStyle="1" w:styleId="TitleChar">
    <w:name w:val="Title Char"/>
    <w:link w:val="Title"/>
    <w:rsid w:val="00233D87"/>
    <w:rPr>
      <w:rFonts w:ascii="Univers (W1)" w:hAnsi="Univers (W1)"/>
      <w:b/>
      <w:kern w:val="28"/>
      <w:sz w:val="28"/>
      <w:lang w:val="en-GB" w:eastAsia="en-GB" w:bidi="ar-SA"/>
    </w:rPr>
  </w:style>
  <w:style w:type="paragraph" w:styleId="BodyText">
    <w:name w:val="Body Text"/>
    <w:basedOn w:val="Normal"/>
    <w:rsid w:val="00661C05"/>
    <w:pPr>
      <w:tabs>
        <w:tab w:val="clear" w:pos="1134"/>
      </w:tabs>
      <w:spacing w:after="220" w:line="180" w:lineRule="atLeast"/>
    </w:pPr>
    <w:rPr>
      <w:rFonts w:ascii="Arial" w:hAnsi="Arial"/>
      <w:spacing w:val="-5"/>
      <w:sz w:val="20"/>
    </w:rPr>
  </w:style>
  <w:style w:type="paragraph" w:styleId="TOC5">
    <w:name w:val="toc 5"/>
    <w:basedOn w:val="Normal"/>
    <w:next w:val="Normal"/>
    <w:semiHidden/>
    <w:rsid w:val="00661C05"/>
    <w:pPr>
      <w:tabs>
        <w:tab w:val="clear" w:pos="1134"/>
        <w:tab w:val="right" w:leader="dot" w:pos="9071"/>
      </w:tabs>
      <w:ind w:left="920"/>
    </w:pPr>
  </w:style>
  <w:style w:type="paragraph" w:styleId="TOC6">
    <w:name w:val="toc 6"/>
    <w:basedOn w:val="Normal"/>
    <w:next w:val="Normal"/>
    <w:semiHidden/>
    <w:rsid w:val="00661C05"/>
    <w:pPr>
      <w:tabs>
        <w:tab w:val="clear" w:pos="1134"/>
        <w:tab w:val="right" w:leader="dot" w:pos="9071"/>
      </w:tabs>
      <w:ind w:left="1151"/>
    </w:pPr>
  </w:style>
  <w:style w:type="paragraph" w:styleId="MessageHeader">
    <w:name w:val="Message Header"/>
    <w:basedOn w:val="BodyText"/>
    <w:rsid w:val="00661C05"/>
    <w:pPr>
      <w:keepLines/>
      <w:spacing w:after="120"/>
      <w:ind w:left="720" w:hanging="720"/>
      <w:jc w:val="left"/>
    </w:pPr>
  </w:style>
  <w:style w:type="paragraph" w:customStyle="1" w:styleId="MessageHeaderFirst">
    <w:name w:val="Message Header First"/>
    <w:basedOn w:val="MessageHeader"/>
    <w:next w:val="MessageHeader"/>
    <w:rsid w:val="00661C05"/>
    <w:pPr>
      <w:spacing w:before="220"/>
    </w:pPr>
  </w:style>
  <w:style w:type="character" w:customStyle="1" w:styleId="MessageHeaderLabel">
    <w:name w:val="Message Header Label"/>
    <w:rsid w:val="00661C05"/>
    <w:rPr>
      <w:rFonts w:ascii="Arial Black" w:hAnsi="Arial Black"/>
      <w:spacing w:val="-10"/>
      <w:sz w:val="18"/>
    </w:rPr>
  </w:style>
  <w:style w:type="paragraph" w:customStyle="1" w:styleId="MessageHeaderLast">
    <w:name w:val="Message Header Last"/>
    <w:basedOn w:val="MessageHeader"/>
    <w:next w:val="BodyText"/>
    <w:rsid w:val="00661C05"/>
    <w:pPr>
      <w:pBdr>
        <w:bottom w:val="single" w:sz="6" w:space="15" w:color="auto"/>
      </w:pBdr>
      <w:spacing w:after="320"/>
    </w:pPr>
  </w:style>
  <w:style w:type="character" w:styleId="CommentReference">
    <w:name w:val="annotation reference"/>
    <w:basedOn w:val="DefaultParagraphFont"/>
    <w:semiHidden/>
    <w:rsid w:val="00661C05"/>
    <w:rPr>
      <w:sz w:val="16"/>
    </w:rPr>
  </w:style>
  <w:style w:type="paragraph" w:styleId="CommentText">
    <w:name w:val="annotation text"/>
    <w:basedOn w:val="Normal"/>
    <w:semiHidden/>
    <w:rsid w:val="00661C05"/>
    <w:rPr>
      <w:sz w:val="20"/>
    </w:rPr>
  </w:style>
  <w:style w:type="paragraph" w:styleId="BalloonText">
    <w:name w:val="Balloon Text"/>
    <w:basedOn w:val="Normal"/>
    <w:link w:val="BalloonTextChar"/>
    <w:uiPriority w:val="99"/>
    <w:semiHidden/>
    <w:rsid w:val="00661C05"/>
    <w:rPr>
      <w:rFonts w:ascii="Tahoma" w:hAnsi="Tahoma" w:cs="Tahoma"/>
      <w:sz w:val="16"/>
      <w:szCs w:val="16"/>
    </w:rPr>
  </w:style>
  <w:style w:type="character" w:customStyle="1" w:styleId="StyleTimesNewRoman">
    <w:name w:val="Style Times New Roman"/>
    <w:basedOn w:val="DefaultParagraphFont"/>
    <w:rsid w:val="00E23948"/>
    <w:rPr>
      <w:rFonts w:ascii="Times New Roman" w:hAnsi="Times New Roman"/>
      <w:sz w:val="24"/>
    </w:rPr>
  </w:style>
  <w:style w:type="paragraph" w:customStyle="1" w:styleId="ColorfulList-Accent11">
    <w:name w:val="Colorful List - Accent 11"/>
    <w:basedOn w:val="Normal"/>
    <w:qFormat/>
    <w:rsid w:val="00547D7A"/>
    <w:pPr>
      <w:tabs>
        <w:tab w:val="clear" w:pos="1134"/>
      </w:tabs>
      <w:ind w:left="720"/>
      <w:contextualSpacing/>
      <w:jc w:val="left"/>
    </w:pPr>
    <w:rPr>
      <w:sz w:val="22"/>
    </w:rPr>
  </w:style>
  <w:style w:type="paragraph" w:customStyle="1" w:styleId="NormalWeb1">
    <w:name w:val="Normal (Web)1"/>
    <w:basedOn w:val="Normal"/>
    <w:rsid w:val="00233D87"/>
    <w:pPr>
      <w:tabs>
        <w:tab w:val="clear" w:pos="1134"/>
      </w:tabs>
      <w:jc w:val="left"/>
    </w:pPr>
    <w:rPr>
      <w:sz w:val="24"/>
      <w:szCs w:val="24"/>
      <w:lang w:val="en-US" w:eastAsia="en-US" w:bidi="ta-IN"/>
    </w:rPr>
  </w:style>
  <w:style w:type="paragraph" w:customStyle="1" w:styleId="Normal1">
    <w:name w:val="Normal1"/>
    <w:basedOn w:val="Normal"/>
    <w:rsid w:val="00233D87"/>
    <w:pPr>
      <w:tabs>
        <w:tab w:val="clear" w:pos="1134"/>
      </w:tabs>
      <w:jc w:val="left"/>
    </w:pPr>
    <w:rPr>
      <w:sz w:val="24"/>
      <w:szCs w:val="24"/>
      <w:lang w:val="en-US" w:eastAsia="en-US" w:bidi="ta-IN"/>
    </w:rPr>
  </w:style>
  <w:style w:type="character" w:customStyle="1" w:styleId="FootnoteTextChar">
    <w:name w:val="Footnote Text Char"/>
    <w:aliases w:val="f Char,single space Char,footnote text Char,fn Char,FOOTNOTES Char,ft Char,Geneva 9 Char,Font: Geneva 9 Char,Boston 10 Char,Footnote Text Char Char Char Char Char Char Char,Footnote Text Char Char Char Char1 Char"/>
    <w:basedOn w:val="DefaultParagraphFont"/>
    <w:link w:val="FootnoteText"/>
    <w:rsid w:val="00C94E19"/>
    <w:rPr>
      <w:lang w:val="en-GB" w:eastAsia="en-GB" w:bidi="ar-SA"/>
    </w:rPr>
  </w:style>
  <w:style w:type="paragraph" w:styleId="ListParagraph">
    <w:name w:val="List Paragraph"/>
    <w:aliases w:val="List_Paragraph,Multilevel para_II,List Paragraph1"/>
    <w:basedOn w:val="Normal"/>
    <w:link w:val="ListParagraphChar"/>
    <w:uiPriority w:val="34"/>
    <w:qFormat/>
    <w:rsid w:val="00C94E19"/>
    <w:pPr>
      <w:tabs>
        <w:tab w:val="clear" w:pos="1134"/>
      </w:tabs>
      <w:ind w:left="720"/>
      <w:jc w:val="left"/>
    </w:pPr>
    <w:rPr>
      <w:rFonts w:eastAsia="Calibri"/>
      <w:sz w:val="24"/>
      <w:szCs w:val="24"/>
      <w:lang w:val="en-US" w:eastAsia="en-US"/>
    </w:rPr>
  </w:style>
  <w:style w:type="paragraph" w:styleId="Caption">
    <w:name w:val="caption"/>
    <w:basedOn w:val="Normal"/>
    <w:next w:val="Normal"/>
    <w:qFormat/>
    <w:rsid w:val="00C94E19"/>
    <w:pPr>
      <w:tabs>
        <w:tab w:val="clear" w:pos="1134"/>
      </w:tabs>
      <w:spacing w:before="120" w:after="120"/>
      <w:jc w:val="left"/>
    </w:pPr>
    <w:rPr>
      <w:b/>
      <w:bCs/>
      <w:sz w:val="20"/>
      <w:lang w:val="en-US" w:eastAsia="en-US"/>
    </w:rPr>
  </w:style>
  <w:style w:type="character" w:customStyle="1" w:styleId="ListParagraphChar">
    <w:name w:val="List Paragraph Char"/>
    <w:aliases w:val="List_Paragraph Char,Multilevel para_II Char,List Paragraph1 Char"/>
    <w:basedOn w:val="DefaultParagraphFont"/>
    <w:link w:val="ListParagraph"/>
    <w:uiPriority w:val="34"/>
    <w:rsid w:val="009B0FA1"/>
    <w:rPr>
      <w:rFonts w:eastAsia="Calibri"/>
      <w:sz w:val="24"/>
      <w:szCs w:val="24"/>
    </w:rPr>
  </w:style>
  <w:style w:type="paragraph" w:customStyle="1" w:styleId="Default">
    <w:name w:val="Default"/>
    <w:rsid w:val="00D53A42"/>
    <w:pPr>
      <w:widowControl w:val="0"/>
      <w:autoSpaceDE w:val="0"/>
      <w:autoSpaceDN w:val="0"/>
      <w:adjustRightInd w:val="0"/>
    </w:pPr>
    <w:rPr>
      <w:rFonts w:ascii="Arial" w:hAnsi="Arial" w:cs="Arial"/>
      <w:color w:val="000000"/>
      <w:sz w:val="24"/>
      <w:szCs w:val="24"/>
    </w:rPr>
  </w:style>
  <w:style w:type="character" w:customStyle="1" w:styleId="BalloonTextChar">
    <w:name w:val="Balloon Text Char"/>
    <w:basedOn w:val="DefaultParagraphFont"/>
    <w:link w:val="BalloonText"/>
    <w:uiPriority w:val="99"/>
    <w:semiHidden/>
    <w:rsid w:val="00A47D5A"/>
    <w:rPr>
      <w:rFonts w:ascii="Tahoma" w:hAnsi="Tahoma" w:cs="Tahoma"/>
      <w:sz w:val="16"/>
      <w:szCs w:val="16"/>
      <w:lang w:val="en-GB" w:eastAsia="en-GB"/>
    </w:rPr>
  </w:style>
  <w:style w:type="character" w:customStyle="1" w:styleId="HeaderChar">
    <w:name w:val="Header Char"/>
    <w:aliases w:val=" Char Char Char Char, Char Char Char1"/>
    <w:basedOn w:val="DefaultParagraphFont"/>
    <w:link w:val="Header"/>
    <w:rsid w:val="00A47D5A"/>
    <w:rPr>
      <w:sz w:val="16"/>
      <w:lang w:val="en-GB" w:eastAsia="en-GB"/>
    </w:rPr>
  </w:style>
  <w:style w:type="character" w:customStyle="1" w:styleId="FooterChar">
    <w:name w:val="Footer Char"/>
    <w:basedOn w:val="DefaultParagraphFont"/>
    <w:link w:val="Footer"/>
    <w:uiPriority w:val="99"/>
    <w:rsid w:val="00542D53"/>
    <w:rPr>
      <w:sz w:val="23"/>
      <w:lang w:val="en-GB" w:eastAsia="en-GB"/>
    </w:rPr>
  </w:style>
</w:styles>
</file>

<file path=word/webSettings.xml><?xml version="1.0" encoding="utf-8"?>
<w:webSettings xmlns:r="http://schemas.openxmlformats.org/officeDocument/2006/relationships" xmlns:w="http://schemas.openxmlformats.org/wordprocessingml/2006/main">
  <w:divs>
    <w:div w:id="7944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RP\template\tci\TCI-assignment-Report.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E:\WORLD%20BANK\MORE%20STATES\NDSP\NDSP%20EFA%20JUNE%2024%202011\IMPACTS\EFA%20Analysis%20Model-2%20MAR%2010.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WORLD%20BANK\MORE%20STATES\NDSP\NDSP%20EFA%20JUNE%202011\IMPACTS\Impact%20of%20NDSP%20as%20on%207.6.1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WORLD%20BANK\MORE%20STATES\NDSP\NDSP%20EFA%20JUNE%202011\IMPACTS\EFA%20Analysis%20Model-2%20MAR%2010.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WORLD%20BANK\MORE%20STATES\NDSP\NDSP%20EFA%20JUNE%2024%202011\IMPACTS\NDSP%20Risk%20Model%2024062011.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lgn="l">
              <a:defRPr b="0"/>
            </a:pPr>
            <a:r>
              <a:rPr lang="en-US" sz="700" b="0" baseline="0"/>
              <a:t>Fig.1 NDSP Milk Productivity Impacts by Sources (kg/day)</a:t>
            </a:r>
          </a:p>
        </c:rich>
      </c:tx>
      <c:layout>
        <c:manualLayout>
          <c:xMode val="edge"/>
          <c:yMode val="edge"/>
          <c:x val="0.17569530502439487"/>
          <c:y val="0.87303055613749081"/>
        </c:manualLayout>
      </c:layout>
      <c:spPr>
        <a:ln>
          <a:noFill/>
        </a:ln>
      </c:spPr>
    </c:title>
    <c:plotArea>
      <c:layout>
        <c:manualLayout>
          <c:layoutTarget val="inner"/>
          <c:xMode val="edge"/>
          <c:yMode val="edge"/>
          <c:x val="0.10539129387075682"/>
          <c:y val="6.5173884514435856E-2"/>
          <c:w val="0.87195503097240312"/>
          <c:h val="0.62053021150134013"/>
        </c:manualLayout>
      </c:layout>
      <c:barChart>
        <c:barDir val="col"/>
        <c:grouping val="stacked"/>
        <c:ser>
          <c:idx val="0"/>
          <c:order val="0"/>
          <c:tx>
            <c:strRef>
              <c:f>'Impact Fig'!$H$3</c:f>
              <c:strCache>
                <c:ptCount val="1"/>
                <c:pt idx="0">
                  <c:v>Base Level</c:v>
                </c:pt>
              </c:strCache>
            </c:strRef>
          </c:tx>
          <c:spPr>
            <a:solidFill>
              <a:srgbClr val="33CC33"/>
            </a:solidFill>
          </c:spPr>
          <c:cat>
            <c:strRef>
              <c:f>'Impact Fig'!$I$2:$M$2</c:f>
              <c:strCache>
                <c:ptCount val="5"/>
                <c:pt idx="0">
                  <c:v>WOP (Yr-6)</c:v>
                </c:pt>
                <c:pt idx="1">
                  <c:v>WP (Yr-6)</c:v>
                </c:pt>
                <c:pt idx="2">
                  <c:v>WP (Yr-7)</c:v>
                </c:pt>
                <c:pt idx="3">
                  <c:v>WP (Yr-8)</c:v>
                </c:pt>
                <c:pt idx="4">
                  <c:v>WP (Yr-20)</c:v>
                </c:pt>
              </c:strCache>
            </c:strRef>
          </c:cat>
          <c:val>
            <c:numRef>
              <c:f>'Impact Fig'!$I$3:$M$3</c:f>
              <c:numCache>
                <c:formatCode>0.00</c:formatCode>
                <c:ptCount val="5"/>
                <c:pt idx="0">
                  <c:v>3.9878702125540499</c:v>
                </c:pt>
                <c:pt idx="1">
                  <c:v>3.9878702125540499</c:v>
                </c:pt>
                <c:pt idx="2">
                  <c:v>3.9958459529791233</c:v>
                </c:pt>
                <c:pt idx="3">
                  <c:v>4.0038376448851167</c:v>
                </c:pt>
                <c:pt idx="4">
                  <c:v>4.1009938400668968</c:v>
                </c:pt>
              </c:numCache>
            </c:numRef>
          </c:val>
        </c:ser>
        <c:ser>
          <c:idx val="1"/>
          <c:order val="1"/>
          <c:tx>
            <c:strRef>
              <c:f>'Impact Fig'!$H$4</c:f>
              <c:strCache>
                <c:ptCount val="1"/>
                <c:pt idx="0">
                  <c:v>Pure Genetics</c:v>
                </c:pt>
              </c:strCache>
            </c:strRef>
          </c:tx>
          <c:spPr>
            <a:solidFill>
              <a:schemeClr val="tx1"/>
            </a:solidFill>
          </c:spPr>
          <c:dPt>
            <c:idx val="2"/>
            <c:spPr>
              <a:solidFill>
                <a:schemeClr val="tx1"/>
              </a:solidFill>
              <a:ln>
                <a:noFill/>
              </a:ln>
            </c:spPr>
          </c:dPt>
          <c:cat>
            <c:strRef>
              <c:f>'Impact Fig'!$I$2:$M$2</c:f>
              <c:strCache>
                <c:ptCount val="5"/>
                <c:pt idx="0">
                  <c:v>WOP (Yr-6)</c:v>
                </c:pt>
                <c:pt idx="1">
                  <c:v>WP (Yr-6)</c:v>
                </c:pt>
                <c:pt idx="2">
                  <c:v>WP (Yr-7)</c:v>
                </c:pt>
                <c:pt idx="3">
                  <c:v>WP (Yr-8)</c:v>
                </c:pt>
                <c:pt idx="4">
                  <c:v>WP (Yr-20)</c:v>
                </c:pt>
              </c:strCache>
            </c:strRef>
          </c:cat>
          <c:val>
            <c:numRef>
              <c:f>'Impact Fig'!$I$4:$M$4</c:f>
              <c:numCache>
                <c:formatCode>0.00</c:formatCode>
                <c:ptCount val="5"/>
                <c:pt idx="1">
                  <c:v>0</c:v>
                </c:pt>
                <c:pt idx="2">
                  <c:v>0.49369138020185988</c:v>
                </c:pt>
                <c:pt idx="3">
                  <c:v>0.62551140652806436</c:v>
                </c:pt>
                <c:pt idx="4">
                  <c:v>1.0696748982628526</c:v>
                </c:pt>
              </c:numCache>
            </c:numRef>
          </c:val>
        </c:ser>
        <c:ser>
          <c:idx val="2"/>
          <c:order val="2"/>
          <c:tx>
            <c:strRef>
              <c:f>'Impact Fig'!$H$5</c:f>
              <c:strCache>
                <c:ptCount val="1"/>
                <c:pt idx="0">
                  <c:v>AI Service</c:v>
                </c:pt>
              </c:strCache>
            </c:strRef>
          </c:tx>
          <c:spPr>
            <a:solidFill>
              <a:srgbClr val="00FFFF"/>
            </a:solidFill>
          </c:spPr>
          <c:cat>
            <c:strRef>
              <c:f>'Impact Fig'!$I$2:$M$2</c:f>
              <c:strCache>
                <c:ptCount val="5"/>
                <c:pt idx="0">
                  <c:v>WOP (Yr-6)</c:v>
                </c:pt>
                <c:pt idx="1">
                  <c:v>WP (Yr-6)</c:v>
                </c:pt>
                <c:pt idx="2">
                  <c:v>WP (Yr-7)</c:v>
                </c:pt>
                <c:pt idx="3">
                  <c:v>WP (Yr-8)</c:v>
                </c:pt>
                <c:pt idx="4">
                  <c:v>WP (Yr-20)</c:v>
                </c:pt>
              </c:strCache>
            </c:strRef>
          </c:cat>
          <c:val>
            <c:numRef>
              <c:f>'Impact Fig'!$I$5:$M$5</c:f>
              <c:numCache>
                <c:formatCode>0.00</c:formatCode>
                <c:ptCount val="5"/>
                <c:pt idx="1">
                  <c:v>0</c:v>
                </c:pt>
                <c:pt idx="2">
                  <c:v>0.21335896539162141</c:v>
                </c:pt>
                <c:pt idx="3">
                  <c:v>0.21335896539162141</c:v>
                </c:pt>
                <c:pt idx="4">
                  <c:v>0.21335896539162141</c:v>
                </c:pt>
              </c:numCache>
            </c:numRef>
          </c:val>
        </c:ser>
        <c:ser>
          <c:idx val="3"/>
          <c:order val="3"/>
          <c:tx>
            <c:strRef>
              <c:f>'Impact Fig'!$H$6</c:f>
              <c:strCache>
                <c:ptCount val="1"/>
                <c:pt idx="0">
                  <c:v>Nutrition</c:v>
                </c:pt>
              </c:strCache>
            </c:strRef>
          </c:tx>
          <c:spPr>
            <a:solidFill>
              <a:srgbClr val="FF0000"/>
            </a:solidFill>
          </c:spPr>
          <c:cat>
            <c:strRef>
              <c:f>'Impact Fig'!$I$2:$M$2</c:f>
              <c:strCache>
                <c:ptCount val="5"/>
                <c:pt idx="0">
                  <c:v>WOP (Yr-6)</c:v>
                </c:pt>
                <c:pt idx="1">
                  <c:v>WP (Yr-6)</c:v>
                </c:pt>
                <c:pt idx="2">
                  <c:v>WP (Yr-7)</c:v>
                </c:pt>
                <c:pt idx="3">
                  <c:v>WP (Yr-8)</c:v>
                </c:pt>
                <c:pt idx="4">
                  <c:v>WP (Yr-20)</c:v>
                </c:pt>
              </c:strCache>
            </c:strRef>
          </c:cat>
          <c:val>
            <c:numRef>
              <c:f>'Impact Fig'!$I$6:$M$6</c:f>
              <c:numCache>
                <c:formatCode>0.00</c:formatCode>
                <c:ptCount val="5"/>
                <c:pt idx="1">
                  <c:v>0.40230500000000008</c:v>
                </c:pt>
                <c:pt idx="2">
                  <c:v>0.40230500000000008</c:v>
                </c:pt>
                <c:pt idx="3">
                  <c:v>0.40230500000000008</c:v>
                </c:pt>
                <c:pt idx="4">
                  <c:v>0.40230500000000008</c:v>
                </c:pt>
              </c:numCache>
            </c:numRef>
          </c:val>
        </c:ser>
        <c:gapWidth val="124"/>
        <c:overlap val="25"/>
        <c:axId val="100106624"/>
        <c:axId val="100108928"/>
      </c:barChart>
      <c:catAx>
        <c:axId val="100106624"/>
        <c:scaling>
          <c:orientation val="minMax"/>
        </c:scaling>
        <c:axPos val="b"/>
        <c:majorTickMark val="none"/>
        <c:tickLblPos val="nextTo"/>
        <c:crossAx val="100108928"/>
        <c:crosses val="autoZero"/>
        <c:auto val="1"/>
        <c:lblAlgn val="ctr"/>
        <c:lblOffset val="100"/>
      </c:catAx>
      <c:valAx>
        <c:axId val="100108928"/>
        <c:scaling>
          <c:orientation val="minMax"/>
          <c:max val="7"/>
          <c:min val="3"/>
        </c:scaling>
        <c:axPos val="l"/>
        <c:majorGridlines/>
        <c:numFmt formatCode="0.00" sourceLinked="1"/>
        <c:majorTickMark val="none"/>
        <c:tickLblPos val="nextTo"/>
        <c:crossAx val="100106624"/>
        <c:crosses val="autoZero"/>
        <c:crossBetween val="between"/>
        <c:majorUnit val="1"/>
      </c:valAx>
      <c:spPr>
        <a:ln>
          <a:solidFill>
            <a:srgbClr val="000000"/>
          </a:solidFill>
        </a:ln>
      </c:spPr>
    </c:plotArea>
    <c:legend>
      <c:legendPos val="r"/>
      <c:layout>
        <c:manualLayout>
          <c:xMode val="edge"/>
          <c:yMode val="edge"/>
          <c:x val="0.11089750863743085"/>
          <c:y val="9.4081729367162567E-2"/>
          <c:w val="0.79014377337519148"/>
          <c:h val="0.11264654418197841"/>
        </c:manualLayout>
      </c:layout>
    </c:legend>
    <c:plotVisOnly val="1"/>
  </c:chart>
  <c:spPr>
    <a:ln>
      <a:noFill/>
    </a:ln>
  </c:spPr>
  <c:txPr>
    <a:bodyPr/>
    <a:lstStyle/>
    <a:p>
      <a:pPr>
        <a:defRPr sz="700">
          <a:latin typeface="Times New Roman" pitchFamily="18" charset="0"/>
          <a:cs typeface="Times New Roman" pitchFamily="18" charset="0"/>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700" b="0"/>
            </a:pPr>
            <a:r>
              <a:rPr lang="en-US" sz="700" b="0"/>
              <a:t>Fig.2 NDSP  Incremental Milk Production  (Million tonnes)</a:t>
            </a:r>
          </a:p>
        </c:rich>
      </c:tx>
      <c:layout>
        <c:manualLayout>
          <c:xMode val="edge"/>
          <c:yMode val="edge"/>
          <c:x val="0.12606679054577946"/>
          <c:y val="0.90129402209985365"/>
        </c:manualLayout>
      </c:layout>
    </c:title>
    <c:plotArea>
      <c:layout>
        <c:manualLayout>
          <c:layoutTarget val="inner"/>
          <c:xMode val="edge"/>
          <c:yMode val="edge"/>
          <c:x val="7.4515501046197904E-2"/>
          <c:y val="5.2872380520377162E-2"/>
          <c:w val="0.87222176087521397"/>
          <c:h val="0.64638525987172368"/>
        </c:manualLayout>
      </c:layout>
      <c:areaChart>
        <c:grouping val="stacked"/>
        <c:ser>
          <c:idx val="0"/>
          <c:order val="0"/>
          <c:tx>
            <c:strRef>
              <c:f>'Productivity Analysis'!$B$262</c:f>
              <c:strCache>
                <c:ptCount val="1"/>
                <c:pt idx="0">
                  <c:v>Pure Genetics</c:v>
                </c:pt>
              </c:strCache>
            </c:strRef>
          </c:tx>
          <c:spPr>
            <a:solidFill>
              <a:schemeClr val="tx1"/>
            </a:solidFill>
          </c:spPr>
          <c:cat>
            <c:strRef>
              <c:f>'Productivity Analysis'!$C$261:$V$261</c:f>
              <c:strCache>
                <c:ptCount val="20"/>
                <c:pt idx="0">
                  <c:v>PY-1</c:v>
                </c:pt>
                <c:pt idx="1">
                  <c:v>PY-2</c:v>
                </c:pt>
                <c:pt idx="2">
                  <c:v>PY-3</c:v>
                </c:pt>
                <c:pt idx="3">
                  <c:v>PY-4</c:v>
                </c:pt>
                <c:pt idx="4">
                  <c:v>PY-5</c:v>
                </c:pt>
                <c:pt idx="5">
                  <c:v>PY-6</c:v>
                </c:pt>
                <c:pt idx="6">
                  <c:v>PY-7</c:v>
                </c:pt>
                <c:pt idx="7">
                  <c:v>PY-8</c:v>
                </c:pt>
                <c:pt idx="8">
                  <c:v>PY-9</c:v>
                </c:pt>
                <c:pt idx="9">
                  <c:v>PY-10</c:v>
                </c:pt>
                <c:pt idx="10">
                  <c:v>PY-11</c:v>
                </c:pt>
                <c:pt idx="11">
                  <c:v>PY-12</c:v>
                </c:pt>
                <c:pt idx="12">
                  <c:v>PY-13</c:v>
                </c:pt>
                <c:pt idx="13">
                  <c:v>PY-14</c:v>
                </c:pt>
                <c:pt idx="14">
                  <c:v>PY-15</c:v>
                </c:pt>
                <c:pt idx="15">
                  <c:v>PY-16</c:v>
                </c:pt>
                <c:pt idx="16">
                  <c:v>PY-17</c:v>
                </c:pt>
                <c:pt idx="17">
                  <c:v>PY-18</c:v>
                </c:pt>
                <c:pt idx="18">
                  <c:v>PY-19</c:v>
                </c:pt>
                <c:pt idx="19">
                  <c:v>PY-20</c:v>
                </c:pt>
              </c:strCache>
            </c:strRef>
          </c:cat>
          <c:val>
            <c:numRef>
              <c:f>'Productivity Analysis'!$C$262:$V$262</c:f>
              <c:numCache>
                <c:formatCode>General</c:formatCode>
                <c:ptCount val="20"/>
                <c:pt idx="0" formatCode="0.00">
                  <c:v>0</c:v>
                </c:pt>
                <c:pt idx="1">
                  <c:v>0</c:v>
                </c:pt>
                <c:pt idx="2">
                  <c:v>0</c:v>
                </c:pt>
                <c:pt idx="3">
                  <c:v>0</c:v>
                </c:pt>
                <c:pt idx="4">
                  <c:v>0</c:v>
                </c:pt>
                <c:pt idx="5" formatCode="0.00">
                  <c:v>0</c:v>
                </c:pt>
                <c:pt idx="6" formatCode="0.00">
                  <c:v>2.4441460580023659E-2</c:v>
                </c:pt>
                <c:pt idx="7" formatCode="0.00">
                  <c:v>8.4040326628460268E-2</c:v>
                </c:pt>
                <c:pt idx="8" formatCode="0.00">
                  <c:v>0.1992854211037795</c:v>
                </c:pt>
                <c:pt idx="9" formatCode="0.00">
                  <c:v>0.37532312394609885</c:v>
                </c:pt>
                <c:pt idx="10" formatCode="0.00">
                  <c:v>0.62526956164422598</c:v>
                </c:pt>
                <c:pt idx="11" formatCode="0.00">
                  <c:v>0.91693044174225413</c:v>
                </c:pt>
                <c:pt idx="12" formatCode="0.00">
                  <c:v>1.192828200846922</c:v>
                </c:pt>
                <c:pt idx="13" formatCode="0.00">
                  <c:v>1.4259811398527813</c:v>
                </c:pt>
                <c:pt idx="14" formatCode="0.00">
                  <c:v>1.610448041077936</c:v>
                </c:pt>
                <c:pt idx="15" formatCode="0.00">
                  <c:v>1.733193545971373</c:v>
                </c:pt>
                <c:pt idx="16" formatCode="0.00">
                  <c:v>1.8020939756723269</c:v>
                </c:pt>
                <c:pt idx="17" formatCode="0.00">
                  <c:v>1.8640356760734407</c:v>
                </c:pt>
                <c:pt idx="18" formatCode="0.00">
                  <c:v>1.9256375012214881</c:v>
                </c:pt>
                <c:pt idx="19" formatCode="0.00">
                  <c:v>1.9878215297818165</c:v>
                </c:pt>
              </c:numCache>
            </c:numRef>
          </c:val>
        </c:ser>
        <c:ser>
          <c:idx val="1"/>
          <c:order val="1"/>
          <c:tx>
            <c:strRef>
              <c:f>'Productivity Analysis'!$B$263</c:f>
              <c:strCache>
                <c:ptCount val="1"/>
                <c:pt idx="0">
                  <c:v>AI</c:v>
                </c:pt>
              </c:strCache>
            </c:strRef>
          </c:tx>
          <c:spPr>
            <a:solidFill>
              <a:srgbClr val="00FFFF"/>
            </a:solidFill>
          </c:spPr>
          <c:cat>
            <c:strRef>
              <c:f>'Productivity Analysis'!$C$261:$V$261</c:f>
              <c:strCache>
                <c:ptCount val="20"/>
                <c:pt idx="0">
                  <c:v>PY-1</c:v>
                </c:pt>
                <c:pt idx="1">
                  <c:v>PY-2</c:v>
                </c:pt>
                <c:pt idx="2">
                  <c:v>PY-3</c:v>
                </c:pt>
                <c:pt idx="3">
                  <c:v>PY-4</c:v>
                </c:pt>
                <c:pt idx="4">
                  <c:v>PY-5</c:v>
                </c:pt>
                <c:pt idx="5">
                  <c:v>PY-6</c:v>
                </c:pt>
                <c:pt idx="6">
                  <c:v>PY-7</c:v>
                </c:pt>
                <c:pt idx="7">
                  <c:v>PY-8</c:v>
                </c:pt>
                <c:pt idx="8">
                  <c:v>PY-9</c:v>
                </c:pt>
                <c:pt idx="9">
                  <c:v>PY-10</c:v>
                </c:pt>
                <c:pt idx="10">
                  <c:v>PY-11</c:v>
                </c:pt>
                <c:pt idx="11">
                  <c:v>PY-12</c:v>
                </c:pt>
                <c:pt idx="12">
                  <c:v>PY-13</c:v>
                </c:pt>
                <c:pt idx="13">
                  <c:v>PY-14</c:v>
                </c:pt>
                <c:pt idx="14">
                  <c:v>PY-15</c:v>
                </c:pt>
                <c:pt idx="15">
                  <c:v>PY-16</c:v>
                </c:pt>
                <c:pt idx="16">
                  <c:v>PY-17</c:v>
                </c:pt>
                <c:pt idx="17">
                  <c:v>PY-18</c:v>
                </c:pt>
                <c:pt idx="18">
                  <c:v>PY-19</c:v>
                </c:pt>
                <c:pt idx="19">
                  <c:v>PY-20</c:v>
                </c:pt>
              </c:strCache>
            </c:strRef>
          </c:cat>
          <c:val>
            <c:numRef>
              <c:f>'Productivity Analysis'!$C$263:$V$263</c:f>
              <c:numCache>
                <c:formatCode>0.00</c:formatCode>
                <c:ptCount val="20"/>
                <c:pt idx="0">
                  <c:v>0</c:v>
                </c:pt>
                <c:pt idx="1">
                  <c:v>1.1650169539916854E-2</c:v>
                </c:pt>
                <c:pt idx="2">
                  <c:v>2.7007706880740279E-2</c:v>
                </c:pt>
                <c:pt idx="3">
                  <c:v>5.0126788743287222E-2</c:v>
                </c:pt>
                <c:pt idx="4">
                  <c:v>7.3159649238014185E-2</c:v>
                </c:pt>
                <c:pt idx="5">
                  <c:v>9.9862696158438263E-2</c:v>
                </c:pt>
                <c:pt idx="6">
                  <c:v>0.12084643208864412</c:v>
                </c:pt>
                <c:pt idx="7">
                  <c:v>0.12142818787721329</c:v>
                </c:pt>
                <c:pt idx="8">
                  <c:v>0.12142818787721329</c:v>
                </c:pt>
                <c:pt idx="9">
                  <c:v>0.12142818787721329</c:v>
                </c:pt>
                <c:pt idx="10">
                  <c:v>0.12142818787721329</c:v>
                </c:pt>
                <c:pt idx="11">
                  <c:v>0.12142818787721329</c:v>
                </c:pt>
                <c:pt idx="12">
                  <c:v>0.12142818787721329</c:v>
                </c:pt>
                <c:pt idx="13">
                  <c:v>0.12142818787721329</c:v>
                </c:pt>
                <c:pt idx="14">
                  <c:v>0.12142818787721329</c:v>
                </c:pt>
                <c:pt idx="15">
                  <c:v>0.12142818787721329</c:v>
                </c:pt>
                <c:pt idx="16">
                  <c:v>0.12142818787721329</c:v>
                </c:pt>
                <c:pt idx="17">
                  <c:v>0.12142818787721329</c:v>
                </c:pt>
                <c:pt idx="18">
                  <c:v>0.12142818787721329</c:v>
                </c:pt>
                <c:pt idx="19">
                  <c:v>0.12142818787721329</c:v>
                </c:pt>
              </c:numCache>
            </c:numRef>
          </c:val>
        </c:ser>
        <c:ser>
          <c:idx val="2"/>
          <c:order val="2"/>
          <c:tx>
            <c:strRef>
              <c:f>'Productivity Analysis'!$B$264</c:f>
              <c:strCache>
                <c:ptCount val="1"/>
                <c:pt idx="0">
                  <c:v>Nutrition</c:v>
                </c:pt>
              </c:strCache>
            </c:strRef>
          </c:tx>
          <c:spPr>
            <a:solidFill>
              <a:srgbClr val="FF0000"/>
            </a:solidFill>
          </c:spPr>
          <c:cat>
            <c:strRef>
              <c:f>'Productivity Analysis'!$C$261:$V$261</c:f>
              <c:strCache>
                <c:ptCount val="20"/>
                <c:pt idx="0">
                  <c:v>PY-1</c:v>
                </c:pt>
                <c:pt idx="1">
                  <c:v>PY-2</c:v>
                </c:pt>
                <c:pt idx="2">
                  <c:v>PY-3</c:v>
                </c:pt>
                <c:pt idx="3">
                  <c:v>PY-4</c:v>
                </c:pt>
                <c:pt idx="4">
                  <c:v>PY-5</c:v>
                </c:pt>
                <c:pt idx="5">
                  <c:v>PY-6</c:v>
                </c:pt>
                <c:pt idx="6">
                  <c:v>PY-7</c:v>
                </c:pt>
                <c:pt idx="7">
                  <c:v>PY-8</c:v>
                </c:pt>
                <c:pt idx="8">
                  <c:v>PY-9</c:v>
                </c:pt>
                <c:pt idx="9">
                  <c:v>PY-10</c:v>
                </c:pt>
                <c:pt idx="10">
                  <c:v>PY-11</c:v>
                </c:pt>
                <c:pt idx="11">
                  <c:v>PY-12</c:v>
                </c:pt>
                <c:pt idx="12">
                  <c:v>PY-13</c:v>
                </c:pt>
                <c:pt idx="13">
                  <c:v>PY-14</c:v>
                </c:pt>
                <c:pt idx="14">
                  <c:v>PY-15</c:v>
                </c:pt>
                <c:pt idx="15">
                  <c:v>PY-16</c:v>
                </c:pt>
                <c:pt idx="16">
                  <c:v>PY-17</c:v>
                </c:pt>
                <c:pt idx="17">
                  <c:v>PY-18</c:v>
                </c:pt>
                <c:pt idx="18">
                  <c:v>PY-19</c:v>
                </c:pt>
                <c:pt idx="19">
                  <c:v>PY-20</c:v>
                </c:pt>
              </c:strCache>
            </c:strRef>
          </c:cat>
          <c:val>
            <c:numRef>
              <c:f>'Productivity Analysis'!$C$264:$V$264</c:f>
              <c:numCache>
                <c:formatCode>0.00</c:formatCode>
                <c:ptCount val="20"/>
                <c:pt idx="0">
                  <c:v>1.5750331497469028E-3</c:v>
                </c:pt>
                <c:pt idx="1">
                  <c:v>1.0100617446150003E-2</c:v>
                </c:pt>
                <c:pt idx="2">
                  <c:v>4.2506765085881304E-2</c:v>
                </c:pt>
                <c:pt idx="3">
                  <c:v>0.11697841346346748</c:v>
                </c:pt>
                <c:pt idx="4">
                  <c:v>0.23119191043410001</c:v>
                </c:pt>
                <c:pt idx="5">
                  <c:v>0.32944847236859837</c:v>
                </c:pt>
                <c:pt idx="6">
                  <c:v>0.40458584325968255</c:v>
                </c:pt>
                <c:pt idx="7">
                  <c:v>0.45082422534649985</c:v>
                </c:pt>
                <c:pt idx="8">
                  <c:v>0.46238382086820423</c:v>
                </c:pt>
                <c:pt idx="9">
                  <c:v>0.46238382086820423</c:v>
                </c:pt>
                <c:pt idx="10">
                  <c:v>0.46238382086820423</c:v>
                </c:pt>
                <c:pt idx="11">
                  <c:v>0.46238382086820423</c:v>
                </c:pt>
                <c:pt idx="12">
                  <c:v>0.46238382086820423</c:v>
                </c:pt>
                <c:pt idx="13">
                  <c:v>0.46238382086820423</c:v>
                </c:pt>
                <c:pt idx="14">
                  <c:v>0.46238382086820423</c:v>
                </c:pt>
                <c:pt idx="15">
                  <c:v>0.46238382086820423</c:v>
                </c:pt>
                <c:pt idx="16">
                  <c:v>0.46238382086820423</c:v>
                </c:pt>
                <c:pt idx="17">
                  <c:v>0.46238382086820423</c:v>
                </c:pt>
                <c:pt idx="18">
                  <c:v>0.46238382086820423</c:v>
                </c:pt>
                <c:pt idx="19">
                  <c:v>0.46238382086820423</c:v>
                </c:pt>
              </c:numCache>
            </c:numRef>
          </c:val>
        </c:ser>
        <c:axId val="112881664"/>
        <c:axId val="112883584"/>
      </c:areaChart>
      <c:catAx>
        <c:axId val="112881664"/>
        <c:scaling>
          <c:orientation val="minMax"/>
        </c:scaling>
        <c:axPos val="b"/>
        <c:majorTickMark val="none"/>
        <c:tickLblPos val="nextTo"/>
        <c:txPr>
          <a:bodyPr rot="-5400000" vert="horz"/>
          <a:lstStyle/>
          <a:p>
            <a:pPr>
              <a:defRPr/>
            </a:pPr>
            <a:endParaRPr lang="en-US"/>
          </a:p>
        </c:txPr>
        <c:crossAx val="112883584"/>
        <c:crosses val="autoZero"/>
        <c:auto val="1"/>
        <c:lblAlgn val="ctr"/>
        <c:lblOffset val="100"/>
      </c:catAx>
      <c:valAx>
        <c:axId val="112883584"/>
        <c:scaling>
          <c:orientation val="minMax"/>
        </c:scaling>
        <c:axPos val="l"/>
        <c:majorGridlines/>
        <c:numFmt formatCode="0.0" sourceLinked="0"/>
        <c:majorTickMark val="none"/>
        <c:tickLblPos val="nextTo"/>
        <c:crossAx val="112881664"/>
        <c:crosses val="autoZero"/>
        <c:crossBetween val="midCat"/>
      </c:valAx>
      <c:spPr>
        <a:ln>
          <a:solidFill>
            <a:srgbClr val="000000"/>
          </a:solidFill>
        </a:ln>
      </c:spPr>
    </c:plotArea>
    <c:legend>
      <c:legendPos val="t"/>
      <c:layout>
        <c:manualLayout>
          <c:xMode val="edge"/>
          <c:yMode val="edge"/>
          <c:x val="0.10526331454906902"/>
          <c:y val="8.2290349908778926E-2"/>
          <c:w val="0.70047333296328862"/>
          <c:h val="8.2833818028597642E-2"/>
        </c:manualLayout>
      </c:layout>
    </c:legend>
    <c:plotVisOnly val="1"/>
  </c:chart>
  <c:spPr>
    <a:ln>
      <a:noFill/>
    </a:ln>
  </c:spPr>
  <c:txPr>
    <a:bodyPr/>
    <a:lstStyle/>
    <a:p>
      <a:pPr>
        <a:defRPr sz="700">
          <a:latin typeface="Times New Roman" pitchFamily="18" charset="0"/>
          <a:cs typeface="Times New Roman" pitchFamily="18" charset="0"/>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4.0792148521116324E-2"/>
          <c:y val="4.8892855058699829E-2"/>
          <c:w val="0.8395040570142307"/>
          <c:h val="0.95110714494129756"/>
        </c:manualLayout>
      </c:layout>
      <c:pieChart>
        <c:varyColors val="1"/>
        <c:ser>
          <c:idx val="0"/>
          <c:order val="0"/>
          <c:spPr>
            <a:ln w="12700">
              <a:solidFill>
                <a:sysClr val="windowText" lastClr="000000"/>
              </a:solidFill>
            </a:ln>
          </c:spPr>
          <c:dPt>
            <c:idx val="0"/>
            <c:spPr>
              <a:solidFill>
                <a:srgbClr val="33CC33"/>
              </a:solidFill>
              <a:ln w="12700">
                <a:solidFill>
                  <a:sysClr val="windowText" lastClr="000000"/>
                </a:solidFill>
              </a:ln>
            </c:spPr>
          </c:dPt>
          <c:dPt>
            <c:idx val="1"/>
            <c:spPr>
              <a:solidFill>
                <a:srgbClr val="00B0F0"/>
              </a:solidFill>
              <a:ln w="12700">
                <a:solidFill>
                  <a:sysClr val="windowText" lastClr="000000"/>
                </a:solidFill>
              </a:ln>
            </c:spPr>
          </c:dPt>
          <c:dPt>
            <c:idx val="2"/>
            <c:spPr>
              <a:solidFill>
                <a:srgbClr val="FFFF00"/>
              </a:solidFill>
              <a:ln w="12700">
                <a:solidFill>
                  <a:sysClr val="windowText" lastClr="000000"/>
                </a:solidFill>
              </a:ln>
            </c:spPr>
          </c:dPt>
          <c:dLbls>
            <c:dLbl>
              <c:idx val="0"/>
              <c:layout>
                <c:manualLayout>
                  <c:x val="-0.26212943404416394"/>
                  <c:y val="2.9835327523562521E-2"/>
                </c:manualLayout>
              </c:layout>
              <c:spPr/>
              <c:txPr>
                <a:bodyPr rot="60000" vert="horz"/>
                <a:lstStyle/>
                <a:p>
                  <a:pPr>
                    <a:defRPr/>
                  </a:pPr>
                  <a:endParaRPr lang="en-US"/>
                </a:p>
              </c:txPr>
              <c:dLblPos val="bestFit"/>
              <c:showCatName val="1"/>
              <c:showPercent val="1"/>
            </c:dLbl>
            <c:dLbl>
              <c:idx val="1"/>
              <c:layout>
                <c:manualLayout>
                  <c:x val="7.7972685615667024E-3"/>
                  <c:y val="-3.7959667852906352E-2"/>
                </c:manualLayout>
              </c:layout>
              <c:spPr/>
              <c:txPr>
                <a:bodyPr rot="60000" vert="horz"/>
                <a:lstStyle/>
                <a:p>
                  <a:pPr>
                    <a:defRPr/>
                  </a:pPr>
                  <a:endParaRPr lang="en-US"/>
                </a:p>
              </c:txPr>
              <c:dLblPos val="inEnd"/>
              <c:showCatName val="1"/>
              <c:showPercent val="1"/>
            </c:dLbl>
            <c:dLbl>
              <c:idx val="2"/>
              <c:layout>
                <c:manualLayout>
                  <c:x val="-6.2493722482399091E-3"/>
                  <c:y val="4.7450056164032835E-3"/>
                </c:manualLayout>
              </c:layout>
              <c:spPr/>
              <c:txPr>
                <a:bodyPr rot="360000" vert="horz"/>
                <a:lstStyle/>
                <a:p>
                  <a:pPr>
                    <a:defRPr/>
                  </a:pPr>
                  <a:endParaRPr lang="en-US"/>
                </a:p>
              </c:txPr>
              <c:dLblPos val="inEnd"/>
              <c:showCatName val="1"/>
              <c:showPercent val="1"/>
            </c:dLbl>
            <c:txPr>
              <a:bodyPr rot="0" vert="horz"/>
              <a:lstStyle/>
              <a:p>
                <a:pPr>
                  <a:defRPr/>
                </a:pPr>
                <a:endParaRPr lang="en-US"/>
              </a:p>
            </c:txPr>
            <c:dLblPos val="inEnd"/>
            <c:showCatName val="1"/>
            <c:showPercent val="1"/>
            <c:showLeaderLines val="1"/>
          </c:dLbls>
          <c:cat>
            <c:strRef>
              <c:f>'Impact Fig'!$H$14:$H$16</c:f>
              <c:strCache>
                <c:ptCount val="3"/>
                <c:pt idx="0">
                  <c:v>Reduced Production cost</c:v>
                </c:pt>
                <c:pt idx="1">
                  <c:v>Increased Milk yield</c:v>
                </c:pt>
                <c:pt idx="2">
                  <c:v>Reduced Methane emission</c:v>
                </c:pt>
              </c:strCache>
            </c:strRef>
          </c:cat>
          <c:val>
            <c:numRef>
              <c:f>'Impact Fig'!$I$14:$I$16</c:f>
              <c:numCache>
                <c:formatCode>0</c:formatCode>
                <c:ptCount val="3"/>
                <c:pt idx="0">
                  <c:v>2690.865983491849</c:v>
                </c:pt>
                <c:pt idx="1">
                  <c:v>1416.8177809612505</c:v>
                </c:pt>
                <c:pt idx="2">
                  <c:v>331.07705866619864</c:v>
                </c:pt>
              </c:numCache>
            </c:numRef>
          </c:val>
        </c:ser>
        <c:dLbls>
          <c:showCatName val="1"/>
          <c:showPercent val="1"/>
        </c:dLbls>
        <c:firstSliceAng val="306"/>
      </c:pieChart>
    </c:plotArea>
    <c:plotVisOnly val="1"/>
  </c:chart>
  <c:spPr>
    <a:ln>
      <a:noFill/>
    </a:ln>
  </c:spPr>
  <c:txPr>
    <a:bodyPr/>
    <a:lstStyle/>
    <a:p>
      <a:pPr>
        <a:defRPr sz="600" b="0">
          <a:latin typeface="Times New Roman" pitchFamily="18" charset="0"/>
          <a:cs typeface="Times New Roman" pitchFamily="18" charset="0"/>
        </a:defRPr>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700" b="0" i="0" u="none" strike="noStrike" baseline="0">
                <a:solidFill>
                  <a:srgbClr val="000000"/>
                </a:solidFill>
                <a:latin typeface="Times New Roman"/>
                <a:ea typeface="Times New Roman"/>
                <a:cs typeface="Times New Roman"/>
              </a:defRPr>
            </a:pPr>
            <a:r>
              <a:rPr lang="en-US"/>
              <a:t>Fig 4   NDSP: Cumulative Distribution of ERR</a:t>
            </a:r>
          </a:p>
        </c:rich>
      </c:tx>
      <c:layout>
        <c:manualLayout>
          <c:xMode val="edge"/>
          <c:yMode val="edge"/>
          <c:x val="0.20046733664137206"/>
          <c:y val="0.8851676314850887"/>
        </c:manualLayout>
      </c:layout>
      <c:spPr>
        <a:noFill/>
        <a:ln w="25400">
          <a:noFill/>
        </a:ln>
      </c:spPr>
    </c:title>
    <c:plotArea>
      <c:layout>
        <c:manualLayout>
          <c:layoutTarget val="inner"/>
          <c:xMode val="edge"/>
          <c:yMode val="edge"/>
          <c:x val="0.21565682344967238"/>
          <c:y val="6.2200956937799083E-2"/>
          <c:w val="0.70992787033395865"/>
          <c:h val="0.61194820159675922"/>
        </c:manualLayout>
      </c:layout>
      <c:scatterChart>
        <c:scatterStyle val="lineMarker"/>
        <c:ser>
          <c:idx val="0"/>
          <c:order val="0"/>
          <c:spPr>
            <a:ln w="12700">
              <a:solidFill>
                <a:srgbClr val="FF0000"/>
              </a:solidFill>
              <a:prstDash val="solid"/>
            </a:ln>
          </c:spPr>
          <c:marker>
            <c:symbol val="none"/>
          </c:marker>
          <c:xVal>
            <c:numRef>
              <c:f>SRT1!$B$7:$B$1006</c:f>
              <c:numCache>
                <c:formatCode>0.00%</c:formatCode>
                <c:ptCount val="1000"/>
                <c:pt idx="0">
                  <c:v>0.11823767114847722</c:v>
                </c:pt>
                <c:pt idx="1">
                  <c:v>0.11990311397058222</c:v>
                </c:pt>
                <c:pt idx="2">
                  <c:v>0.12161129550421459</c:v>
                </c:pt>
                <c:pt idx="3">
                  <c:v>0.12538836884891558</c:v>
                </c:pt>
                <c:pt idx="4">
                  <c:v>0.12591384642152412</c:v>
                </c:pt>
                <c:pt idx="5">
                  <c:v>0.12657673667218658</c:v>
                </c:pt>
                <c:pt idx="6">
                  <c:v>0.12682381875269166</c:v>
                </c:pt>
                <c:pt idx="7">
                  <c:v>0.12761794155510175</c:v>
                </c:pt>
                <c:pt idx="8">
                  <c:v>0.13060894474988113</c:v>
                </c:pt>
                <c:pt idx="9">
                  <c:v>0.1310711856742848</c:v>
                </c:pt>
                <c:pt idx="10">
                  <c:v>0.13165415821445717</c:v>
                </c:pt>
                <c:pt idx="11">
                  <c:v>0.13168325523920188</c:v>
                </c:pt>
                <c:pt idx="12">
                  <c:v>0.13286507243184834</c:v>
                </c:pt>
                <c:pt idx="13">
                  <c:v>0.13290536059750407</c:v>
                </c:pt>
                <c:pt idx="14">
                  <c:v>0.13406294228021096</c:v>
                </c:pt>
                <c:pt idx="15">
                  <c:v>0.1342572028324929</c:v>
                </c:pt>
                <c:pt idx="16">
                  <c:v>0.13427078112172891</c:v>
                </c:pt>
                <c:pt idx="17">
                  <c:v>0.13485620606686979</c:v>
                </c:pt>
                <c:pt idx="18">
                  <c:v>0.13571425446620236</c:v>
                </c:pt>
                <c:pt idx="19">
                  <c:v>0.13643797656827344</c:v>
                </c:pt>
                <c:pt idx="20">
                  <c:v>0.13657262571198917</c:v>
                </c:pt>
                <c:pt idx="21">
                  <c:v>0.13673782244192823</c:v>
                </c:pt>
                <c:pt idx="22">
                  <c:v>0.13678082423023455</c:v>
                </c:pt>
                <c:pt idx="23">
                  <c:v>0.13691215104070067</c:v>
                </c:pt>
                <c:pt idx="24">
                  <c:v>0.13691732660951297</c:v>
                </c:pt>
                <c:pt idx="25">
                  <c:v>0.13708629719334345</c:v>
                </c:pt>
                <c:pt idx="26">
                  <c:v>0.13751893324645822</c:v>
                </c:pt>
                <c:pt idx="27">
                  <c:v>0.13755876291043176</c:v>
                </c:pt>
                <c:pt idx="28">
                  <c:v>0.13780334492481536</c:v>
                </c:pt>
                <c:pt idx="29">
                  <c:v>0.13796801020566291</c:v>
                </c:pt>
                <c:pt idx="30">
                  <c:v>0.13805061566534038</c:v>
                </c:pt>
                <c:pt idx="31">
                  <c:v>0.13811207717071761</c:v>
                </c:pt>
                <c:pt idx="32">
                  <c:v>0.1384439169130533</c:v>
                </c:pt>
                <c:pt idx="33">
                  <c:v>0.13848841776958454</c:v>
                </c:pt>
                <c:pt idx="34">
                  <c:v>0.13851496184772313</c:v>
                </c:pt>
                <c:pt idx="35">
                  <c:v>0.13853528541128962</c:v>
                </c:pt>
                <c:pt idx="36">
                  <c:v>0.13859538019614223</c:v>
                </c:pt>
                <c:pt idx="37">
                  <c:v>0.138854668946125</c:v>
                </c:pt>
                <c:pt idx="38">
                  <c:v>0.1389282254648859</c:v>
                </c:pt>
                <c:pt idx="39">
                  <c:v>0.13932545155670994</c:v>
                </c:pt>
                <c:pt idx="40">
                  <c:v>0.13950617149401398</c:v>
                </c:pt>
                <c:pt idx="41">
                  <c:v>0.13970311076216324</c:v>
                </c:pt>
                <c:pt idx="42">
                  <c:v>0.13976714995454964</c:v>
                </c:pt>
                <c:pt idx="43">
                  <c:v>0.1399351621921727</c:v>
                </c:pt>
                <c:pt idx="44">
                  <c:v>0.1401204106867148</c:v>
                </c:pt>
                <c:pt idx="45">
                  <c:v>0.14052332525433325</c:v>
                </c:pt>
                <c:pt idx="46">
                  <c:v>0.14083346328960908</c:v>
                </c:pt>
                <c:pt idx="47">
                  <c:v>0.14093279033298944</c:v>
                </c:pt>
                <c:pt idx="48">
                  <c:v>0.14094376162042532</c:v>
                </c:pt>
                <c:pt idx="49">
                  <c:v>0.14095626304730646</c:v>
                </c:pt>
                <c:pt idx="50">
                  <c:v>0.14098181831721049</c:v>
                </c:pt>
                <c:pt idx="51">
                  <c:v>0.14109747430204791</c:v>
                </c:pt>
                <c:pt idx="52">
                  <c:v>0.14162402676052138</c:v>
                </c:pt>
                <c:pt idx="53">
                  <c:v>0.14174340294448362</c:v>
                </c:pt>
                <c:pt idx="54">
                  <c:v>0.14184622416620302</c:v>
                </c:pt>
                <c:pt idx="55">
                  <c:v>0.14193150901876159</c:v>
                </c:pt>
                <c:pt idx="56">
                  <c:v>0.1425019962362894</c:v>
                </c:pt>
                <c:pt idx="57">
                  <c:v>0.14268415040986099</c:v>
                </c:pt>
                <c:pt idx="58">
                  <c:v>0.14270172359243444</c:v>
                </c:pt>
                <c:pt idx="59">
                  <c:v>0.14275277540856138</c:v>
                </c:pt>
                <c:pt idx="60">
                  <c:v>0.14278261179979704</c:v>
                </c:pt>
                <c:pt idx="61">
                  <c:v>0.14329544615112844</c:v>
                </c:pt>
                <c:pt idx="62">
                  <c:v>0.14330432969036044</c:v>
                </c:pt>
                <c:pt idx="63">
                  <c:v>0.14361555801992359</c:v>
                </c:pt>
                <c:pt idx="64">
                  <c:v>0.14364274543952793</c:v>
                </c:pt>
                <c:pt idx="65">
                  <c:v>0.14366179272580845</c:v>
                </c:pt>
                <c:pt idx="66">
                  <c:v>0.1439181367783752</c:v>
                </c:pt>
                <c:pt idx="67">
                  <c:v>0.14392731181743268</c:v>
                </c:pt>
                <c:pt idx="68">
                  <c:v>0.14393996283186419</c:v>
                </c:pt>
                <c:pt idx="69">
                  <c:v>0.14411901234833771</c:v>
                </c:pt>
                <c:pt idx="70">
                  <c:v>0.14415879756146852</c:v>
                </c:pt>
                <c:pt idx="71">
                  <c:v>0.14420705224572591</c:v>
                </c:pt>
                <c:pt idx="72">
                  <c:v>0.14436469301336574</c:v>
                </c:pt>
                <c:pt idx="73">
                  <c:v>0.14454063302725756</c:v>
                </c:pt>
                <c:pt idx="74">
                  <c:v>0.14455730819909612</c:v>
                </c:pt>
                <c:pt idx="75">
                  <c:v>0.14461805414974671</c:v>
                </c:pt>
                <c:pt idx="76">
                  <c:v>0.14478015173640124</c:v>
                </c:pt>
                <c:pt idx="77">
                  <c:v>0.1448039134275062</c:v>
                </c:pt>
                <c:pt idx="78">
                  <c:v>0.14485059620318363</c:v>
                </c:pt>
                <c:pt idx="79">
                  <c:v>0.14488202539297693</c:v>
                </c:pt>
                <c:pt idx="80">
                  <c:v>0.14488421382087921</c:v>
                </c:pt>
                <c:pt idx="81">
                  <c:v>0.14532494698853637</c:v>
                </c:pt>
                <c:pt idx="82">
                  <c:v>0.14539695291615543</c:v>
                </c:pt>
                <c:pt idx="83">
                  <c:v>0.14541152059080062</c:v>
                </c:pt>
                <c:pt idx="84">
                  <c:v>0.14541406595983691</c:v>
                </c:pt>
                <c:pt idx="85">
                  <c:v>0.14549186186233284</c:v>
                </c:pt>
                <c:pt idx="86">
                  <c:v>0.14555574874616795</c:v>
                </c:pt>
                <c:pt idx="87">
                  <c:v>0.14566745376415621</c:v>
                </c:pt>
                <c:pt idx="88">
                  <c:v>0.14580736885252638</c:v>
                </c:pt>
                <c:pt idx="89">
                  <c:v>0.14602689780115241</c:v>
                </c:pt>
                <c:pt idx="90">
                  <c:v>0.14608723934140402</c:v>
                </c:pt>
                <c:pt idx="91">
                  <c:v>0.14624635608016151</c:v>
                </c:pt>
                <c:pt idx="92">
                  <c:v>0.14628169051284154</c:v>
                </c:pt>
                <c:pt idx="93">
                  <c:v>0.14646688709316363</c:v>
                </c:pt>
                <c:pt idx="94">
                  <c:v>0.14650361687446714</c:v>
                </c:pt>
                <c:pt idx="95">
                  <c:v>0.14651568409587312</c:v>
                </c:pt>
                <c:pt idx="96">
                  <c:v>0.14652114593158289</c:v>
                </c:pt>
                <c:pt idx="97">
                  <c:v>0.1468239522488613</c:v>
                </c:pt>
                <c:pt idx="98">
                  <c:v>0.14685048682199359</c:v>
                </c:pt>
                <c:pt idx="99">
                  <c:v>0.14685711382484248</c:v>
                </c:pt>
                <c:pt idx="100">
                  <c:v>0.14691380676320831</c:v>
                </c:pt>
                <c:pt idx="101">
                  <c:v>0.14695043829437063</c:v>
                </c:pt>
                <c:pt idx="102">
                  <c:v>0.1470550479331694</c:v>
                </c:pt>
                <c:pt idx="103">
                  <c:v>0.14710659982312191</c:v>
                </c:pt>
                <c:pt idx="104">
                  <c:v>0.14714968746588591</c:v>
                </c:pt>
                <c:pt idx="105">
                  <c:v>0.14717663371937223</c:v>
                </c:pt>
                <c:pt idx="106">
                  <c:v>0.14727327313204341</c:v>
                </c:pt>
                <c:pt idx="107">
                  <c:v>0.14737669644793699</c:v>
                </c:pt>
                <c:pt idx="108">
                  <c:v>0.14737685680168655</c:v>
                </c:pt>
                <c:pt idx="109">
                  <c:v>0.14745689714758844</c:v>
                </c:pt>
                <c:pt idx="110">
                  <c:v>0.14746157705628221</c:v>
                </c:pt>
                <c:pt idx="111">
                  <c:v>0.14752300596592399</c:v>
                </c:pt>
                <c:pt idx="112">
                  <c:v>0.14754665500973041</c:v>
                </c:pt>
                <c:pt idx="113">
                  <c:v>0.14757106019231109</c:v>
                </c:pt>
                <c:pt idx="114">
                  <c:v>0.14770830485470024</c:v>
                </c:pt>
                <c:pt idx="115">
                  <c:v>0.14771344761501012</c:v>
                </c:pt>
                <c:pt idx="116">
                  <c:v>0.14774336062292476</c:v>
                </c:pt>
                <c:pt idx="117">
                  <c:v>0.14782563878809404</c:v>
                </c:pt>
                <c:pt idx="118">
                  <c:v>0.14791020109507808</c:v>
                </c:pt>
                <c:pt idx="119">
                  <c:v>0.14791845671896636</c:v>
                </c:pt>
                <c:pt idx="120">
                  <c:v>0.14806130656866981</c:v>
                </c:pt>
                <c:pt idx="121">
                  <c:v>0.14819484831361265</c:v>
                </c:pt>
                <c:pt idx="122">
                  <c:v>0.14819513748420188</c:v>
                </c:pt>
                <c:pt idx="123">
                  <c:v>0.14819865840501131</c:v>
                </c:pt>
                <c:pt idx="124">
                  <c:v>0.14822265781366203</c:v>
                </c:pt>
                <c:pt idx="125">
                  <c:v>0.14826964144233218</c:v>
                </c:pt>
                <c:pt idx="126">
                  <c:v>0.14835430870416191</c:v>
                </c:pt>
                <c:pt idx="127">
                  <c:v>0.14838213483416707</c:v>
                </c:pt>
                <c:pt idx="128">
                  <c:v>0.14848816038513113</c:v>
                </c:pt>
                <c:pt idx="129">
                  <c:v>0.14849869362124596</c:v>
                </c:pt>
                <c:pt idx="130">
                  <c:v>0.14870195839580774</c:v>
                </c:pt>
                <c:pt idx="131">
                  <c:v>0.14877349484925861</c:v>
                </c:pt>
                <c:pt idx="132">
                  <c:v>0.14889098827198344</c:v>
                </c:pt>
                <c:pt idx="133">
                  <c:v>0.14889505941765679</c:v>
                </c:pt>
                <c:pt idx="134">
                  <c:v>0.14896515403646482</c:v>
                </c:pt>
                <c:pt idx="135">
                  <c:v>0.14901781810913076</c:v>
                </c:pt>
                <c:pt idx="136">
                  <c:v>0.14913754349431521</c:v>
                </c:pt>
                <c:pt idx="137">
                  <c:v>0.14917523581025444</c:v>
                </c:pt>
                <c:pt idx="138">
                  <c:v>0.14919120042523257</c:v>
                </c:pt>
                <c:pt idx="139">
                  <c:v>0.14919503465768291</c:v>
                </c:pt>
                <c:pt idx="140">
                  <c:v>0.14920019125611494</c:v>
                </c:pt>
                <c:pt idx="141">
                  <c:v>0.14937276287239995</c:v>
                </c:pt>
                <c:pt idx="142">
                  <c:v>0.14939788228951073</c:v>
                </c:pt>
                <c:pt idx="143">
                  <c:v>0.14947409777560541</c:v>
                </c:pt>
                <c:pt idx="144">
                  <c:v>0.14947800072973191</c:v>
                </c:pt>
                <c:pt idx="145">
                  <c:v>0.14955535553459659</c:v>
                </c:pt>
                <c:pt idx="146">
                  <c:v>0.14959954760361807</c:v>
                </c:pt>
                <c:pt idx="147">
                  <c:v>0.14964491822330625</c:v>
                </c:pt>
                <c:pt idx="148">
                  <c:v>0.14967239915155364</c:v>
                </c:pt>
                <c:pt idx="149">
                  <c:v>0.14968427920690106</c:v>
                </c:pt>
                <c:pt idx="150">
                  <c:v>0.14968834627864747</c:v>
                </c:pt>
                <c:pt idx="151">
                  <c:v>0.14970803599008609</c:v>
                </c:pt>
                <c:pt idx="152">
                  <c:v>0.14978381942706923</c:v>
                </c:pt>
                <c:pt idx="153">
                  <c:v>0.14984694912463234</c:v>
                </c:pt>
                <c:pt idx="154">
                  <c:v>0.14986160651852923</c:v>
                </c:pt>
                <c:pt idx="155">
                  <c:v>0.14987301173688863</c:v>
                </c:pt>
                <c:pt idx="156">
                  <c:v>0.14989890569634043</c:v>
                </c:pt>
                <c:pt idx="157">
                  <c:v>0.1499569721454912</c:v>
                </c:pt>
                <c:pt idx="158">
                  <c:v>0.14996751186182644</c:v>
                </c:pt>
                <c:pt idx="159">
                  <c:v>0.15005185988170844</c:v>
                </c:pt>
                <c:pt idx="160">
                  <c:v>0.15020415433467371</c:v>
                </c:pt>
                <c:pt idx="161">
                  <c:v>0.15022243948023126</c:v>
                </c:pt>
                <c:pt idx="162">
                  <c:v>0.15025214871331191</c:v>
                </c:pt>
                <c:pt idx="163">
                  <c:v>0.15036135788138291</c:v>
                </c:pt>
                <c:pt idx="164">
                  <c:v>0.15039393560183917</c:v>
                </c:pt>
                <c:pt idx="165">
                  <c:v>0.15047373726247024</c:v>
                </c:pt>
                <c:pt idx="166">
                  <c:v>0.15048748957823005</c:v>
                </c:pt>
                <c:pt idx="167">
                  <c:v>0.15053486708758759</c:v>
                </c:pt>
                <c:pt idx="168">
                  <c:v>0.15060699913523687</c:v>
                </c:pt>
                <c:pt idx="169">
                  <c:v>0.15068552277374367</c:v>
                </c:pt>
                <c:pt idx="170">
                  <c:v>0.15070439427211102</c:v>
                </c:pt>
                <c:pt idx="171">
                  <c:v>0.15074203625845045</c:v>
                </c:pt>
                <c:pt idx="172">
                  <c:v>0.15077766476093704</c:v>
                </c:pt>
                <c:pt idx="173">
                  <c:v>0.15077998156295719</c:v>
                </c:pt>
                <c:pt idx="174">
                  <c:v>0.15083867136905788</c:v>
                </c:pt>
                <c:pt idx="175">
                  <c:v>0.15086515387978591</c:v>
                </c:pt>
                <c:pt idx="176">
                  <c:v>0.15086787869463547</c:v>
                </c:pt>
                <c:pt idx="177">
                  <c:v>0.15091465115864294</c:v>
                </c:pt>
                <c:pt idx="178">
                  <c:v>0.15092200492440391</c:v>
                </c:pt>
                <c:pt idx="179">
                  <c:v>0.15092819552548295</c:v>
                </c:pt>
                <c:pt idx="180">
                  <c:v>0.15095783788876976</c:v>
                </c:pt>
                <c:pt idx="181">
                  <c:v>0.15096691821999209</c:v>
                </c:pt>
                <c:pt idx="182">
                  <c:v>0.15098892173678394</c:v>
                </c:pt>
                <c:pt idx="183">
                  <c:v>0.15099679619310757</c:v>
                </c:pt>
                <c:pt idx="184">
                  <c:v>0.15105794512087944</c:v>
                </c:pt>
                <c:pt idx="185">
                  <c:v>0.15119733211755768</c:v>
                </c:pt>
                <c:pt idx="186">
                  <c:v>0.15123192316704653</c:v>
                </c:pt>
                <c:pt idx="187">
                  <c:v>0.15131350386231937</c:v>
                </c:pt>
                <c:pt idx="188">
                  <c:v>0.15136224674493687</c:v>
                </c:pt>
                <c:pt idx="189">
                  <c:v>0.15143861572356834</c:v>
                </c:pt>
                <c:pt idx="190">
                  <c:v>0.15148091236331121</c:v>
                </c:pt>
                <c:pt idx="191">
                  <c:v>0.15153984186419497</c:v>
                </c:pt>
                <c:pt idx="192">
                  <c:v>0.15156556638656499</c:v>
                </c:pt>
                <c:pt idx="193">
                  <c:v>0.15161847672435524</c:v>
                </c:pt>
                <c:pt idx="194">
                  <c:v>0.15164162653114921</c:v>
                </c:pt>
                <c:pt idx="195">
                  <c:v>0.15164277704462248</c:v>
                </c:pt>
                <c:pt idx="196">
                  <c:v>0.15164414800419662</c:v>
                </c:pt>
                <c:pt idx="197">
                  <c:v>0.15168086252329926</c:v>
                </c:pt>
                <c:pt idx="198">
                  <c:v>0.15168730983826845</c:v>
                </c:pt>
                <c:pt idx="199">
                  <c:v>0.1516939248498004</c:v>
                </c:pt>
                <c:pt idx="200">
                  <c:v>0.15174534596111286</c:v>
                </c:pt>
                <c:pt idx="201">
                  <c:v>0.15182641288982357</c:v>
                </c:pt>
                <c:pt idx="202">
                  <c:v>0.15193415435893609</c:v>
                </c:pt>
                <c:pt idx="203">
                  <c:v>0.15194593111832977</c:v>
                </c:pt>
                <c:pt idx="204">
                  <c:v>0.15194635286360209</c:v>
                </c:pt>
                <c:pt idx="205">
                  <c:v>0.15200347905067801</c:v>
                </c:pt>
                <c:pt idx="206">
                  <c:v>0.15203325870371259</c:v>
                </c:pt>
                <c:pt idx="207">
                  <c:v>0.15209055508987071</c:v>
                </c:pt>
                <c:pt idx="208">
                  <c:v>0.15225542258583091</c:v>
                </c:pt>
                <c:pt idx="209">
                  <c:v>0.1522754213007089</c:v>
                </c:pt>
                <c:pt idx="210">
                  <c:v>0.15227889074784726</c:v>
                </c:pt>
                <c:pt idx="211">
                  <c:v>0.1523224719282826</c:v>
                </c:pt>
                <c:pt idx="212">
                  <c:v>0.15239425638610798</c:v>
                </c:pt>
                <c:pt idx="213">
                  <c:v>0.15244580282973533</c:v>
                </c:pt>
                <c:pt idx="214">
                  <c:v>0.15246258630011189</c:v>
                </c:pt>
                <c:pt idx="215">
                  <c:v>0.15252732079089631</c:v>
                </c:pt>
                <c:pt idx="216">
                  <c:v>0.15256541988885924</c:v>
                </c:pt>
                <c:pt idx="217">
                  <c:v>0.15257523327875938</c:v>
                </c:pt>
                <c:pt idx="218">
                  <c:v>0.15259083002559393</c:v>
                </c:pt>
                <c:pt idx="219">
                  <c:v>0.15259196112104786</c:v>
                </c:pt>
                <c:pt idx="220">
                  <c:v>0.15273413670743138</c:v>
                </c:pt>
                <c:pt idx="221">
                  <c:v>0.15278652297793574</c:v>
                </c:pt>
                <c:pt idx="222">
                  <c:v>0.15281945256206547</c:v>
                </c:pt>
                <c:pt idx="223">
                  <c:v>0.1528352726889862</c:v>
                </c:pt>
                <c:pt idx="224">
                  <c:v>0.15288132688598349</c:v>
                </c:pt>
                <c:pt idx="225">
                  <c:v>0.15291211906844787</c:v>
                </c:pt>
                <c:pt idx="226">
                  <c:v>0.15296451981244419</c:v>
                </c:pt>
                <c:pt idx="227">
                  <c:v>0.15300620097477871</c:v>
                </c:pt>
                <c:pt idx="228">
                  <c:v>0.15302936650161741</c:v>
                </c:pt>
                <c:pt idx="229">
                  <c:v>0.15303746443344202</c:v>
                </c:pt>
                <c:pt idx="230">
                  <c:v>0.15303904948825697</c:v>
                </c:pt>
                <c:pt idx="231">
                  <c:v>0.15304698662942451</c:v>
                </c:pt>
                <c:pt idx="232">
                  <c:v>0.15312530500524729</c:v>
                </c:pt>
                <c:pt idx="233">
                  <c:v>0.15313680373262625</c:v>
                </c:pt>
                <c:pt idx="234">
                  <c:v>0.15318805157836637</c:v>
                </c:pt>
                <c:pt idx="235">
                  <c:v>0.15329054916060256</c:v>
                </c:pt>
                <c:pt idx="236">
                  <c:v>0.15334388438431046</c:v>
                </c:pt>
                <c:pt idx="237">
                  <c:v>0.15343761696804076</c:v>
                </c:pt>
                <c:pt idx="238">
                  <c:v>0.15343949872970042</c:v>
                </c:pt>
                <c:pt idx="239">
                  <c:v>0.15346586267002846</c:v>
                </c:pt>
                <c:pt idx="240">
                  <c:v>0.15348776981888171</c:v>
                </c:pt>
                <c:pt idx="241">
                  <c:v>0.15350297938784646</c:v>
                </c:pt>
                <c:pt idx="242">
                  <c:v>0.15353601340637732</c:v>
                </c:pt>
                <c:pt idx="243">
                  <c:v>0.15356433437444664</c:v>
                </c:pt>
                <c:pt idx="244">
                  <c:v>0.15356832364239664</c:v>
                </c:pt>
                <c:pt idx="245">
                  <c:v>0.1536136972746302</c:v>
                </c:pt>
                <c:pt idx="246">
                  <c:v>0.15361543247403514</c:v>
                </c:pt>
                <c:pt idx="247">
                  <c:v>0.15364156315004324</c:v>
                </c:pt>
                <c:pt idx="248">
                  <c:v>0.15366456640685547</c:v>
                </c:pt>
                <c:pt idx="249">
                  <c:v>0.15373470386831564</c:v>
                </c:pt>
                <c:pt idx="250">
                  <c:v>0.15382196436747494</c:v>
                </c:pt>
                <c:pt idx="251">
                  <c:v>0.15388493183650362</c:v>
                </c:pt>
                <c:pt idx="252">
                  <c:v>0.15389352027207023</c:v>
                </c:pt>
                <c:pt idx="253">
                  <c:v>0.15390598095390867</c:v>
                </c:pt>
                <c:pt idx="254">
                  <c:v>0.15397018679587679</c:v>
                </c:pt>
                <c:pt idx="255">
                  <c:v>0.15401942994732512</c:v>
                </c:pt>
                <c:pt idx="256">
                  <c:v>0.15404594826820894</c:v>
                </c:pt>
                <c:pt idx="257">
                  <c:v>0.15405547537386491</c:v>
                </c:pt>
                <c:pt idx="258">
                  <c:v>0.15411716702657499</c:v>
                </c:pt>
                <c:pt idx="259">
                  <c:v>0.15416143455378478</c:v>
                </c:pt>
                <c:pt idx="260">
                  <c:v>0.1541686194996974</c:v>
                </c:pt>
                <c:pt idx="261">
                  <c:v>0.15416920112335125</c:v>
                </c:pt>
                <c:pt idx="262">
                  <c:v>0.1541842277991877</c:v>
                </c:pt>
                <c:pt idx="263">
                  <c:v>0.15421103680528006</c:v>
                </c:pt>
                <c:pt idx="264">
                  <c:v>0.15421346858034268</c:v>
                </c:pt>
                <c:pt idx="265">
                  <c:v>0.15422315102000211</c:v>
                </c:pt>
                <c:pt idx="266">
                  <c:v>0.15428697597353705</c:v>
                </c:pt>
                <c:pt idx="267">
                  <c:v>0.15428772644593741</c:v>
                </c:pt>
                <c:pt idx="268">
                  <c:v>0.15429230043702513</c:v>
                </c:pt>
                <c:pt idx="269">
                  <c:v>0.15432351013049744</c:v>
                </c:pt>
                <c:pt idx="270">
                  <c:v>0.15433679754706336</c:v>
                </c:pt>
                <c:pt idx="271">
                  <c:v>0.15438979189714994</c:v>
                </c:pt>
                <c:pt idx="272">
                  <c:v>0.15443270796173891</c:v>
                </c:pt>
                <c:pt idx="273">
                  <c:v>0.15444744409009176</c:v>
                </c:pt>
                <c:pt idx="274">
                  <c:v>0.1545244249351034</c:v>
                </c:pt>
                <c:pt idx="275">
                  <c:v>0.15455122727159831</c:v>
                </c:pt>
                <c:pt idx="276">
                  <c:v>0.15458653083601601</c:v>
                </c:pt>
                <c:pt idx="277">
                  <c:v>0.1546117019148015</c:v>
                </c:pt>
                <c:pt idx="278">
                  <c:v>0.15463623594491124</c:v>
                </c:pt>
                <c:pt idx="279">
                  <c:v>0.15466064721254266</c:v>
                </c:pt>
                <c:pt idx="280">
                  <c:v>0.15468587303842546</c:v>
                </c:pt>
                <c:pt idx="281">
                  <c:v>0.15471902056324424</c:v>
                </c:pt>
                <c:pt idx="282">
                  <c:v>0.15472112781314398</c:v>
                </c:pt>
                <c:pt idx="283">
                  <c:v>0.1547225592788696</c:v>
                </c:pt>
                <c:pt idx="284">
                  <c:v>0.15475706521389601</c:v>
                </c:pt>
                <c:pt idx="285">
                  <c:v>0.15479006422922587</c:v>
                </c:pt>
                <c:pt idx="286">
                  <c:v>0.15479250623533194</c:v>
                </c:pt>
                <c:pt idx="287">
                  <c:v>0.1548009862690802</c:v>
                </c:pt>
                <c:pt idx="288">
                  <c:v>0.15482692453267841</c:v>
                </c:pt>
                <c:pt idx="289">
                  <c:v>0.15484831384928627</c:v>
                </c:pt>
                <c:pt idx="290">
                  <c:v>0.15493236166027746</c:v>
                </c:pt>
                <c:pt idx="291">
                  <c:v>0.15502118444231175</c:v>
                </c:pt>
                <c:pt idx="292">
                  <c:v>0.15504411118254036</c:v>
                </c:pt>
                <c:pt idx="293">
                  <c:v>0.15507051809455014</c:v>
                </c:pt>
                <c:pt idx="294">
                  <c:v>0.15511272549563046</c:v>
                </c:pt>
                <c:pt idx="295">
                  <c:v>0.15513750550734684</c:v>
                </c:pt>
                <c:pt idx="296">
                  <c:v>0.15513962913861387</c:v>
                </c:pt>
                <c:pt idx="297">
                  <c:v>0.15514446204511798</c:v>
                </c:pt>
                <c:pt idx="298">
                  <c:v>0.15516386947190841</c:v>
                </c:pt>
                <c:pt idx="299">
                  <c:v>0.1551866277444337</c:v>
                </c:pt>
                <c:pt idx="300">
                  <c:v>0.15525063798640745</c:v>
                </c:pt>
                <c:pt idx="301">
                  <c:v>0.15529040398538213</c:v>
                </c:pt>
                <c:pt idx="302">
                  <c:v>0.15530676267388288</c:v>
                </c:pt>
                <c:pt idx="303">
                  <c:v>0.15534750322960064</c:v>
                </c:pt>
                <c:pt idx="304">
                  <c:v>0.15538486024242301</c:v>
                </c:pt>
                <c:pt idx="305">
                  <c:v>0.15539943208646531</c:v>
                </c:pt>
                <c:pt idx="306">
                  <c:v>0.15543120857518741</c:v>
                </c:pt>
                <c:pt idx="307">
                  <c:v>0.15543521448605999</c:v>
                </c:pt>
                <c:pt idx="308">
                  <c:v>0.15550128591449464</c:v>
                </c:pt>
                <c:pt idx="309">
                  <c:v>0.15557369464911289</c:v>
                </c:pt>
                <c:pt idx="310">
                  <c:v>0.15561462255711891</c:v>
                </c:pt>
                <c:pt idx="311">
                  <c:v>0.15574914857439839</c:v>
                </c:pt>
                <c:pt idx="312">
                  <c:v>0.15582865116971292</c:v>
                </c:pt>
                <c:pt idx="313">
                  <c:v>0.15583660110354616</c:v>
                </c:pt>
                <c:pt idx="314">
                  <c:v>0.15593315615012951</c:v>
                </c:pt>
                <c:pt idx="315">
                  <c:v>0.15593761930617259</c:v>
                </c:pt>
                <c:pt idx="316">
                  <c:v>0.15595004688290426</c:v>
                </c:pt>
                <c:pt idx="317">
                  <c:v>0.15595841562787399</c:v>
                </c:pt>
                <c:pt idx="318">
                  <c:v>0.15598547944098887</c:v>
                </c:pt>
                <c:pt idx="319">
                  <c:v>0.1560556306495639</c:v>
                </c:pt>
                <c:pt idx="320">
                  <c:v>0.15608558600333974</c:v>
                </c:pt>
                <c:pt idx="321">
                  <c:v>0.15609430440399594</c:v>
                </c:pt>
                <c:pt idx="322">
                  <c:v>0.15610236845687941</c:v>
                </c:pt>
                <c:pt idx="323">
                  <c:v>0.1561865148265984</c:v>
                </c:pt>
                <c:pt idx="324">
                  <c:v>0.15619542532195441</c:v>
                </c:pt>
                <c:pt idx="325">
                  <c:v>0.15622051879158877</c:v>
                </c:pt>
                <c:pt idx="326">
                  <c:v>0.1563143210855549</c:v>
                </c:pt>
                <c:pt idx="327">
                  <c:v>0.15635496333995538</c:v>
                </c:pt>
                <c:pt idx="328">
                  <c:v>0.15638650086203393</c:v>
                </c:pt>
                <c:pt idx="329">
                  <c:v>0.15640952794399521</c:v>
                </c:pt>
                <c:pt idx="330">
                  <c:v>0.1564185374116992</c:v>
                </c:pt>
                <c:pt idx="331">
                  <c:v>0.1564649494091673</c:v>
                </c:pt>
                <c:pt idx="332">
                  <c:v>0.15646870984978775</c:v>
                </c:pt>
                <c:pt idx="333">
                  <c:v>0.15651816418725975</c:v>
                </c:pt>
                <c:pt idx="334">
                  <c:v>0.15655199864481639</c:v>
                </c:pt>
                <c:pt idx="335">
                  <c:v>0.15658918336982136</c:v>
                </c:pt>
                <c:pt idx="336">
                  <c:v>0.15660684137753444</c:v>
                </c:pt>
                <c:pt idx="337">
                  <c:v>0.15664929727636676</c:v>
                </c:pt>
                <c:pt idx="338">
                  <c:v>0.15665928646904093</c:v>
                </c:pt>
                <c:pt idx="339">
                  <c:v>0.15668839199584092</c:v>
                </c:pt>
                <c:pt idx="340">
                  <c:v>0.15669747051988059</c:v>
                </c:pt>
                <c:pt idx="341">
                  <c:v>0.15675484029806624</c:v>
                </c:pt>
                <c:pt idx="342">
                  <c:v>0.15683775593432386</c:v>
                </c:pt>
                <c:pt idx="343">
                  <c:v>0.15687291125693903</c:v>
                </c:pt>
                <c:pt idx="344">
                  <c:v>0.15693332751716019</c:v>
                </c:pt>
                <c:pt idx="345">
                  <c:v>0.15694528869208355</c:v>
                </c:pt>
                <c:pt idx="346">
                  <c:v>0.15697924568600091</c:v>
                </c:pt>
                <c:pt idx="347">
                  <c:v>0.15709535647516956</c:v>
                </c:pt>
                <c:pt idx="348">
                  <c:v>0.15712918921521551</c:v>
                </c:pt>
                <c:pt idx="349">
                  <c:v>0.15726250148104001</c:v>
                </c:pt>
                <c:pt idx="350">
                  <c:v>0.15726429363845704</c:v>
                </c:pt>
                <c:pt idx="351">
                  <c:v>0.15732002322159128</c:v>
                </c:pt>
                <c:pt idx="352">
                  <c:v>0.15736443587268675</c:v>
                </c:pt>
                <c:pt idx="353">
                  <c:v>0.15737383862512741</c:v>
                </c:pt>
                <c:pt idx="354">
                  <c:v>0.15738789118571794</c:v>
                </c:pt>
                <c:pt idx="355">
                  <c:v>0.15740599679788109</c:v>
                </c:pt>
                <c:pt idx="356">
                  <c:v>0.15749177997934991</c:v>
                </c:pt>
                <c:pt idx="357">
                  <c:v>0.15750614898060289</c:v>
                </c:pt>
                <c:pt idx="358">
                  <c:v>0.15751044036806114</c:v>
                </c:pt>
                <c:pt idx="359">
                  <c:v>0.15761187654426448</c:v>
                </c:pt>
                <c:pt idx="360">
                  <c:v>0.15767660188018834</c:v>
                </c:pt>
                <c:pt idx="361">
                  <c:v>0.15769272922923536</c:v>
                </c:pt>
                <c:pt idx="362">
                  <c:v>0.15772372905428145</c:v>
                </c:pt>
                <c:pt idx="363">
                  <c:v>0.15774833510814357</c:v>
                </c:pt>
                <c:pt idx="364">
                  <c:v>0.15775460084096588</c:v>
                </c:pt>
                <c:pt idx="365">
                  <c:v>0.15775599790467229</c:v>
                </c:pt>
                <c:pt idx="366">
                  <c:v>0.15779987905357559</c:v>
                </c:pt>
                <c:pt idx="367">
                  <c:v>0.15786809861244896</c:v>
                </c:pt>
                <c:pt idx="368">
                  <c:v>0.15787449368918891</c:v>
                </c:pt>
                <c:pt idx="369">
                  <c:v>0.15791247056695415</c:v>
                </c:pt>
                <c:pt idx="370">
                  <c:v>0.15792292391512749</c:v>
                </c:pt>
                <c:pt idx="371">
                  <c:v>0.15795501023815761</c:v>
                </c:pt>
                <c:pt idx="372">
                  <c:v>0.15797558473163581</c:v>
                </c:pt>
                <c:pt idx="373">
                  <c:v>0.15803438391798583</c:v>
                </c:pt>
                <c:pt idx="374">
                  <c:v>0.15810930583824803</c:v>
                </c:pt>
                <c:pt idx="375">
                  <c:v>0.1581125638490414</c:v>
                </c:pt>
                <c:pt idx="376">
                  <c:v>0.15813531111560591</c:v>
                </c:pt>
                <c:pt idx="377">
                  <c:v>0.15814200979315104</c:v>
                </c:pt>
                <c:pt idx="378">
                  <c:v>0.15816236598851105</c:v>
                </c:pt>
                <c:pt idx="379">
                  <c:v>0.15816967979507934</c:v>
                </c:pt>
                <c:pt idx="380">
                  <c:v>0.15820399828715798</c:v>
                </c:pt>
                <c:pt idx="381">
                  <c:v>0.15820807751188454</c:v>
                </c:pt>
                <c:pt idx="382">
                  <c:v>0.15821239717739952</c:v>
                </c:pt>
                <c:pt idx="383">
                  <c:v>0.15825078143521276</c:v>
                </c:pt>
                <c:pt idx="384">
                  <c:v>0.15839390993561514</c:v>
                </c:pt>
                <c:pt idx="385">
                  <c:v>0.15847792990252846</c:v>
                </c:pt>
                <c:pt idx="386">
                  <c:v>0.15849840467783599</c:v>
                </c:pt>
                <c:pt idx="387">
                  <c:v>0.15850475521633944</c:v>
                </c:pt>
                <c:pt idx="388">
                  <c:v>0.15854588497653013</c:v>
                </c:pt>
                <c:pt idx="389">
                  <c:v>0.15863306261243926</c:v>
                </c:pt>
                <c:pt idx="390">
                  <c:v>0.1586859520673973</c:v>
                </c:pt>
                <c:pt idx="391">
                  <c:v>0.15874243135750171</c:v>
                </c:pt>
                <c:pt idx="392">
                  <c:v>0.15879938878047331</c:v>
                </c:pt>
                <c:pt idx="393">
                  <c:v>0.15880159511896541</c:v>
                </c:pt>
                <c:pt idx="394">
                  <c:v>0.15883943166119072</c:v>
                </c:pt>
                <c:pt idx="395">
                  <c:v>0.15891041706374004</c:v>
                </c:pt>
                <c:pt idx="396">
                  <c:v>0.15892433442440268</c:v>
                </c:pt>
                <c:pt idx="397">
                  <c:v>0.15892855666749559</c:v>
                </c:pt>
                <c:pt idx="398">
                  <c:v>0.15894977347137551</c:v>
                </c:pt>
                <c:pt idx="399">
                  <c:v>0.15896773995563238</c:v>
                </c:pt>
                <c:pt idx="400">
                  <c:v>0.15896906877154438</c:v>
                </c:pt>
                <c:pt idx="401">
                  <c:v>0.15897393693561271</c:v>
                </c:pt>
                <c:pt idx="402">
                  <c:v>0.15907693528118474</c:v>
                </c:pt>
                <c:pt idx="403">
                  <c:v>0.15924994409772517</c:v>
                </c:pt>
                <c:pt idx="404">
                  <c:v>0.15926194321130682</c:v>
                </c:pt>
                <c:pt idx="405">
                  <c:v>0.15927007635746493</c:v>
                </c:pt>
                <c:pt idx="406">
                  <c:v>0.15931369856344896</c:v>
                </c:pt>
                <c:pt idx="407">
                  <c:v>0.15939761908767774</c:v>
                </c:pt>
                <c:pt idx="408">
                  <c:v>0.15940081382468171</c:v>
                </c:pt>
                <c:pt idx="409">
                  <c:v>0.15949282014046184</c:v>
                </c:pt>
                <c:pt idx="410">
                  <c:v>0.15952107283764674</c:v>
                </c:pt>
                <c:pt idx="411">
                  <c:v>0.15954753747616493</c:v>
                </c:pt>
                <c:pt idx="412">
                  <c:v>0.15965202399581152</c:v>
                </c:pt>
                <c:pt idx="413">
                  <c:v>0.15965230803464683</c:v>
                </c:pt>
                <c:pt idx="414">
                  <c:v>0.15966803584556552</c:v>
                </c:pt>
                <c:pt idx="415">
                  <c:v>0.15969346658853331</c:v>
                </c:pt>
                <c:pt idx="416">
                  <c:v>0.15971054348762481</c:v>
                </c:pt>
                <c:pt idx="417">
                  <c:v>0.15972987534543434</c:v>
                </c:pt>
                <c:pt idx="418">
                  <c:v>0.15979854942457239</c:v>
                </c:pt>
                <c:pt idx="419">
                  <c:v>0.15980467396631734</c:v>
                </c:pt>
                <c:pt idx="420">
                  <c:v>0.15984160420720644</c:v>
                </c:pt>
                <c:pt idx="421">
                  <c:v>0.15992741216336837</c:v>
                </c:pt>
                <c:pt idx="422">
                  <c:v>0.15993806422927292</c:v>
                </c:pt>
                <c:pt idx="423">
                  <c:v>0.15995117648314244</c:v>
                </c:pt>
                <c:pt idx="424">
                  <c:v>0.15996224054467997</c:v>
                </c:pt>
                <c:pt idx="425">
                  <c:v>0.1599795126531954</c:v>
                </c:pt>
                <c:pt idx="426">
                  <c:v>0.15998942929002952</c:v>
                </c:pt>
                <c:pt idx="427">
                  <c:v>0.15999170476927838</c:v>
                </c:pt>
                <c:pt idx="428">
                  <c:v>0.16002082262144487</c:v>
                </c:pt>
                <c:pt idx="429">
                  <c:v>0.16002851728420917</c:v>
                </c:pt>
                <c:pt idx="430">
                  <c:v>0.16005908786137288</c:v>
                </c:pt>
                <c:pt idx="431">
                  <c:v>0.16009424633299796</c:v>
                </c:pt>
                <c:pt idx="432">
                  <c:v>0.16013479975879269</c:v>
                </c:pt>
                <c:pt idx="433">
                  <c:v>0.1601432685031984</c:v>
                </c:pt>
                <c:pt idx="434">
                  <c:v>0.16018686799554013</c:v>
                </c:pt>
                <c:pt idx="435">
                  <c:v>0.16020848699008194</c:v>
                </c:pt>
                <c:pt idx="436">
                  <c:v>0.16020973498195321</c:v>
                </c:pt>
                <c:pt idx="437">
                  <c:v>0.16028304368774771</c:v>
                </c:pt>
                <c:pt idx="438">
                  <c:v>0.16030948105305631</c:v>
                </c:pt>
                <c:pt idx="439">
                  <c:v>0.1603525873946556</c:v>
                </c:pt>
                <c:pt idx="440">
                  <c:v>0.1603778528609715</c:v>
                </c:pt>
                <c:pt idx="441">
                  <c:v>0.16038296672173089</c:v>
                </c:pt>
                <c:pt idx="442">
                  <c:v>0.16038578226289921</c:v>
                </c:pt>
                <c:pt idx="443">
                  <c:v>0.16039071344476372</c:v>
                </c:pt>
                <c:pt idx="444">
                  <c:v>0.16040657881350237</c:v>
                </c:pt>
                <c:pt idx="445">
                  <c:v>0.16041846936671941</c:v>
                </c:pt>
                <c:pt idx="446">
                  <c:v>0.16042416916505189</c:v>
                </c:pt>
                <c:pt idx="447">
                  <c:v>0.16043095265628574</c:v>
                </c:pt>
                <c:pt idx="448">
                  <c:v>0.16044131200847594</c:v>
                </c:pt>
                <c:pt idx="449">
                  <c:v>0.16052528111627096</c:v>
                </c:pt>
                <c:pt idx="450">
                  <c:v>0.16061135823343747</c:v>
                </c:pt>
                <c:pt idx="451">
                  <c:v>0.16067350052627669</c:v>
                </c:pt>
                <c:pt idx="452">
                  <c:v>0.16070252870563387</c:v>
                </c:pt>
                <c:pt idx="453">
                  <c:v>0.16074545114018429</c:v>
                </c:pt>
                <c:pt idx="454">
                  <c:v>0.1607810548182704</c:v>
                </c:pt>
                <c:pt idx="455">
                  <c:v>0.16081454408115542</c:v>
                </c:pt>
                <c:pt idx="456">
                  <c:v>0.16081629461691271</c:v>
                </c:pt>
                <c:pt idx="457">
                  <c:v>0.16083116910436379</c:v>
                </c:pt>
                <c:pt idx="458">
                  <c:v>0.16086704861139781</c:v>
                </c:pt>
                <c:pt idx="459">
                  <c:v>0.16087385522950534</c:v>
                </c:pt>
                <c:pt idx="460">
                  <c:v>0.16087924690154365</c:v>
                </c:pt>
                <c:pt idx="461">
                  <c:v>0.1608911749773862</c:v>
                </c:pt>
                <c:pt idx="462">
                  <c:v>0.16092014338514221</c:v>
                </c:pt>
                <c:pt idx="463">
                  <c:v>0.16096735638680848</c:v>
                </c:pt>
                <c:pt idx="464">
                  <c:v>0.16103028646722162</c:v>
                </c:pt>
                <c:pt idx="465">
                  <c:v>0.16108881162395117</c:v>
                </c:pt>
                <c:pt idx="466">
                  <c:v>0.16112157056945867</c:v>
                </c:pt>
                <c:pt idx="467">
                  <c:v>0.16112725315731041</c:v>
                </c:pt>
                <c:pt idx="468">
                  <c:v>0.16113323422722794</c:v>
                </c:pt>
                <c:pt idx="469">
                  <c:v>0.16114511429385767</c:v>
                </c:pt>
                <c:pt idx="470">
                  <c:v>0.16115277623926619</c:v>
                </c:pt>
                <c:pt idx="471">
                  <c:v>0.16117951814961365</c:v>
                </c:pt>
                <c:pt idx="472">
                  <c:v>0.16118989786078866</c:v>
                </c:pt>
                <c:pt idx="473">
                  <c:v>0.16122538373994971</c:v>
                </c:pt>
                <c:pt idx="474">
                  <c:v>0.16131058615174323</c:v>
                </c:pt>
                <c:pt idx="475">
                  <c:v>0.16140251847167089</c:v>
                </c:pt>
                <c:pt idx="476">
                  <c:v>0.16145522023701439</c:v>
                </c:pt>
                <c:pt idx="477">
                  <c:v>0.16146131219495491</c:v>
                </c:pt>
                <c:pt idx="478">
                  <c:v>0.16146148654416023</c:v>
                </c:pt>
                <c:pt idx="479">
                  <c:v>0.16152177688864974</c:v>
                </c:pt>
                <c:pt idx="480">
                  <c:v>0.16158096043767176</c:v>
                </c:pt>
                <c:pt idx="481">
                  <c:v>0.16158201382877377</c:v>
                </c:pt>
                <c:pt idx="482">
                  <c:v>0.16164605726909814</c:v>
                </c:pt>
                <c:pt idx="483">
                  <c:v>0.1616832886511067</c:v>
                </c:pt>
                <c:pt idx="484">
                  <c:v>0.16171564121594675</c:v>
                </c:pt>
                <c:pt idx="485">
                  <c:v>0.16181223930413224</c:v>
                </c:pt>
                <c:pt idx="486">
                  <c:v>0.16182330142926321</c:v>
                </c:pt>
                <c:pt idx="487">
                  <c:v>0.16183301427323538</c:v>
                </c:pt>
                <c:pt idx="488">
                  <c:v>0.16191069267891911</c:v>
                </c:pt>
                <c:pt idx="489">
                  <c:v>0.16192608439425393</c:v>
                </c:pt>
                <c:pt idx="490">
                  <c:v>0.16195124879331071</c:v>
                </c:pt>
                <c:pt idx="491">
                  <c:v>0.16204536045573403</c:v>
                </c:pt>
                <c:pt idx="492">
                  <c:v>0.16206452870494567</c:v>
                </c:pt>
                <c:pt idx="493">
                  <c:v>0.16212137234540885</c:v>
                </c:pt>
                <c:pt idx="494">
                  <c:v>0.16217896454664635</c:v>
                </c:pt>
                <c:pt idx="495">
                  <c:v>0.16218282139936407</c:v>
                </c:pt>
                <c:pt idx="496">
                  <c:v>0.16220584887267941</c:v>
                </c:pt>
                <c:pt idx="497">
                  <c:v>0.16222602628671537</c:v>
                </c:pt>
                <c:pt idx="498">
                  <c:v>0.16225372402799726</c:v>
                </c:pt>
                <c:pt idx="499">
                  <c:v>0.16232899621689259</c:v>
                </c:pt>
                <c:pt idx="500">
                  <c:v>0.16233780260571937</c:v>
                </c:pt>
                <c:pt idx="501">
                  <c:v>0.16249018042101407</c:v>
                </c:pt>
                <c:pt idx="502">
                  <c:v>0.16249816236893891</c:v>
                </c:pt>
                <c:pt idx="503">
                  <c:v>0.1625321968356514</c:v>
                </c:pt>
                <c:pt idx="504">
                  <c:v>0.16258681377291648</c:v>
                </c:pt>
                <c:pt idx="505">
                  <c:v>0.16260757517352517</c:v>
                </c:pt>
                <c:pt idx="506">
                  <c:v>0.16266338919873941</c:v>
                </c:pt>
                <c:pt idx="507">
                  <c:v>0.1627011062025</c:v>
                </c:pt>
                <c:pt idx="508">
                  <c:v>0.16270418033989995</c:v>
                </c:pt>
                <c:pt idx="509">
                  <c:v>0.16274195445848291</c:v>
                </c:pt>
                <c:pt idx="510">
                  <c:v>0.16277117215122291</c:v>
                </c:pt>
                <c:pt idx="511">
                  <c:v>0.16295087621431617</c:v>
                </c:pt>
                <c:pt idx="512">
                  <c:v>0.16303111433215958</c:v>
                </c:pt>
                <c:pt idx="513">
                  <c:v>0.16309348226923367</c:v>
                </c:pt>
                <c:pt idx="514">
                  <c:v>0.16311733012854626</c:v>
                </c:pt>
                <c:pt idx="515">
                  <c:v>0.16315439563124279</c:v>
                </c:pt>
                <c:pt idx="516">
                  <c:v>0.16315614560070038</c:v>
                </c:pt>
                <c:pt idx="517">
                  <c:v>0.16318721259050881</c:v>
                </c:pt>
                <c:pt idx="518">
                  <c:v>0.1632510028327519</c:v>
                </c:pt>
                <c:pt idx="519">
                  <c:v>0.16341402832446841</c:v>
                </c:pt>
                <c:pt idx="520">
                  <c:v>0.16342482125746871</c:v>
                </c:pt>
                <c:pt idx="521">
                  <c:v>0.1634807947203557</c:v>
                </c:pt>
                <c:pt idx="522">
                  <c:v>0.16354974256013657</c:v>
                </c:pt>
                <c:pt idx="523">
                  <c:v>0.16355702522879187</c:v>
                </c:pt>
                <c:pt idx="524">
                  <c:v>0.16359913881203353</c:v>
                </c:pt>
                <c:pt idx="525">
                  <c:v>0.16362976725727005</c:v>
                </c:pt>
                <c:pt idx="526">
                  <c:v>0.1636360201158657</c:v>
                </c:pt>
                <c:pt idx="527">
                  <c:v>0.16366836767152734</c:v>
                </c:pt>
                <c:pt idx="528">
                  <c:v>0.16371185414718814</c:v>
                </c:pt>
                <c:pt idx="529">
                  <c:v>0.16380099016710087</c:v>
                </c:pt>
                <c:pt idx="530">
                  <c:v>0.16381068287821379</c:v>
                </c:pt>
                <c:pt idx="531">
                  <c:v>0.16382752100190787</c:v>
                </c:pt>
                <c:pt idx="532">
                  <c:v>0.16383745795090471</c:v>
                </c:pt>
                <c:pt idx="533">
                  <c:v>0.16388165789510803</c:v>
                </c:pt>
                <c:pt idx="534">
                  <c:v>0.16392197025036689</c:v>
                </c:pt>
                <c:pt idx="535">
                  <c:v>0.1639373732504574</c:v>
                </c:pt>
                <c:pt idx="536">
                  <c:v>0.16400206238770559</c:v>
                </c:pt>
                <c:pt idx="537">
                  <c:v>0.16400725125967097</c:v>
                </c:pt>
                <c:pt idx="538">
                  <c:v>0.16401203525254421</c:v>
                </c:pt>
                <c:pt idx="539">
                  <c:v>0.16407412710704836</c:v>
                </c:pt>
                <c:pt idx="540">
                  <c:v>0.16407918936477264</c:v>
                </c:pt>
                <c:pt idx="541">
                  <c:v>0.16409796283199488</c:v>
                </c:pt>
                <c:pt idx="542">
                  <c:v>0.16415182856203947</c:v>
                </c:pt>
                <c:pt idx="543">
                  <c:v>0.16426139237314141</c:v>
                </c:pt>
                <c:pt idx="544">
                  <c:v>0.16436334467635841</c:v>
                </c:pt>
                <c:pt idx="545">
                  <c:v>0.16437755325954309</c:v>
                </c:pt>
                <c:pt idx="546">
                  <c:v>0.16442554094022421</c:v>
                </c:pt>
                <c:pt idx="547">
                  <c:v>0.16446971240896391</c:v>
                </c:pt>
                <c:pt idx="548">
                  <c:v>0.16453265745374238</c:v>
                </c:pt>
                <c:pt idx="549">
                  <c:v>0.16462171581601218</c:v>
                </c:pt>
                <c:pt idx="550">
                  <c:v>0.16469514431849624</c:v>
                </c:pt>
                <c:pt idx="551">
                  <c:v>0.16470439523894603</c:v>
                </c:pt>
                <c:pt idx="552">
                  <c:v>0.16472430782360878</c:v>
                </c:pt>
                <c:pt idx="553">
                  <c:v>0.16474349554332754</c:v>
                </c:pt>
                <c:pt idx="554">
                  <c:v>0.16476691185953671</c:v>
                </c:pt>
                <c:pt idx="555">
                  <c:v>0.16481197440923642</c:v>
                </c:pt>
                <c:pt idx="556">
                  <c:v>0.16487995080017084</c:v>
                </c:pt>
                <c:pt idx="557">
                  <c:v>0.16494574258916764</c:v>
                </c:pt>
                <c:pt idx="558">
                  <c:v>0.16495079599595711</c:v>
                </c:pt>
                <c:pt idx="559">
                  <c:v>0.16495356441482489</c:v>
                </c:pt>
                <c:pt idx="560">
                  <c:v>0.16496968311561591</c:v>
                </c:pt>
                <c:pt idx="561">
                  <c:v>0.16506400649710518</c:v>
                </c:pt>
                <c:pt idx="562">
                  <c:v>0.16507042333276181</c:v>
                </c:pt>
                <c:pt idx="563">
                  <c:v>0.16507339988774244</c:v>
                </c:pt>
                <c:pt idx="564">
                  <c:v>0.1651175109210648</c:v>
                </c:pt>
                <c:pt idx="565">
                  <c:v>0.16514245987886891</c:v>
                </c:pt>
                <c:pt idx="566">
                  <c:v>0.16517144968925337</c:v>
                </c:pt>
                <c:pt idx="567">
                  <c:v>0.16521975847959244</c:v>
                </c:pt>
                <c:pt idx="568">
                  <c:v>0.165256611057711</c:v>
                </c:pt>
                <c:pt idx="569">
                  <c:v>0.16527906186851787</c:v>
                </c:pt>
                <c:pt idx="570">
                  <c:v>0.16529276548947724</c:v>
                </c:pt>
                <c:pt idx="571">
                  <c:v>0.16529517639924945</c:v>
                </c:pt>
                <c:pt idx="572">
                  <c:v>0.16550064579303006</c:v>
                </c:pt>
                <c:pt idx="573">
                  <c:v>0.16553388844636527</c:v>
                </c:pt>
                <c:pt idx="574">
                  <c:v>0.1655607573571769</c:v>
                </c:pt>
                <c:pt idx="575">
                  <c:v>0.16557290408789591</c:v>
                </c:pt>
                <c:pt idx="576">
                  <c:v>0.16558907793833769</c:v>
                </c:pt>
                <c:pt idx="577">
                  <c:v>0.1656515060776648</c:v>
                </c:pt>
                <c:pt idx="578">
                  <c:v>0.16568541606974468</c:v>
                </c:pt>
                <c:pt idx="579">
                  <c:v>0.16574610844447746</c:v>
                </c:pt>
                <c:pt idx="580">
                  <c:v>0.16574867379017341</c:v>
                </c:pt>
                <c:pt idx="581">
                  <c:v>0.16579842630215721</c:v>
                </c:pt>
                <c:pt idx="582">
                  <c:v>0.16580127884477225</c:v>
                </c:pt>
                <c:pt idx="583">
                  <c:v>0.16582433390959039</c:v>
                </c:pt>
                <c:pt idx="584">
                  <c:v>0.16586916730936171</c:v>
                </c:pt>
                <c:pt idx="585">
                  <c:v>0.1658969550095386</c:v>
                </c:pt>
                <c:pt idx="586">
                  <c:v>0.16589799789931747</c:v>
                </c:pt>
                <c:pt idx="587">
                  <c:v>0.16593714428932463</c:v>
                </c:pt>
                <c:pt idx="588">
                  <c:v>0.16602333077396439</c:v>
                </c:pt>
                <c:pt idx="589">
                  <c:v>0.16608343671523887</c:v>
                </c:pt>
                <c:pt idx="590">
                  <c:v>0.16613470158662791</c:v>
                </c:pt>
                <c:pt idx="591">
                  <c:v>0.16613571914331657</c:v>
                </c:pt>
                <c:pt idx="592">
                  <c:v>0.16613848332083336</c:v>
                </c:pt>
                <c:pt idx="593">
                  <c:v>0.16617201933985215</c:v>
                </c:pt>
                <c:pt idx="594">
                  <c:v>0.16619048981208553</c:v>
                </c:pt>
                <c:pt idx="595">
                  <c:v>0.16619156386961137</c:v>
                </c:pt>
                <c:pt idx="596">
                  <c:v>0.16620573118063159</c:v>
                </c:pt>
                <c:pt idx="597">
                  <c:v>0.16622323578294629</c:v>
                </c:pt>
                <c:pt idx="598">
                  <c:v>0.16623937065434471</c:v>
                </c:pt>
                <c:pt idx="599">
                  <c:v>0.1662801607237657</c:v>
                </c:pt>
                <c:pt idx="600">
                  <c:v>0.1662881111066537</c:v>
                </c:pt>
                <c:pt idx="601">
                  <c:v>0.16629692488700323</c:v>
                </c:pt>
                <c:pt idx="602">
                  <c:v>0.16630549469023317</c:v>
                </c:pt>
                <c:pt idx="603">
                  <c:v>0.16642828034215418</c:v>
                </c:pt>
                <c:pt idx="604">
                  <c:v>0.16643118221841421</c:v>
                </c:pt>
                <c:pt idx="605">
                  <c:v>0.16644928736339148</c:v>
                </c:pt>
                <c:pt idx="606">
                  <c:v>0.16644987048880391</c:v>
                </c:pt>
                <c:pt idx="607">
                  <c:v>0.16651485095782917</c:v>
                </c:pt>
                <c:pt idx="608">
                  <c:v>0.1665327038576887</c:v>
                </c:pt>
                <c:pt idx="609">
                  <c:v>0.16655738311327284</c:v>
                </c:pt>
                <c:pt idx="610">
                  <c:v>0.16655933116183408</c:v>
                </c:pt>
                <c:pt idx="611">
                  <c:v>0.16656598210482507</c:v>
                </c:pt>
                <c:pt idx="612">
                  <c:v>0.16657643191776841</c:v>
                </c:pt>
                <c:pt idx="613">
                  <c:v>0.16658752655098014</c:v>
                </c:pt>
                <c:pt idx="614">
                  <c:v>0.16659308184984756</c:v>
                </c:pt>
                <c:pt idx="615">
                  <c:v>0.1666340027951442</c:v>
                </c:pt>
                <c:pt idx="616">
                  <c:v>0.16663730003662294</c:v>
                </c:pt>
                <c:pt idx="617">
                  <c:v>0.16664434289300994</c:v>
                </c:pt>
                <c:pt idx="618">
                  <c:v>0.16668900982504992</c:v>
                </c:pt>
                <c:pt idx="619">
                  <c:v>0.16670665000609594</c:v>
                </c:pt>
                <c:pt idx="620">
                  <c:v>0.16673859304902724</c:v>
                </c:pt>
                <c:pt idx="621">
                  <c:v>0.16678295510004879</c:v>
                </c:pt>
                <c:pt idx="622">
                  <c:v>0.16682277698772555</c:v>
                </c:pt>
                <c:pt idx="623">
                  <c:v>0.16683303738374897</c:v>
                </c:pt>
                <c:pt idx="624">
                  <c:v>0.16683963866886647</c:v>
                </c:pt>
                <c:pt idx="625">
                  <c:v>0.16684810949478976</c:v>
                </c:pt>
                <c:pt idx="626">
                  <c:v>0.16688834162249419</c:v>
                </c:pt>
                <c:pt idx="627">
                  <c:v>0.16692250637505507</c:v>
                </c:pt>
                <c:pt idx="628">
                  <c:v>0.16692375286839894</c:v>
                </c:pt>
                <c:pt idx="629">
                  <c:v>0.16694572150471304</c:v>
                </c:pt>
                <c:pt idx="630">
                  <c:v>0.16699386576140168</c:v>
                </c:pt>
                <c:pt idx="631">
                  <c:v>0.16699601847494724</c:v>
                </c:pt>
                <c:pt idx="632">
                  <c:v>0.16700305820080738</c:v>
                </c:pt>
                <c:pt idx="633">
                  <c:v>0.16703051065830687</c:v>
                </c:pt>
                <c:pt idx="634">
                  <c:v>0.16707945977663471</c:v>
                </c:pt>
                <c:pt idx="635">
                  <c:v>0.16708789519027703</c:v>
                </c:pt>
                <c:pt idx="636">
                  <c:v>0.16712223777781046</c:v>
                </c:pt>
                <c:pt idx="637">
                  <c:v>0.16713146105273594</c:v>
                </c:pt>
                <c:pt idx="638">
                  <c:v>0.16717130563392757</c:v>
                </c:pt>
                <c:pt idx="639">
                  <c:v>0.16723348958948525</c:v>
                </c:pt>
                <c:pt idx="640">
                  <c:v>0.16725522090000625</c:v>
                </c:pt>
                <c:pt idx="641">
                  <c:v>0.16744165643209319</c:v>
                </c:pt>
                <c:pt idx="642">
                  <c:v>0.16755900049299824</c:v>
                </c:pt>
                <c:pt idx="643">
                  <c:v>0.16764012322985217</c:v>
                </c:pt>
                <c:pt idx="644">
                  <c:v>0.16769405140226323</c:v>
                </c:pt>
                <c:pt idx="645">
                  <c:v>0.16772868869751978</c:v>
                </c:pt>
                <c:pt idx="646">
                  <c:v>0.16775174688191621</c:v>
                </c:pt>
                <c:pt idx="647">
                  <c:v>0.16779913151092193</c:v>
                </c:pt>
                <c:pt idx="648">
                  <c:v>0.16781104359552901</c:v>
                </c:pt>
                <c:pt idx="649">
                  <c:v>0.16785608881302999</c:v>
                </c:pt>
                <c:pt idx="650">
                  <c:v>0.16789822850629674</c:v>
                </c:pt>
                <c:pt idx="651">
                  <c:v>0.16791021594232125</c:v>
                </c:pt>
                <c:pt idx="652">
                  <c:v>0.16794872897975538</c:v>
                </c:pt>
                <c:pt idx="653">
                  <c:v>0.16797239558216401</c:v>
                </c:pt>
                <c:pt idx="654">
                  <c:v>0.16799850317011691</c:v>
                </c:pt>
                <c:pt idx="655">
                  <c:v>0.16802155420865014</c:v>
                </c:pt>
                <c:pt idx="656">
                  <c:v>0.1680416959509837</c:v>
                </c:pt>
                <c:pt idx="657">
                  <c:v>0.16807371624039988</c:v>
                </c:pt>
                <c:pt idx="658">
                  <c:v>0.16809320877097941</c:v>
                </c:pt>
                <c:pt idx="659">
                  <c:v>0.16809394616185441</c:v>
                </c:pt>
                <c:pt idx="660">
                  <c:v>0.16809821293942293</c:v>
                </c:pt>
                <c:pt idx="661">
                  <c:v>0.16813130121885617</c:v>
                </c:pt>
                <c:pt idx="662">
                  <c:v>0.16813848325910041</c:v>
                </c:pt>
                <c:pt idx="663">
                  <c:v>0.16814108872655098</c:v>
                </c:pt>
                <c:pt idx="664">
                  <c:v>0.1681585460649985</c:v>
                </c:pt>
                <c:pt idx="665">
                  <c:v>0.16818302272168667</c:v>
                </c:pt>
                <c:pt idx="666">
                  <c:v>0.1681890168218052</c:v>
                </c:pt>
                <c:pt idx="667">
                  <c:v>0.16823342605558381</c:v>
                </c:pt>
                <c:pt idx="668">
                  <c:v>0.1682425222397643</c:v>
                </c:pt>
                <c:pt idx="669">
                  <c:v>0.16824886546869341</c:v>
                </c:pt>
                <c:pt idx="670">
                  <c:v>0.16833551002884037</c:v>
                </c:pt>
                <c:pt idx="671">
                  <c:v>0.1683514085005002</c:v>
                </c:pt>
                <c:pt idx="672">
                  <c:v>0.16836256936182947</c:v>
                </c:pt>
                <c:pt idx="673">
                  <c:v>0.16836470661321168</c:v>
                </c:pt>
                <c:pt idx="674">
                  <c:v>0.16838502437966568</c:v>
                </c:pt>
                <c:pt idx="675">
                  <c:v>0.1683907465376159</c:v>
                </c:pt>
                <c:pt idx="676">
                  <c:v>0.16848076754139626</c:v>
                </c:pt>
                <c:pt idx="677">
                  <c:v>0.16856334209665091</c:v>
                </c:pt>
                <c:pt idx="678">
                  <c:v>0.16859037895941498</c:v>
                </c:pt>
                <c:pt idx="679">
                  <c:v>0.16863960709205789</c:v>
                </c:pt>
                <c:pt idx="680">
                  <c:v>0.1686427489241383</c:v>
                </c:pt>
                <c:pt idx="681">
                  <c:v>0.16869854492672379</c:v>
                </c:pt>
                <c:pt idx="682">
                  <c:v>0.1687614560454937</c:v>
                </c:pt>
                <c:pt idx="683">
                  <c:v>0.16885658361959718</c:v>
                </c:pt>
                <c:pt idx="684">
                  <c:v>0.16885996697216579</c:v>
                </c:pt>
                <c:pt idx="685">
                  <c:v>0.1688871220199456</c:v>
                </c:pt>
                <c:pt idx="686">
                  <c:v>0.16894022293442837</c:v>
                </c:pt>
                <c:pt idx="687">
                  <c:v>0.16894049308575848</c:v>
                </c:pt>
                <c:pt idx="688">
                  <c:v>0.16900472927443019</c:v>
                </c:pt>
                <c:pt idx="689">
                  <c:v>0.1690157216213192</c:v>
                </c:pt>
                <c:pt idx="690">
                  <c:v>0.16907692716633593</c:v>
                </c:pt>
                <c:pt idx="691">
                  <c:v>0.16911732788820621</c:v>
                </c:pt>
                <c:pt idx="692">
                  <c:v>0.1691533751564574</c:v>
                </c:pt>
                <c:pt idx="693">
                  <c:v>0.16915396543841568</c:v>
                </c:pt>
                <c:pt idx="694">
                  <c:v>0.16923563228531044</c:v>
                </c:pt>
                <c:pt idx="695">
                  <c:v>0.16923636585071394</c:v>
                </c:pt>
                <c:pt idx="696">
                  <c:v>0.16925739325192618</c:v>
                </c:pt>
                <c:pt idx="697">
                  <c:v>0.16925944585802363</c:v>
                </c:pt>
                <c:pt idx="698">
                  <c:v>0.1692623879813932</c:v>
                </c:pt>
                <c:pt idx="699">
                  <c:v>0.1692870178015857</c:v>
                </c:pt>
                <c:pt idx="700">
                  <c:v>0.16930572861201967</c:v>
                </c:pt>
                <c:pt idx="701">
                  <c:v>0.16931080409977856</c:v>
                </c:pt>
                <c:pt idx="702">
                  <c:v>0.16931416590636394</c:v>
                </c:pt>
                <c:pt idx="703">
                  <c:v>0.16935569664918337</c:v>
                </c:pt>
                <c:pt idx="704">
                  <c:v>0.16935899616999894</c:v>
                </c:pt>
                <c:pt idx="705">
                  <c:v>0.16936899959304424</c:v>
                </c:pt>
                <c:pt idx="706">
                  <c:v>0.16938597512565387</c:v>
                </c:pt>
                <c:pt idx="707">
                  <c:v>0.16941874447031247</c:v>
                </c:pt>
                <c:pt idx="708">
                  <c:v>0.16945744035000218</c:v>
                </c:pt>
                <c:pt idx="709">
                  <c:v>0.16947372268322852</c:v>
                </c:pt>
                <c:pt idx="710">
                  <c:v>0.16949324918593919</c:v>
                </c:pt>
                <c:pt idx="711">
                  <c:v>0.16954107640405766</c:v>
                </c:pt>
                <c:pt idx="712">
                  <c:v>0.16957886436024208</c:v>
                </c:pt>
                <c:pt idx="713">
                  <c:v>0.16958651367773672</c:v>
                </c:pt>
                <c:pt idx="714">
                  <c:v>0.16958834312221269</c:v>
                </c:pt>
                <c:pt idx="715">
                  <c:v>0.16968821031608203</c:v>
                </c:pt>
                <c:pt idx="716">
                  <c:v>0.1696902512688909</c:v>
                </c:pt>
                <c:pt idx="717">
                  <c:v>0.16973948323015944</c:v>
                </c:pt>
                <c:pt idx="718">
                  <c:v>0.16974322563439612</c:v>
                </c:pt>
                <c:pt idx="719">
                  <c:v>0.16977160810297054</c:v>
                </c:pt>
                <c:pt idx="720">
                  <c:v>0.16984082846550419</c:v>
                </c:pt>
                <c:pt idx="721">
                  <c:v>0.16987624319952896</c:v>
                </c:pt>
                <c:pt idx="722">
                  <c:v>0.16996098894471856</c:v>
                </c:pt>
                <c:pt idx="723">
                  <c:v>0.16998706843024441</c:v>
                </c:pt>
                <c:pt idx="724">
                  <c:v>0.17015862887176125</c:v>
                </c:pt>
                <c:pt idx="725">
                  <c:v>0.17017668847127923</c:v>
                </c:pt>
                <c:pt idx="726">
                  <c:v>0.17017756457507513</c:v>
                </c:pt>
                <c:pt idx="727">
                  <c:v>0.17018820307868737</c:v>
                </c:pt>
                <c:pt idx="728">
                  <c:v>0.17022648128358164</c:v>
                </c:pt>
                <c:pt idx="729">
                  <c:v>0.17026906608822948</c:v>
                </c:pt>
                <c:pt idx="730">
                  <c:v>0.17036424821786741</c:v>
                </c:pt>
                <c:pt idx="731">
                  <c:v>0.17039812821291439</c:v>
                </c:pt>
                <c:pt idx="732">
                  <c:v>0.17041708131119623</c:v>
                </c:pt>
                <c:pt idx="733">
                  <c:v>0.17042972727957287</c:v>
                </c:pt>
                <c:pt idx="734">
                  <c:v>0.17044651565476276</c:v>
                </c:pt>
                <c:pt idx="735">
                  <c:v>0.17044879700392332</c:v>
                </c:pt>
                <c:pt idx="736">
                  <c:v>0.17053138664260106</c:v>
                </c:pt>
                <c:pt idx="737">
                  <c:v>0.17062738250756901</c:v>
                </c:pt>
                <c:pt idx="738">
                  <c:v>0.17063430214402991</c:v>
                </c:pt>
                <c:pt idx="739">
                  <c:v>0.17063470681517104</c:v>
                </c:pt>
                <c:pt idx="740">
                  <c:v>0.17063988502864352</c:v>
                </c:pt>
                <c:pt idx="741">
                  <c:v>0.17070489683431236</c:v>
                </c:pt>
                <c:pt idx="742">
                  <c:v>0.17074538121096852</c:v>
                </c:pt>
                <c:pt idx="743">
                  <c:v>0.17075184096198678</c:v>
                </c:pt>
                <c:pt idx="744">
                  <c:v>0.17077305691650238</c:v>
                </c:pt>
                <c:pt idx="745">
                  <c:v>0.17078725371816941</c:v>
                </c:pt>
                <c:pt idx="746">
                  <c:v>0.1708068281118158</c:v>
                </c:pt>
                <c:pt idx="747">
                  <c:v>0.17093624612565494</c:v>
                </c:pt>
                <c:pt idx="748">
                  <c:v>0.17096583737750387</c:v>
                </c:pt>
                <c:pt idx="749">
                  <c:v>0.17098849963613263</c:v>
                </c:pt>
                <c:pt idx="750">
                  <c:v>0.17098985452123186</c:v>
                </c:pt>
                <c:pt idx="751">
                  <c:v>0.17107835984614644</c:v>
                </c:pt>
                <c:pt idx="752">
                  <c:v>0.17114352820954559</c:v>
                </c:pt>
                <c:pt idx="753">
                  <c:v>0.17116662174853667</c:v>
                </c:pt>
                <c:pt idx="754">
                  <c:v>0.17120814196586459</c:v>
                </c:pt>
                <c:pt idx="755">
                  <c:v>0.1712436784067882</c:v>
                </c:pt>
                <c:pt idx="756">
                  <c:v>0.17130870035629395</c:v>
                </c:pt>
                <c:pt idx="757">
                  <c:v>0.17140993653825307</c:v>
                </c:pt>
                <c:pt idx="758">
                  <c:v>0.17146088691257144</c:v>
                </c:pt>
                <c:pt idx="759">
                  <c:v>0.17156188044282109</c:v>
                </c:pt>
                <c:pt idx="760">
                  <c:v>0.17160166779805117</c:v>
                </c:pt>
                <c:pt idx="761">
                  <c:v>0.17163690566527506</c:v>
                </c:pt>
                <c:pt idx="762">
                  <c:v>0.1716541413308823</c:v>
                </c:pt>
                <c:pt idx="763">
                  <c:v>0.17168589808276971</c:v>
                </c:pt>
                <c:pt idx="764">
                  <c:v>0.17168918979933806</c:v>
                </c:pt>
                <c:pt idx="765">
                  <c:v>0.17172735541227349</c:v>
                </c:pt>
                <c:pt idx="766">
                  <c:v>0.17174574961357369</c:v>
                </c:pt>
                <c:pt idx="767">
                  <c:v>0.17179477622606024</c:v>
                </c:pt>
                <c:pt idx="768">
                  <c:v>0.17179738903002714</c:v>
                </c:pt>
                <c:pt idx="769">
                  <c:v>0.17180652518027148</c:v>
                </c:pt>
                <c:pt idx="770">
                  <c:v>0.17181774529039345</c:v>
                </c:pt>
                <c:pt idx="771">
                  <c:v>0.17182832443212859</c:v>
                </c:pt>
                <c:pt idx="772">
                  <c:v>0.17186502358428121</c:v>
                </c:pt>
                <c:pt idx="773">
                  <c:v>0.17189520115951923</c:v>
                </c:pt>
                <c:pt idx="774">
                  <c:v>0.17192004663092245</c:v>
                </c:pt>
                <c:pt idx="775">
                  <c:v>0.17193140324328221</c:v>
                </c:pt>
                <c:pt idx="776">
                  <c:v>0.17196909048598319</c:v>
                </c:pt>
                <c:pt idx="777">
                  <c:v>0.1721125462174127</c:v>
                </c:pt>
                <c:pt idx="778">
                  <c:v>0.17213648740573062</c:v>
                </c:pt>
                <c:pt idx="779">
                  <c:v>0.17215811534073283</c:v>
                </c:pt>
                <c:pt idx="780">
                  <c:v>0.17220800945708886</c:v>
                </c:pt>
                <c:pt idx="781">
                  <c:v>0.17222361566901917</c:v>
                </c:pt>
                <c:pt idx="782">
                  <c:v>0.17225025381845221</c:v>
                </c:pt>
                <c:pt idx="783">
                  <c:v>0.17232358474019804</c:v>
                </c:pt>
                <c:pt idx="784">
                  <c:v>0.17237108981089821</c:v>
                </c:pt>
                <c:pt idx="785">
                  <c:v>0.17238949933746575</c:v>
                </c:pt>
                <c:pt idx="786">
                  <c:v>0.17240533136554298</c:v>
                </c:pt>
                <c:pt idx="787">
                  <c:v>0.17244963074521003</c:v>
                </c:pt>
                <c:pt idx="788">
                  <c:v>0.17247749291939948</c:v>
                </c:pt>
                <c:pt idx="789">
                  <c:v>0.17257033509504596</c:v>
                </c:pt>
                <c:pt idx="790">
                  <c:v>0.17260586366204181</c:v>
                </c:pt>
                <c:pt idx="791">
                  <c:v>0.17262744630770371</c:v>
                </c:pt>
                <c:pt idx="792">
                  <c:v>0.17283374107994903</c:v>
                </c:pt>
                <c:pt idx="793">
                  <c:v>0.17284300298219407</c:v>
                </c:pt>
                <c:pt idx="794">
                  <c:v>0.17289176694830119</c:v>
                </c:pt>
                <c:pt idx="795">
                  <c:v>0.17291677946018491</c:v>
                </c:pt>
                <c:pt idx="796">
                  <c:v>0.17291887638780098</c:v>
                </c:pt>
                <c:pt idx="797">
                  <c:v>0.17293497138508451</c:v>
                </c:pt>
                <c:pt idx="798">
                  <c:v>0.17305105345554381</c:v>
                </c:pt>
                <c:pt idx="799">
                  <c:v>0.17315340267611209</c:v>
                </c:pt>
                <c:pt idx="800">
                  <c:v>0.17316762975125211</c:v>
                </c:pt>
                <c:pt idx="801">
                  <c:v>0.17321367439443841</c:v>
                </c:pt>
                <c:pt idx="802">
                  <c:v>0.17326123119030687</c:v>
                </c:pt>
                <c:pt idx="803">
                  <c:v>0.17341190307754858</c:v>
                </c:pt>
                <c:pt idx="804">
                  <c:v>0.17341767231038521</c:v>
                </c:pt>
                <c:pt idx="805">
                  <c:v>0.17347021834376125</c:v>
                </c:pt>
                <c:pt idx="806">
                  <c:v>0.17348972551882144</c:v>
                </c:pt>
                <c:pt idx="807">
                  <c:v>0.17349885630123349</c:v>
                </c:pt>
                <c:pt idx="808">
                  <c:v>0.17357403650664521</c:v>
                </c:pt>
                <c:pt idx="809">
                  <c:v>0.17364534886404107</c:v>
                </c:pt>
                <c:pt idx="810">
                  <c:v>0.17368468532019773</c:v>
                </c:pt>
                <c:pt idx="811">
                  <c:v>0.17371124217152395</c:v>
                </c:pt>
                <c:pt idx="812">
                  <c:v>0.17379679416038096</c:v>
                </c:pt>
                <c:pt idx="813">
                  <c:v>0.17383263470827079</c:v>
                </c:pt>
                <c:pt idx="814">
                  <c:v>0.17394454353211725</c:v>
                </c:pt>
                <c:pt idx="815">
                  <c:v>0.17395097319778324</c:v>
                </c:pt>
                <c:pt idx="816">
                  <c:v>0.17397280100241949</c:v>
                </c:pt>
                <c:pt idx="817">
                  <c:v>0.17406582717297694</c:v>
                </c:pt>
                <c:pt idx="818">
                  <c:v>0.17412517764601113</c:v>
                </c:pt>
                <c:pt idx="819">
                  <c:v>0.17417476293507617</c:v>
                </c:pt>
                <c:pt idx="820">
                  <c:v>0.17420096467587259</c:v>
                </c:pt>
                <c:pt idx="821">
                  <c:v>0.17429178493554021</c:v>
                </c:pt>
                <c:pt idx="822">
                  <c:v>0.17433487494431169</c:v>
                </c:pt>
                <c:pt idx="823">
                  <c:v>0.17455945081178167</c:v>
                </c:pt>
                <c:pt idx="824">
                  <c:v>0.17463803708352671</c:v>
                </c:pt>
                <c:pt idx="825">
                  <c:v>0.17465968791340966</c:v>
                </c:pt>
                <c:pt idx="826">
                  <c:v>0.17471501972748624</c:v>
                </c:pt>
                <c:pt idx="827">
                  <c:v>0.17484432312187259</c:v>
                </c:pt>
                <c:pt idx="828">
                  <c:v>0.17484932013639351</c:v>
                </c:pt>
                <c:pt idx="829">
                  <c:v>0.17486065905873527</c:v>
                </c:pt>
                <c:pt idx="830">
                  <c:v>0.17509586700195773</c:v>
                </c:pt>
                <c:pt idx="831">
                  <c:v>0.17512976857299528</c:v>
                </c:pt>
                <c:pt idx="832">
                  <c:v>0.1752340868400642</c:v>
                </c:pt>
                <c:pt idx="833">
                  <c:v>0.17524041146391273</c:v>
                </c:pt>
                <c:pt idx="834">
                  <c:v>0.17533647456905221</c:v>
                </c:pt>
                <c:pt idx="835">
                  <c:v>0.17534811010342963</c:v>
                </c:pt>
                <c:pt idx="836">
                  <c:v>0.17543626503951221</c:v>
                </c:pt>
                <c:pt idx="837">
                  <c:v>0.1755118677118154</c:v>
                </c:pt>
                <c:pt idx="838">
                  <c:v>0.17555269815706676</c:v>
                </c:pt>
                <c:pt idx="839">
                  <c:v>0.17555939328413411</c:v>
                </c:pt>
                <c:pt idx="840">
                  <c:v>0.17556476198997881</c:v>
                </c:pt>
                <c:pt idx="841">
                  <c:v>0.1756306874726852</c:v>
                </c:pt>
                <c:pt idx="842">
                  <c:v>0.17573788418723543</c:v>
                </c:pt>
                <c:pt idx="843">
                  <c:v>0.17574813407051462</c:v>
                </c:pt>
                <c:pt idx="844">
                  <c:v>0.17579538318582785</c:v>
                </c:pt>
                <c:pt idx="845">
                  <c:v>0.17587855231978317</c:v>
                </c:pt>
                <c:pt idx="846">
                  <c:v>0.17596604383741404</c:v>
                </c:pt>
                <c:pt idx="847">
                  <c:v>0.17597600288104462</c:v>
                </c:pt>
                <c:pt idx="848">
                  <c:v>0.17603064456527728</c:v>
                </c:pt>
                <c:pt idx="849">
                  <c:v>0.17604275422167023</c:v>
                </c:pt>
                <c:pt idx="850">
                  <c:v>0.17606738899579902</c:v>
                </c:pt>
                <c:pt idx="851">
                  <c:v>0.17612137823927917</c:v>
                </c:pt>
                <c:pt idx="852">
                  <c:v>0.17614853308918091</c:v>
                </c:pt>
                <c:pt idx="853">
                  <c:v>0.17616879839734362</c:v>
                </c:pt>
                <c:pt idx="854">
                  <c:v>0.17621866295817831</c:v>
                </c:pt>
                <c:pt idx="855">
                  <c:v>0.17624583273823152</c:v>
                </c:pt>
                <c:pt idx="856">
                  <c:v>0.17625355745795021</c:v>
                </c:pt>
                <c:pt idx="857">
                  <c:v>0.17626659130804764</c:v>
                </c:pt>
                <c:pt idx="858">
                  <c:v>0.176300187288568</c:v>
                </c:pt>
                <c:pt idx="859">
                  <c:v>0.17633294460592341</c:v>
                </c:pt>
                <c:pt idx="860">
                  <c:v>0.17637696635630079</c:v>
                </c:pt>
                <c:pt idx="861">
                  <c:v>0.1763816095465624</c:v>
                </c:pt>
                <c:pt idx="862">
                  <c:v>0.176493284945023</c:v>
                </c:pt>
                <c:pt idx="863">
                  <c:v>0.17657262691843637</c:v>
                </c:pt>
                <c:pt idx="864">
                  <c:v>0.1766601529415</c:v>
                </c:pt>
                <c:pt idx="865">
                  <c:v>0.17672353459371476</c:v>
                </c:pt>
                <c:pt idx="866">
                  <c:v>0.17683616999181331</c:v>
                </c:pt>
                <c:pt idx="867">
                  <c:v>0.17684288988494398</c:v>
                </c:pt>
                <c:pt idx="868">
                  <c:v>0.17685003683149675</c:v>
                </c:pt>
                <c:pt idx="869">
                  <c:v>0.17685698508736164</c:v>
                </c:pt>
                <c:pt idx="870">
                  <c:v>0.17702720580036319</c:v>
                </c:pt>
                <c:pt idx="871">
                  <c:v>0.1770276768185641</c:v>
                </c:pt>
                <c:pt idx="872">
                  <c:v>0.17711886451906941</c:v>
                </c:pt>
                <c:pt idx="873">
                  <c:v>0.17713799106844041</c:v>
                </c:pt>
                <c:pt idx="874">
                  <c:v>0.17716986524999501</c:v>
                </c:pt>
                <c:pt idx="875">
                  <c:v>0.17722991043043895</c:v>
                </c:pt>
                <c:pt idx="876">
                  <c:v>0.17727326051389741</c:v>
                </c:pt>
                <c:pt idx="877">
                  <c:v>0.17731084070255021</c:v>
                </c:pt>
                <c:pt idx="878">
                  <c:v>0.17742792851062641</c:v>
                </c:pt>
                <c:pt idx="879">
                  <c:v>0.17745089603433598</c:v>
                </c:pt>
                <c:pt idx="880">
                  <c:v>0.17747052346565387</c:v>
                </c:pt>
                <c:pt idx="881">
                  <c:v>0.17747085032077276</c:v>
                </c:pt>
                <c:pt idx="882">
                  <c:v>0.17751467457093248</c:v>
                </c:pt>
                <c:pt idx="883">
                  <c:v>0.17763800236742847</c:v>
                </c:pt>
                <c:pt idx="884">
                  <c:v>0.17767082200474238</c:v>
                </c:pt>
                <c:pt idx="885">
                  <c:v>0.17774629435195044</c:v>
                </c:pt>
                <c:pt idx="886">
                  <c:v>0.17783600609521821</c:v>
                </c:pt>
                <c:pt idx="887">
                  <c:v>0.17784815921244626</c:v>
                </c:pt>
                <c:pt idx="888">
                  <c:v>0.17796646038265787</c:v>
                </c:pt>
                <c:pt idx="889">
                  <c:v>0.1780067442483598</c:v>
                </c:pt>
                <c:pt idx="890">
                  <c:v>0.17802443047761529</c:v>
                </c:pt>
                <c:pt idx="891">
                  <c:v>0.17809329927831349</c:v>
                </c:pt>
                <c:pt idx="892">
                  <c:v>0.17812130378714294</c:v>
                </c:pt>
                <c:pt idx="893">
                  <c:v>0.17816211299570323</c:v>
                </c:pt>
                <c:pt idx="894">
                  <c:v>0.17820858142518187</c:v>
                </c:pt>
                <c:pt idx="895">
                  <c:v>0.17829985681314339</c:v>
                </c:pt>
                <c:pt idx="896">
                  <c:v>0.17831073934815719</c:v>
                </c:pt>
                <c:pt idx="897">
                  <c:v>0.17832752084153142</c:v>
                </c:pt>
                <c:pt idx="898">
                  <c:v>0.1784016772803812</c:v>
                </c:pt>
                <c:pt idx="899">
                  <c:v>0.17842130820689672</c:v>
                </c:pt>
                <c:pt idx="900">
                  <c:v>0.17842751092844342</c:v>
                </c:pt>
                <c:pt idx="901">
                  <c:v>0.17859427799848571</c:v>
                </c:pt>
                <c:pt idx="902">
                  <c:v>0.17860710665756521</c:v>
                </c:pt>
                <c:pt idx="903">
                  <c:v>0.17872741821163948</c:v>
                </c:pt>
                <c:pt idx="904">
                  <c:v>0.17874475784724794</c:v>
                </c:pt>
                <c:pt idx="905">
                  <c:v>0.17884745817163519</c:v>
                </c:pt>
                <c:pt idx="906">
                  <c:v>0.17887108101992241</c:v>
                </c:pt>
                <c:pt idx="907">
                  <c:v>0.17897480858480441</c:v>
                </c:pt>
                <c:pt idx="908">
                  <c:v>0.17899671851990784</c:v>
                </c:pt>
                <c:pt idx="909">
                  <c:v>0.17915488502748644</c:v>
                </c:pt>
                <c:pt idx="910">
                  <c:v>0.17918015567736295</c:v>
                </c:pt>
                <c:pt idx="911">
                  <c:v>0.17933940326268491</c:v>
                </c:pt>
                <c:pt idx="912">
                  <c:v>0.17948966627172624</c:v>
                </c:pt>
                <c:pt idx="913">
                  <c:v>0.17970014882421792</c:v>
                </c:pt>
                <c:pt idx="914">
                  <c:v>0.17970189605531894</c:v>
                </c:pt>
                <c:pt idx="915">
                  <c:v>0.1797556037432344</c:v>
                </c:pt>
                <c:pt idx="916">
                  <c:v>0.17977122417676344</c:v>
                </c:pt>
                <c:pt idx="917">
                  <c:v>0.17978469273833012</c:v>
                </c:pt>
                <c:pt idx="918">
                  <c:v>0.17982030506603691</c:v>
                </c:pt>
                <c:pt idx="919">
                  <c:v>0.17988458573338628</c:v>
                </c:pt>
                <c:pt idx="920">
                  <c:v>0.17995062862933339</c:v>
                </c:pt>
                <c:pt idx="921">
                  <c:v>0.17995391456152482</c:v>
                </c:pt>
                <c:pt idx="922">
                  <c:v>0.18029108124597507</c:v>
                </c:pt>
                <c:pt idx="923">
                  <c:v>0.18041490346575953</c:v>
                </c:pt>
                <c:pt idx="924">
                  <c:v>0.18056165768846574</c:v>
                </c:pt>
                <c:pt idx="925">
                  <c:v>0.18084576529796534</c:v>
                </c:pt>
                <c:pt idx="926">
                  <c:v>0.18091811929999382</c:v>
                </c:pt>
                <c:pt idx="927">
                  <c:v>0.18092264377437475</c:v>
                </c:pt>
                <c:pt idx="928">
                  <c:v>0.1809262917124855</c:v>
                </c:pt>
                <c:pt idx="929">
                  <c:v>0.18099646778012385</c:v>
                </c:pt>
                <c:pt idx="930">
                  <c:v>0.18105586579502544</c:v>
                </c:pt>
                <c:pt idx="931">
                  <c:v>0.18106954905496844</c:v>
                </c:pt>
                <c:pt idx="932">
                  <c:v>0.18123621674545193</c:v>
                </c:pt>
                <c:pt idx="933">
                  <c:v>0.18147956308148591</c:v>
                </c:pt>
                <c:pt idx="934">
                  <c:v>0.18151866743894321</c:v>
                </c:pt>
                <c:pt idx="935">
                  <c:v>0.18157255821928187</c:v>
                </c:pt>
                <c:pt idx="936">
                  <c:v>0.18165746524068463</c:v>
                </c:pt>
                <c:pt idx="937">
                  <c:v>0.18166802572509771</c:v>
                </c:pt>
                <c:pt idx="938">
                  <c:v>0.18193787496925259</c:v>
                </c:pt>
                <c:pt idx="939">
                  <c:v>0.18197987200336341</c:v>
                </c:pt>
                <c:pt idx="940">
                  <c:v>0.18201380331425041</c:v>
                </c:pt>
                <c:pt idx="941">
                  <c:v>0.18202152926140183</c:v>
                </c:pt>
                <c:pt idx="942">
                  <c:v>0.18203704869410794</c:v>
                </c:pt>
                <c:pt idx="943">
                  <c:v>0.1821495316366859</c:v>
                </c:pt>
                <c:pt idx="944">
                  <c:v>0.18259709722285941</c:v>
                </c:pt>
                <c:pt idx="945">
                  <c:v>0.18263131144972344</c:v>
                </c:pt>
                <c:pt idx="946">
                  <c:v>0.18274333547010543</c:v>
                </c:pt>
                <c:pt idx="947">
                  <c:v>0.18297938361985341</c:v>
                </c:pt>
                <c:pt idx="948">
                  <c:v>0.18322504188566383</c:v>
                </c:pt>
                <c:pt idx="949">
                  <c:v>0.18351263951244806</c:v>
                </c:pt>
                <c:pt idx="950">
                  <c:v>0.18352136935851787</c:v>
                </c:pt>
                <c:pt idx="951">
                  <c:v>0.18359256639992341</c:v>
                </c:pt>
                <c:pt idx="952">
                  <c:v>0.18368964170075608</c:v>
                </c:pt>
                <c:pt idx="953">
                  <c:v>0.18373255951090844</c:v>
                </c:pt>
                <c:pt idx="954">
                  <c:v>0.18437020750359728</c:v>
                </c:pt>
                <c:pt idx="955">
                  <c:v>0.18437113873022723</c:v>
                </c:pt>
                <c:pt idx="956">
                  <c:v>0.18439345464683296</c:v>
                </c:pt>
                <c:pt idx="957">
                  <c:v>0.18440224997329513</c:v>
                </c:pt>
                <c:pt idx="958">
                  <c:v>0.18443687202023781</c:v>
                </c:pt>
                <c:pt idx="959">
                  <c:v>0.18458429673827509</c:v>
                </c:pt>
                <c:pt idx="960">
                  <c:v>0.18459055621918355</c:v>
                </c:pt>
                <c:pt idx="961">
                  <c:v>0.18493164916830512</c:v>
                </c:pt>
                <c:pt idx="962">
                  <c:v>0.18500394445824131</c:v>
                </c:pt>
                <c:pt idx="963">
                  <c:v>0.18531644708432055</c:v>
                </c:pt>
                <c:pt idx="964">
                  <c:v>0.18550228317072387</c:v>
                </c:pt>
                <c:pt idx="965">
                  <c:v>0.18562703463985819</c:v>
                </c:pt>
                <c:pt idx="966">
                  <c:v>0.18563983987940597</c:v>
                </c:pt>
                <c:pt idx="967">
                  <c:v>0.18597581709206626</c:v>
                </c:pt>
                <c:pt idx="968">
                  <c:v>0.18602046896272542</c:v>
                </c:pt>
                <c:pt idx="969">
                  <c:v>0.18607672712983153</c:v>
                </c:pt>
                <c:pt idx="970">
                  <c:v>0.18609523565849531</c:v>
                </c:pt>
                <c:pt idx="971">
                  <c:v>0.18659821959813902</c:v>
                </c:pt>
                <c:pt idx="972">
                  <c:v>0.18666748518618045</c:v>
                </c:pt>
                <c:pt idx="973">
                  <c:v>0.18668662758942686</c:v>
                </c:pt>
                <c:pt idx="974">
                  <c:v>0.18718009124520021</c:v>
                </c:pt>
                <c:pt idx="975">
                  <c:v>0.18719425162648237</c:v>
                </c:pt>
                <c:pt idx="976">
                  <c:v>0.18734997622793126</c:v>
                </c:pt>
                <c:pt idx="977">
                  <c:v>0.1875216456940294</c:v>
                </c:pt>
                <c:pt idx="978">
                  <c:v>0.18801416096175549</c:v>
                </c:pt>
                <c:pt idx="979">
                  <c:v>0.18801874251524225</c:v>
                </c:pt>
                <c:pt idx="980">
                  <c:v>0.18881987266806821</c:v>
                </c:pt>
                <c:pt idx="981">
                  <c:v>0.18902037598743077</c:v>
                </c:pt>
                <c:pt idx="982">
                  <c:v>0.18911763008333349</c:v>
                </c:pt>
                <c:pt idx="983">
                  <c:v>0.18919894327315434</c:v>
                </c:pt>
                <c:pt idx="984">
                  <c:v>0.18928708003600242</c:v>
                </c:pt>
                <c:pt idx="985">
                  <c:v>0.18942355556133531</c:v>
                </c:pt>
                <c:pt idx="986">
                  <c:v>0.18972473975545262</c:v>
                </c:pt>
                <c:pt idx="987">
                  <c:v>0.19014942109804711</c:v>
                </c:pt>
                <c:pt idx="988">
                  <c:v>0.19020199656538544</c:v>
                </c:pt>
                <c:pt idx="989">
                  <c:v>0.19042031315486541</c:v>
                </c:pt>
                <c:pt idx="990">
                  <c:v>0.19045164708796194</c:v>
                </c:pt>
                <c:pt idx="991">
                  <c:v>0.19173210672090171</c:v>
                </c:pt>
                <c:pt idx="992">
                  <c:v>0.19183305436337472</c:v>
                </c:pt>
                <c:pt idx="993">
                  <c:v>0.19305767920195493</c:v>
                </c:pt>
                <c:pt idx="994">
                  <c:v>0.19321148710721653</c:v>
                </c:pt>
                <c:pt idx="995">
                  <c:v>0.19428838042448929</c:v>
                </c:pt>
                <c:pt idx="996">
                  <c:v>0.19504636714672888</c:v>
                </c:pt>
                <c:pt idx="997">
                  <c:v>0.19558352887605077</c:v>
                </c:pt>
                <c:pt idx="998">
                  <c:v>0.19599936595532533</c:v>
                </c:pt>
                <c:pt idx="999">
                  <c:v>0.20391971692197094</c:v>
                </c:pt>
              </c:numCache>
            </c:numRef>
          </c:xVal>
          <c:yVal>
            <c:numRef>
              <c:f>SRT1!$H$7:$H$1006</c:f>
              <c:numCache>
                <c:formatCode>0%</c:formatCode>
                <c:ptCount val="1000"/>
                <c:pt idx="0">
                  <c:v>1.0000000000000041E-3</c:v>
                </c:pt>
                <c:pt idx="1">
                  <c:v>2.0000000000000052E-3</c:v>
                </c:pt>
                <c:pt idx="2">
                  <c:v>3.0000000000000092E-3</c:v>
                </c:pt>
                <c:pt idx="3">
                  <c:v>4.0000000000000114E-3</c:v>
                </c:pt>
                <c:pt idx="4">
                  <c:v>5.0000000000000114E-3</c:v>
                </c:pt>
                <c:pt idx="5">
                  <c:v>6.0000000000000114E-3</c:v>
                </c:pt>
                <c:pt idx="6">
                  <c:v>7.0000000000000114E-3</c:v>
                </c:pt>
                <c:pt idx="7">
                  <c:v>8.0000000000000227E-3</c:v>
                </c:pt>
                <c:pt idx="8">
                  <c:v>9.0000000000000028E-3</c:v>
                </c:pt>
                <c:pt idx="9">
                  <c:v>1.0000000000000005E-2</c:v>
                </c:pt>
                <c:pt idx="10">
                  <c:v>1.0999999999999998E-2</c:v>
                </c:pt>
                <c:pt idx="11">
                  <c:v>1.2E-2</c:v>
                </c:pt>
                <c:pt idx="12">
                  <c:v>1.2999999999999998E-2</c:v>
                </c:pt>
                <c:pt idx="13">
                  <c:v>1.4E-2</c:v>
                </c:pt>
                <c:pt idx="14">
                  <c:v>1.4999999999999998E-2</c:v>
                </c:pt>
                <c:pt idx="15">
                  <c:v>1.6000000000000021E-2</c:v>
                </c:pt>
                <c:pt idx="16">
                  <c:v>1.7000000000000001E-2</c:v>
                </c:pt>
                <c:pt idx="17">
                  <c:v>1.7999999999999999E-2</c:v>
                </c:pt>
                <c:pt idx="18">
                  <c:v>1.9000000000000215E-2</c:v>
                </c:pt>
                <c:pt idx="19">
                  <c:v>2.0000000000000011E-2</c:v>
                </c:pt>
                <c:pt idx="20">
                  <c:v>2.1000000000000012E-2</c:v>
                </c:pt>
                <c:pt idx="21">
                  <c:v>2.1999999999999999E-2</c:v>
                </c:pt>
                <c:pt idx="22">
                  <c:v>2.3E-2</c:v>
                </c:pt>
                <c:pt idx="23">
                  <c:v>2.4E-2</c:v>
                </c:pt>
                <c:pt idx="24">
                  <c:v>2.5000000000000001E-2</c:v>
                </c:pt>
                <c:pt idx="25">
                  <c:v>2.5999999999999999E-2</c:v>
                </c:pt>
                <c:pt idx="26">
                  <c:v>2.7000000000000256E-2</c:v>
                </c:pt>
                <c:pt idx="27">
                  <c:v>2.8000000000000001E-2</c:v>
                </c:pt>
                <c:pt idx="28">
                  <c:v>2.9000000000000001E-2</c:v>
                </c:pt>
                <c:pt idx="29">
                  <c:v>3.0000000000000002E-2</c:v>
                </c:pt>
                <c:pt idx="30">
                  <c:v>3.1000000000000052E-2</c:v>
                </c:pt>
                <c:pt idx="31">
                  <c:v>3.2000000000000042E-2</c:v>
                </c:pt>
                <c:pt idx="32">
                  <c:v>3.3000000000000002E-2</c:v>
                </c:pt>
                <c:pt idx="33">
                  <c:v>3.4000000000000002E-2</c:v>
                </c:pt>
                <c:pt idx="34">
                  <c:v>3.500000000000001E-2</c:v>
                </c:pt>
                <c:pt idx="35">
                  <c:v>3.5999999999999997E-2</c:v>
                </c:pt>
                <c:pt idx="36">
                  <c:v>3.6999999999999998E-2</c:v>
                </c:pt>
                <c:pt idx="37">
                  <c:v>3.7999999999999999E-2</c:v>
                </c:pt>
                <c:pt idx="38">
                  <c:v>3.9000000000000014E-2</c:v>
                </c:pt>
                <c:pt idx="39">
                  <c:v>4.0000000000000022E-2</c:v>
                </c:pt>
                <c:pt idx="40">
                  <c:v>4.1000000000000002E-2</c:v>
                </c:pt>
                <c:pt idx="41">
                  <c:v>4.2000000000000023E-2</c:v>
                </c:pt>
                <c:pt idx="42">
                  <c:v>4.3000000000000003E-2</c:v>
                </c:pt>
                <c:pt idx="43">
                  <c:v>4.3999999999999997E-2</c:v>
                </c:pt>
                <c:pt idx="44">
                  <c:v>4.5000000000000012E-2</c:v>
                </c:pt>
                <c:pt idx="45">
                  <c:v>4.5999999999999999E-2</c:v>
                </c:pt>
                <c:pt idx="46">
                  <c:v>4.7000000000000014E-2</c:v>
                </c:pt>
                <c:pt idx="47">
                  <c:v>4.8000000000000001E-2</c:v>
                </c:pt>
                <c:pt idx="48">
                  <c:v>4.9000000000000113E-2</c:v>
                </c:pt>
                <c:pt idx="49">
                  <c:v>0.05</c:v>
                </c:pt>
                <c:pt idx="50">
                  <c:v>5.1000000000000004E-2</c:v>
                </c:pt>
                <c:pt idx="51">
                  <c:v>5.1999999999999998E-2</c:v>
                </c:pt>
                <c:pt idx="52">
                  <c:v>5.3000000000000012E-2</c:v>
                </c:pt>
                <c:pt idx="53">
                  <c:v>5.3999999999999999E-2</c:v>
                </c:pt>
                <c:pt idx="54">
                  <c:v>5.5000000000000014E-2</c:v>
                </c:pt>
                <c:pt idx="55">
                  <c:v>5.6000000000000001E-2</c:v>
                </c:pt>
                <c:pt idx="56">
                  <c:v>5.7000000000000023E-2</c:v>
                </c:pt>
                <c:pt idx="57">
                  <c:v>5.8000000000000003E-2</c:v>
                </c:pt>
                <c:pt idx="58">
                  <c:v>5.9000000000000434E-2</c:v>
                </c:pt>
                <c:pt idx="59">
                  <c:v>6.0000000000000032E-2</c:v>
                </c:pt>
                <c:pt idx="60">
                  <c:v>6.1000000000000013E-2</c:v>
                </c:pt>
                <c:pt idx="61">
                  <c:v>6.2000000000000034E-2</c:v>
                </c:pt>
                <c:pt idx="62">
                  <c:v>6.3E-2</c:v>
                </c:pt>
                <c:pt idx="63">
                  <c:v>6.4000000000000112E-2</c:v>
                </c:pt>
                <c:pt idx="64">
                  <c:v>6.5000000000000002E-2</c:v>
                </c:pt>
                <c:pt idx="65">
                  <c:v>6.6000000000000003E-2</c:v>
                </c:pt>
                <c:pt idx="66">
                  <c:v>6.7000000000000004E-2</c:v>
                </c:pt>
                <c:pt idx="67">
                  <c:v>6.8000000000000019E-2</c:v>
                </c:pt>
                <c:pt idx="68">
                  <c:v>6.9000000000000034E-2</c:v>
                </c:pt>
                <c:pt idx="69">
                  <c:v>7.0000000000000021E-2</c:v>
                </c:pt>
                <c:pt idx="70">
                  <c:v>7.0999999999999994E-2</c:v>
                </c:pt>
                <c:pt idx="71">
                  <c:v>7.1999999999999995E-2</c:v>
                </c:pt>
                <c:pt idx="72">
                  <c:v>7.3000000000000009E-2</c:v>
                </c:pt>
                <c:pt idx="73">
                  <c:v>7.3999999999999996E-2</c:v>
                </c:pt>
                <c:pt idx="74">
                  <c:v>7.5000000000000011E-2</c:v>
                </c:pt>
                <c:pt idx="75">
                  <c:v>7.5999999999999998E-2</c:v>
                </c:pt>
                <c:pt idx="76">
                  <c:v>7.6999999999999999E-2</c:v>
                </c:pt>
                <c:pt idx="77">
                  <c:v>7.8000000000000014E-2</c:v>
                </c:pt>
                <c:pt idx="78">
                  <c:v>7.9000000000000514E-2</c:v>
                </c:pt>
                <c:pt idx="79">
                  <c:v>8.0000000000000043E-2</c:v>
                </c:pt>
                <c:pt idx="80">
                  <c:v>8.1000000000000003E-2</c:v>
                </c:pt>
                <c:pt idx="81">
                  <c:v>8.2000000000000003E-2</c:v>
                </c:pt>
                <c:pt idx="82">
                  <c:v>8.3000000000000046E-2</c:v>
                </c:pt>
                <c:pt idx="83">
                  <c:v>8.4000000000000047E-2</c:v>
                </c:pt>
                <c:pt idx="84">
                  <c:v>8.5000000000000006E-2</c:v>
                </c:pt>
                <c:pt idx="85">
                  <c:v>8.6000000000000021E-2</c:v>
                </c:pt>
                <c:pt idx="86">
                  <c:v>8.7000000000000022E-2</c:v>
                </c:pt>
                <c:pt idx="87">
                  <c:v>8.8000000000000064E-2</c:v>
                </c:pt>
                <c:pt idx="88">
                  <c:v>8.9000000000000065E-2</c:v>
                </c:pt>
                <c:pt idx="89">
                  <c:v>9.0000000000000024E-2</c:v>
                </c:pt>
                <c:pt idx="90">
                  <c:v>9.1000000000000025E-2</c:v>
                </c:pt>
                <c:pt idx="91">
                  <c:v>9.2000000000000026E-2</c:v>
                </c:pt>
                <c:pt idx="92">
                  <c:v>9.3000000000000208E-2</c:v>
                </c:pt>
                <c:pt idx="93">
                  <c:v>9.4000000000000028E-2</c:v>
                </c:pt>
                <c:pt idx="94">
                  <c:v>9.5000000000000043E-2</c:v>
                </c:pt>
                <c:pt idx="95">
                  <c:v>9.6000000000000002E-2</c:v>
                </c:pt>
                <c:pt idx="96">
                  <c:v>9.7000000000000003E-2</c:v>
                </c:pt>
                <c:pt idx="97">
                  <c:v>9.8000000000000226E-2</c:v>
                </c:pt>
                <c:pt idx="98">
                  <c:v>9.9000000000000046E-2</c:v>
                </c:pt>
                <c:pt idx="99">
                  <c:v>0.1</c:v>
                </c:pt>
                <c:pt idx="100">
                  <c:v>0.10100000000000002</c:v>
                </c:pt>
                <c:pt idx="101">
                  <c:v>0.10199999999999998</c:v>
                </c:pt>
                <c:pt idx="102">
                  <c:v>0.10299999999999998</c:v>
                </c:pt>
                <c:pt idx="103">
                  <c:v>0.10400000000000002</c:v>
                </c:pt>
                <c:pt idx="104">
                  <c:v>0.10500000000000002</c:v>
                </c:pt>
                <c:pt idx="105">
                  <c:v>0.10600000000000002</c:v>
                </c:pt>
                <c:pt idx="106">
                  <c:v>0.10700000000000012</c:v>
                </c:pt>
                <c:pt idx="107">
                  <c:v>0.10800000000000012</c:v>
                </c:pt>
                <c:pt idx="108">
                  <c:v>0.10900000000000012</c:v>
                </c:pt>
                <c:pt idx="109">
                  <c:v>0.11</c:v>
                </c:pt>
                <c:pt idx="110">
                  <c:v>0.111</c:v>
                </c:pt>
                <c:pt idx="111">
                  <c:v>0.112</c:v>
                </c:pt>
                <c:pt idx="112">
                  <c:v>0.113</c:v>
                </c:pt>
                <c:pt idx="113">
                  <c:v>0.114</c:v>
                </c:pt>
                <c:pt idx="114">
                  <c:v>0.115</c:v>
                </c:pt>
                <c:pt idx="115">
                  <c:v>0.11600000000000002</c:v>
                </c:pt>
                <c:pt idx="116">
                  <c:v>0.11700000000000002</c:v>
                </c:pt>
                <c:pt idx="117">
                  <c:v>0.11799999999999998</c:v>
                </c:pt>
                <c:pt idx="118">
                  <c:v>0.11899999999999998</c:v>
                </c:pt>
                <c:pt idx="119">
                  <c:v>0.12000000000000002</c:v>
                </c:pt>
                <c:pt idx="120">
                  <c:v>0.12100000000000002</c:v>
                </c:pt>
                <c:pt idx="121">
                  <c:v>0.12200000000000009</c:v>
                </c:pt>
                <c:pt idx="122">
                  <c:v>0.12300000000000012</c:v>
                </c:pt>
                <c:pt idx="123">
                  <c:v>0.12400000000000012</c:v>
                </c:pt>
                <c:pt idx="124">
                  <c:v>0.125</c:v>
                </c:pt>
                <c:pt idx="125">
                  <c:v>0.126</c:v>
                </c:pt>
                <c:pt idx="126">
                  <c:v>0.127</c:v>
                </c:pt>
                <c:pt idx="127">
                  <c:v>0.128</c:v>
                </c:pt>
                <c:pt idx="128">
                  <c:v>0.129</c:v>
                </c:pt>
                <c:pt idx="129">
                  <c:v>0.13</c:v>
                </c:pt>
                <c:pt idx="130">
                  <c:v>0.13100000000000001</c:v>
                </c:pt>
                <c:pt idx="131">
                  <c:v>0.13200000000000001</c:v>
                </c:pt>
                <c:pt idx="132">
                  <c:v>0.13300000000000001</c:v>
                </c:pt>
                <c:pt idx="133">
                  <c:v>0.13400000000000001</c:v>
                </c:pt>
                <c:pt idx="134">
                  <c:v>0.13500000000000001</c:v>
                </c:pt>
                <c:pt idx="135">
                  <c:v>0.13600000000000001</c:v>
                </c:pt>
                <c:pt idx="136">
                  <c:v>0.13700000000000001</c:v>
                </c:pt>
                <c:pt idx="137">
                  <c:v>0.13800000000000001</c:v>
                </c:pt>
                <c:pt idx="138">
                  <c:v>0.13900000000000001</c:v>
                </c:pt>
                <c:pt idx="139">
                  <c:v>0.14000000000000001</c:v>
                </c:pt>
                <c:pt idx="140">
                  <c:v>0.14100000000000001</c:v>
                </c:pt>
                <c:pt idx="141">
                  <c:v>0.14200000000000004</c:v>
                </c:pt>
                <c:pt idx="142">
                  <c:v>0.14300000000000004</c:v>
                </c:pt>
                <c:pt idx="143">
                  <c:v>0.14400000000000004</c:v>
                </c:pt>
                <c:pt idx="144">
                  <c:v>0.14500000000000021</c:v>
                </c:pt>
                <c:pt idx="145">
                  <c:v>0.14600000000000021</c:v>
                </c:pt>
                <c:pt idx="146">
                  <c:v>0.14700000000000021</c:v>
                </c:pt>
                <c:pt idx="147">
                  <c:v>0.14800000000000021</c:v>
                </c:pt>
                <c:pt idx="148">
                  <c:v>0.14900000000000024</c:v>
                </c:pt>
                <c:pt idx="149">
                  <c:v>0.15000000000000024</c:v>
                </c:pt>
                <c:pt idx="150">
                  <c:v>0.15100000000000041</c:v>
                </c:pt>
                <c:pt idx="151">
                  <c:v>0.15200000000000041</c:v>
                </c:pt>
                <c:pt idx="152">
                  <c:v>0.15300000000000041</c:v>
                </c:pt>
                <c:pt idx="153">
                  <c:v>0.15400000000000041</c:v>
                </c:pt>
                <c:pt idx="154">
                  <c:v>0.15500000000000044</c:v>
                </c:pt>
                <c:pt idx="155">
                  <c:v>0.15600000000000044</c:v>
                </c:pt>
                <c:pt idx="156">
                  <c:v>0.15700000000000044</c:v>
                </c:pt>
                <c:pt idx="157">
                  <c:v>0.15800000000000144</c:v>
                </c:pt>
                <c:pt idx="158">
                  <c:v>0.15900000000000175</c:v>
                </c:pt>
                <c:pt idx="159">
                  <c:v>0.16</c:v>
                </c:pt>
                <c:pt idx="160">
                  <c:v>0.161</c:v>
                </c:pt>
                <c:pt idx="161">
                  <c:v>0.16200000000000001</c:v>
                </c:pt>
                <c:pt idx="162">
                  <c:v>0.16300000000000001</c:v>
                </c:pt>
                <c:pt idx="163">
                  <c:v>0.16400000000000001</c:v>
                </c:pt>
                <c:pt idx="164">
                  <c:v>0.16500000000000001</c:v>
                </c:pt>
                <c:pt idx="165">
                  <c:v>0.16600000000000001</c:v>
                </c:pt>
                <c:pt idx="166">
                  <c:v>0.16700000000000001</c:v>
                </c:pt>
                <c:pt idx="167">
                  <c:v>0.16800000000000001</c:v>
                </c:pt>
                <c:pt idx="168">
                  <c:v>0.16900000000000001</c:v>
                </c:pt>
                <c:pt idx="169">
                  <c:v>0.17</c:v>
                </c:pt>
                <c:pt idx="170">
                  <c:v>0.17100000000000001</c:v>
                </c:pt>
                <c:pt idx="171">
                  <c:v>0.17200000000000001</c:v>
                </c:pt>
                <c:pt idx="172">
                  <c:v>0.17300000000000001</c:v>
                </c:pt>
                <c:pt idx="173">
                  <c:v>0.17400000000000004</c:v>
                </c:pt>
                <c:pt idx="174">
                  <c:v>0.17500000000000004</c:v>
                </c:pt>
                <c:pt idx="175">
                  <c:v>0.17600000000000021</c:v>
                </c:pt>
                <c:pt idx="176">
                  <c:v>0.17700000000000021</c:v>
                </c:pt>
                <c:pt idx="177">
                  <c:v>0.17800000000000021</c:v>
                </c:pt>
                <c:pt idx="178">
                  <c:v>0.17900000000000021</c:v>
                </c:pt>
                <c:pt idx="179">
                  <c:v>0.18000000000000024</c:v>
                </c:pt>
                <c:pt idx="180">
                  <c:v>0.18100000000000024</c:v>
                </c:pt>
                <c:pt idx="181">
                  <c:v>0.18200000000000024</c:v>
                </c:pt>
                <c:pt idx="182">
                  <c:v>0.18300000000000041</c:v>
                </c:pt>
                <c:pt idx="183">
                  <c:v>0.18400000000000041</c:v>
                </c:pt>
                <c:pt idx="184">
                  <c:v>0.18500000000000041</c:v>
                </c:pt>
                <c:pt idx="185">
                  <c:v>0.18600000000000044</c:v>
                </c:pt>
                <c:pt idx="186">
                  <c:v>0.18700000000000044</c:v>
                </c:pt>
                <c:pt idx="187">
                  <c:v>0.18800000000000044</c:v>
                </c:pt>
                <c:pt idx="188">
                  <c:v>0.18900000000000144</c:v>
                </c:pt>
                <c:pt idx="189">
                  <c:v>0.19</c:v>
                </c:pt>
                <c:pt idx="190">
                  <c:v>0.191</c:v>
                </c:pt>
                <c:pt idx="191">
                  <c:v>0.192</c:v>
                </c:pt>
                <c:pt idx="192">
                  <c:v>0.193</c:v>
                </c:pt>
                <c:pt idx="193">
                  <c:v>0.19400000000000001</c:v>
                </c:pt>
                <c:pt idx="194">
                  <c:v>0.19500000000000001</c:v>
                </c:pt>
                <c:pt idx="195">
                  <c:v>0.19600000000000001</c:v>
                </c:pt>
                <c:pt idx="196">
                  <c:v>0.19700000000000001</c:v>
                </c:pt>
                <c:pt idx="197">
                  <c:v>0.19800000000000001</c:v>
                </c:pt>
                <c:pt idx="198">
                  <c:v>0.19900000000000001</c:v>
                </c:pt>
                <c:pt idx="199">
                  <c:v>0.2</c:v>
                </c:pt>
                <c:pt idx="200">
                  <c:v>0.20100000000000001</c:v>
                </c:pt>
                <c:pt idx="201">
                  <c:v>0.20200000000000001</c:v>
                </c:pt>
                <c:pt idx="202">
                  <c:v>0.20300000000000001</c:v>
                </c:pt>
                <c:pt idx="203">
                  <c:v>0.20400000000000001</c:v>
                </c:pt>
                <c:pt idx="204">
                  <c:v>0.20500000000000004</c:v>
                </c:pt>
                <c:pt idx="205">
                  <c:v>0.20600000000000004</c:v>
                </c:pt>
                <c:pt idx="206">
                  <c:v>0.20700000000000021</c:v>
                </c:pt>
                <c:pt idx="207">
                  <c:v>0.20800000000000021</c:v>
                </c:pt>
                <c:pt idx="208">
                  <c:v>0.20900000000000021</c:v>
                </c:pt>
                <c:pt idx="209">
                  <c:v>0.21000000000000021</c:v>
                </c:pt>
                <c:pt idx="210">
                  <c:v>0.21100000000000024</c:v>
                </c:pt>
                <c:pt idx="211">
                  <c:v>0.21200000000000024</c:v>
                </c:pt>
                <c:pt idx="212">
                  <c:v>0.21300000000000024</c:v>
                </c:pt>
                <c:pt idx="213">
                  <c:v>0.21400000000000041</c:v>
                </c:pt>
                <c:pt idx="214">
                  <c:v>0.21500000000000041</c:v>
                </c:pt>
                <c:pt idx="215">
                  <c:v>0.21600000000000041</c:v>
                </c:pt>
                <c:pt idx="216">
                  <c:v>0.21700000000000041</c:v>
                </c:pt>
                <c:pt idx="217">
                  <c:v>0.21800000000000044</c:v>
                </c:pt>
                <c:pt idx="218">
                  <c:v>0.21900000000000044</c:v>
                </c:pt>
                <c:pt idx="219">
                  <c:v>0.22</c:v>
                </c:pt>
                <c:pt idx="220">
                  <c:v>0.221</c:v>
                </c:pt>
                <c:pt idx="221">
                  <c:v>0.222</c:v>
                </c:pt>
                <c:pt idx="222">
                  <c:v>0.223</c:v>
                </c:pt>
                <c:pt idx="223">
                  <c:v>0.224</c:v>
                </c:pt>
                <c:pt idx="224">
                  <c:v>0.22500000000000001</c:v>
                </c:pt>
                <c:pt idx="225">
                  <c:v>0.22600000000000001</c:v>
                </c:pt>
                <c:pt idx="226">
                  <c:v>0.22700000000000001</c:v>
                </c:pt>
                <c:pt idx="227">
                  <c:v>0.22800000000000001</c:v>
                </c:pt>
                <c:pt idx="228">
                  <c:v>0.22900000000000001</c:v>
                </c:pt>
                <c:pt idx="229">
                  <c:v>0.23</c:v>
                </c:pt>
                <c:pt idx="230">
                  <c:v>0.23100000000000001</c:v>
                </c:pt>
                <c:pt idx="231">
                  <c:v>0.23200000000000001</c:v>
                </c:pt>
                <c:pt idx="232">
                  <c:v>0.23300000000000001</c:v>
                </c:pt>
                <c:pt idx="233">
                  <c:v>0.23400000000000001</c:v>
                </c:pt>
                <c:pt idx="234">
                  <c:v>0.23500000000000001</c:v>
                </c:pt>
                <c:pt idx="235">
                  <c:v>0.23600000000000004</c:v>
                </c:pt>
                <c:pt idx="236">
                  <c:v>0.23700000000000004</c:v>
                </c:pt>
                <c:pt idx="237">
                  <c:v>0.23800000000000004</c:v>
                </c:pt>
                <c:pt idx="238">
                  <c:v>0.23900000000000021</c:v>
                </c:pt>
                <c:pt idx="239">
                  <c:v>0.24000000000000021</c:v>
                </c:pt>
                <c:pt idx="240">
                  <c:v>0.24100000000000021</c:v>
                </c:pt>
                <c:pt idx="241">
                  <c:v>0.24200000000000021</c:v>
                </c:pt>
                <c:pt idx="242">
                  <c:v>0.24300000000000024</c:v>
                </c:pt>
                <c:pt idx="243">
                  <c:v>0.24400000000000024</c:v>
                </c:pt>
                <c:pt idx="244">
                  <c:v>0.24500000000000041</c:v>
                </c:pt>
                <c:pt idx="245">
                  <c:v>0.24600000000000041</c:v>
                </c:pt>
                <c:pt idx="246">
                  <c:v>0.24700000000000041</c:v>
                </c:pt>
                <c:pt idx="247">
                  <c:v>0.24800000000000041</c:v>
                </c:pt>
                <c:pt idx="248">
                  <c:v>0.24900000000000044</c:v>
                </c:pt>
                <c:pt idx="249">
                  <c:v>0.25</c:v>
                </c:pt>
                <c:pt idx="250">
                  <c:v>0.251</c:v>
                </c:pt>
                <c:pt idx="251">
                  <c:v>0.252</c:v>
                </c:pt>
                <c:pt idx="252">
                  <c:v>0.253</c:v>
                </c:pt>
                <c:pt idx="253">
                  <c:v>0.254</c:v>
                </c:pt>
                <c:pt idx="254">
                  <c:v>0.255</c:v>
                </c:pt>
                <c:pt idx="255">
                  <c:v>0.25600000000000001</c:v>
                </c:pt>
                <c:pt idx="256">
                  <c:v>0.25700000000000001</c:v>
                </c:pt>
                <c:pt idx="257">
                  <c:v>0.25800000000000001</c:v>
                </c:pt>
                <c:pt idx="258">
                  <c:v>0.25900000000000001</c:v>
                </c:pt>
                <c:pt idx="259">
                  <c:v>0.26</c:v>
                </c:pt>
                <c:pt idx="260">
                  <c:v>0.26100000000000001</c:v>
                </c:pt>
                <c:pt idx="261">
                  <c:v>0.26200000000000001</c:v>
                </c:pt>
                <c:pt idx="262">
                  <c:v>0.26300000000000001</c:v>
                </c:pt>
                <c:pt idx="263">
                  <c:v>0.26400000000000001</c:v>
                </c:pt>
                <c:pt idx="264">
                  <c:v>0.26500000000000001</c:v>
                </c:pt>
                <c:pt idx="265">
                  <c:v>0.26600000000000001</c:v>
                </c:pt>
                <c:pt idx="266">
                  <c:v>0.26700000000000002</c:v>
                </c:pt>
                <c:pt idx="267">
                  <c:v>0.26800000000000002</c:v>
                </c:pt>
                <c:pt idx="268">
                  <c:v>0.26900000000000002</c:v>
                </c:pt>
                <c:pt idx="269">
                  <c:v>0.27</c:v>
                </c:pt>
                <c:pt idx="270">
                  <c:v>0.27100000000000002</c:v>
                </c:pt>
                <c:pt idx="271">
                  <c:v>0.27200000000000002</c:v>
                </c:pt>
                <c:pt idx="272">
                  <c:v>0.27300000000000002</c:v>
                </c:pt>
                <c:pt idx="273">
                  <c:v>0.27400000000000002</c:v>
                </c:pt>
                <c:pt idx="274">
                  <c:v>0.27500000000000002</c:v>
                </c:pt>
                <c:pt idx="275">
                  <c:v>0.27600000000000002</c:v>
                </c:pt>
                <c:pt idx="276">
                  <c:v>0.27700000000000002</c:v>
                </c:pt>
                <c:pt idx="277">
                  <c:v>0.27800000000000002</c:v>
                </c:pt>
                <c:pt idx="278">
                  <c:v>0.27900000000000008</c:v>
                </c:pt>
                <c:pt idx="279">
                  <c:v>0.28000000000000008</c:v>
                </c:pt>
                <c:pt idx="280">
                  <c:v>0.28100000000000008</c:v>
                </c:pt>
                <c:pt idx="281">
                  <c:v>0.28200000000000008</c:v>
                </c:pt>
                <c:pt idx="282">
                  <c:v>0.28300000000000008</c:v>
                </c:pt>
                <c:pt idx="283">
                  <c:v>0.28400000000000031</c:v>
                </c:pt>
                <c:pt idx="284">
                  <c:v>0.28500000000000031</c:v>
                </c:pt>
                <c:pt idx="285">
                  <c:v>0.28600000000000031</c:v>
                </c:pt>
                <c:pt idx="286">
                  <c:v>0.28700000000000031</c:v>
                </c:pt>
                <c:pt idx="287">
                  <c:v>0.28800000000000031</c:v>
                </c:pt>
                <c:pt idx="288">
                  <c:v>0.28900000000000031</c:v>
                </c:pt>
                <c:pt idx="289">
                  <c:v>0.29000000000000031</c:v>
                </c:pt>
                <c:pt idx="290">
                  <c:v>0.29100000000000031</c:v>
                </c:pt>
                <c:pt idx="291">
                  <c:v>0.29200000000000031</c:v>
                </c:pt>
                <c:pt idx="292">
                  <c:v>0.29300000000000032</c:v>
                </c:pt>
                <c:pt idx="293">
                  <c:v>0.29400000000000032</c:v>
                </c:pt>
                <c:pt idx="294">
                  <c:v>0.29500000000000032</c:v>
                </c:pt>
                <c:pt idx="295">
                  <c:v>0.29600000000000032</c:v>
                </c:pt>
                <c:pt idx="296">
                  <c:v>0.29700000000000032</c:v>
                </c:pt>
                <c:pt idx="297">
                  <c:v>0.29800000000000032</c:v>
                </c:pt>
                <c:pt idx="298">
                  <c:v>0.29900000000000032</c:v>
                </c:pt>
                <c:pt idx="299">
                  <c:v>0.30000000000000032</c:v>
                </c:pt>
                <c:pt idx="300">
                  <c:v>0.30100000000000032</c:v>
                </c:pt>
                <c:pt idx="301">
                  <c:v>0.30200000000000032</c:v>
                </c:pt>
                <c:pt idx="302">
                  <c:v>0.30300000000000032</c:v>
                </c:pt>
                <c:pt idx="303">
                  <c:v>0.30400000000000038</c:v>
                </c:pt>
                <c:pt idx="304">
                  <c:v>0.30500000000000038</c:v>
                </c:pt>
                <c:pt idx="305">
                  <c:v>0.30600000000000038</c:v>
                </c:pt>
                <c:pt idx="306">
                  <c:v>0.30700000000000038</c:v>
                </c:pt>
                <c:pt idx="307">
                  <c:v>0.30800000000000038</c:v>
                </c:pt>
                <c:pt idx="308">
                  <c:v>0.30900000000000138</c:v>
                </c:pt>
                <c:pt idx="309">
                  <c:v>0.31000000000000238</c:v>
                </c:pt>
                <c:pt idx="310">
                  <c:v>0.31100000000000327</c:v>
                </c:pt>
                <c:pt idx="311">
                  <c:v>0.31200000000000327</c:v>
                </c:pt>
                <c:pt idx="312">
                  <c:v>0.31300000000000328</c:v>
                </c:pt>
                <c:pt idx="313">
                  <c:v>0.31400000000000328</c:v>
                </c:pt>
                <c:pt idx="314">
                  <c:v>0.31500000000000328</c:v>
                </c:pt>
                <c:pt idx="315">
                  <c:v>0.31600000000000333</c:v>
                </c:pt>
                <c:pt idx="316">
                  <c:v>0.31700000000000345</c:v>
                </c:pt>
                <c:pt idx="317">
                  <c:v>0.31800000000000356</c:v>
                </c:pt>
                <c:pt idx="318">
                  <c:v>0.31900000000000367</c:v>
                </c:pt>
                <c:pt idx="319">
                  <c:v>0.32000000000000367</c:v>
                </c:pt>
                <c:pt idx="320">
                  <c:v>0.32100000000000367</c:v>
                </c:pt>
                <c:pt idx="321">
                  <c:v>0.32200000000000367</c:v>
                </c:pt>
                <c:pt idx="322">
                  <c:v>0.32300000000000367</c:v>
                </c:pt>
                <c:pt idx="323">
                  <c:v>0.32400000000000367</c:v>
                </c:pt>
                <c:pt idx="324">
                  <c:v>0.32500000000000367</c:v>
                </c:pt>
                <c:pt idx="325">
                  <c:v>0.32600000000000368</c:v>
                </c:pt>
                <c:pt idx="326">
                  <c:v>0.32700000000000368</c:v>
                </c:pt>
                <c:pt idx="327">
                  <c:v>0.32800000000000368</c:v>
                </c:pt>
                <c:pt idx="328">
                  <c:v>0.32900000000000384</c:v>
                </c:pt>
                <c:pt idx="329">
                  <c:v>0.33000000000000396</c:v>
                </c:pt>
                <c:pt idx="330">
                  <c:v>0.33100000000000412</c:v>
                </c:pt>
                <c:pt idx="331">
                  <c:v>0.33200000000000424</c:v>
                </c:pt>
                <c:pt idx="332">
                  <c:v>0.33300000000000424</c:v>
                </c:pt>
                <c:pt idx="333">
                  <c:v>0.33400000000000424</c:v>
                </c:pt>
                <c:pt idx="334">
                  <c:v>0.33500000000000424</c:v>
                </c:pt>
                <c:pt idx="335">
                  <c:v>0.33600000000000424</c:v>
                </c:pt>
                <c:pt idx="336">
                  <c:v>0.33700000000000424</c:v>
                </c:pt>
                <c:pt idx="337">
                  <c:v>0.33800000000000424</c:v>
                </c:pt>
                <c:pt idx="338">
                  <c:v>0.33900000000000424</c:v>
                </c:pt>
                <c:pt idx="339">
                  <c:v>0.34</c:v>
                </c:pt>
                <c:pt idx="340">
                  <c:v>0.34100000000000008</c:v>
                </c:pt>
                <c:pt idx="341">
                  <c:v>0.34200000000000008</c:v>
                </c:pt>
                <c:pt idx="342">
                  <c:v>0.34300000000000008</c:v>
                </c:pt>
                <c:pt idx="343">
                  <c:v>0.34400000000000008</c:v>
                </c:pt>
                <c:pt idx="344">
                  <c:v>0.34500000000000008</c:v>
                </c:pt>
                <c:pt idx="345">
                  <c:v>0.34600000000000031</c:v>
                </c:pt>
                <c:pt idx="346">
                  <c:v>0.34700000000000031</c:v>
                </c:pt>
                <c:pt idx="347">
                  <c:v>0.34800000000000031</c:v>
                </c:pt>
                <c:pt idx="348">
                  <c:v>0.34900000000000031</c:v>
                </c:pt>
                <c:pt idx="349">
                  <c:v>0.35000000000000031</c:v>
                </c:pt>
                <c:pt idx="350">
                  <c:v>0.35100000000000031</c:v>
                </c:pt>
                <c:pt idx="351">
                  <c:v>0.35200000000000031</c:v>
                </c:pt>
                <c:pt idx="352">
                  <c:v>0.35300000000000031</c:v>
                </c:pt>
                <c:pt idx="353">
                  <c:v>0.35400000000000031</c:v>
                </c:pt>
                <c:pt idx="354">
                  <c:v>0.35500000000000032</c:v>
                </c:pt>
                <c:pt idx="355">
                  <c:v>0.35600000000000032</c:v>
                </c:pt>
                <c:pt idx="356">
                  <c:v>0.35700000000000032</c:v>
                </c:pt>
                <c:pt idx="357">
                  <c:v>0.35800000000000032</c:v>
                </c:pt>
                <c:pt idx="358">
                  <c:v>0.35900000000000032</c:v>
                </c:pt>
                <c:pt idx="359">
                  <c:v>0.36000000000000032</c:v>
                </c:pt>
                <c:pt idx="360">
                  <c:v>0.36100000000000032</c:v>
                </c:pt>
                <c:pt idx="361">
                  <c:v>0.36200000000000032</c:v>
                </c:pt>
                <c:pt idx="362">
                  <c:v>0.36300000000000032</c:v>
                </c:pt>
                <c:pt idx="363">
                  <c:v>0.36400000000000032</c:v>
                </c:pt>
                <c:pt idx="364">
                  <c:v>0.36500000000000032</c:v>
                </c:pt>
                <c:pt idx="365">
                  <c:v>0.36600000000000038</c:v>
                </c:pt>
                <c:pt idx="366">
                  <c:v>0.36700000000000038</c:v>
                </c:pt>
                <c:pt idx="367">
                  <c:v>0.36800000000000038</c:v>
                </c:pt>
                <c:pt idx="368">
                  <c:v>0.36900000000000038</c:v>
                </c:pt>
                <c:pt idx="369">
                  <c:v>0.37000000000000038</c:v>
                </c:pt>
                <c:pt idx="370">
                  <c:v>0.37100000000000088</c:v>
                </c:pt>
                <c:pt idx="371">
                  <c:v>0.37200000000000188</c:v>
                </c:pt>
                <c:pt idx="372">
                  <c:v>0.37300000000000288</c:v>
                </c:pt>
                <c:pt idx="373">
                  <c:v>0.37400000000000327</c:v>
                </c:pt>
                <c:pt idx="374">
                  <c:v>0.37500000000000328</c:v>
                </c:pt>
                <c:pt idx="375">
                  <c:v>0.37600000000000328</c:v>
                </c:pt>
                <c:pt idx="376">
                  <c:v>0.37700000000000328</c:v>
                </c:pt>
                <c:pt idx="377">
                  <c:v>0.37800000000000328</c:v>
                </c:pt>
                <c:pt idx="378">
                  <c:v>0.37900000000000339</c:v>
                </c:pt>
                <c:pt idx="379">
                  <c:v>0.3800000000000035</c:v>
                </c:pt>
                <c:pt idx="380">
                  <c:v>0.38100000000000361</c:v>
                </c:pt>
                <c:pt idx="381">
                  <c:v>0.38200000000000367</c:v>
                </c:pt>
                <c:pt idx="382">
                  <c:v>0.38300000000000367</c:v>
                </c:pt>
                <c:pt idx="383">
                  <c:v>0.38400000000000367</c:v>
                </c:pt>
                <c:pt idx="384">
                  <c:v>0.38500000000000367</c:v>
                </c:pt>
                <c:pt idx="385">
                  <c:v>0.38600000000000367</c:v>
                </c:pt>
                <c:pt idx="386">
                  <c:v>0.38700000000000367</c:v>
                </c:pt>
                <c:pt idx="387">
                  <c:v>0.38800000000000368</c:v>
                </c:pt>
                <c:pt idx="388">
                  <c:v>0.38900000000000368</c:v>
                </c:pt>
                <c:pt idx="389">
                  <c:v>0.39000000000000368</c:v>
                </c:pt>
                <c:pt idx="390">
                  <c:v>0.39100000000000373</c:v>
                </c:pt>
                <c:pt idx="391">
                  <c:v>0.3920000000000039</c:v>
                </c:pt>
                <c:pt idx="392">
                  <c:v>0.39300000000000407</c:v>
                </c:pt>
                <c:pt idx="393">
                  <c:v>0.39400000000000418</c:v>
                </c:pt>
                <c:pt idx="394">
                  <c:v>0.39500000000000424</c:v>
                </c:pt>
                <c:pt idx="395">
                  <c:v>0.39600000000000424</c:v>
                </c:pt>
                <c:pt idx="396">
                  <c:v>0.39700000000000424</c:v>
                </c:pt>
                <c:pt idx="397">
                  <c:v>0.39800000000000424</c:v>
                </c:pt>
                <c:pt idx="398">
                  <c:v>0.39900000000000424</c:v>
                </c:pt>
                <c:pt idx="399">
                  <c:v>0.4</c:v>
                </c:pt>
                <c:pt idx="400">
                  <c:v>0.40100000000000002</c:v>
                </c:pt>
                <c:pt idx="401">
                  <c:v>0.40200000000000002</c:v>
                </c:pt>
                <c:pt idx="402">
                  <c:v>0.40300000000000002</c:v>
                </c:pt>
                <c:pt idx="403">
                  <c:v>0.40400000000000008</c:v>
                </c:pt>
                <c:pt idx="404">
                  <c:v>0.40500000000000008</c:v>
                </c:pt>
                <c:pt idx="405">
                  <c:v>0.40600000000000008</c:v>
                </c:pt>
                <c:pt idx="406">
                  <c:v>0.40700000000000008</c:v>
                </c:pt>
                <c:pt idx="407">
                  <c:v>0.40800000000000008</c:v>
                </c:pt>
                <c:pt idx="408">
                  <c:v>0.40900000000000031</c:v>
                </c:pt>
                <c:pt idx="409">
                  <c:v>0.41000000000000031</c:v>
                </c:pt>
                <c:pt idx="410">
                  <c:v>0.41100000000000031</c:v>
                </c:pt>
                <c:pt idx="411">
                  <c:v>0.41200000000000031</c:v>
                </c:pt>
                <c:pt idx="412">
                  <c:v>0.41300000000000031</c:v>
                </c:pt>
                <c:pt idx="413">
                  <c:v>0.41400000000000031</c:v>
                </c:pt>
                <c:pt idx="414">
                  <c:v>0.41500000000000031</c:v>
                </c:pt>
                <c:pt idx="415">
                  <c:v>0.41600000000000031</c:v>
                </c:pt>
                <c:pt idx="416">
                  <c:v>0.41700000000000031</c:v>
                </c:pt>
                <c:pt idx="417">
                  <c:v>0.41800000000000032</c:v>
                </c:pt>
                <c:pt idx="418">
                  <c:v>0.41900000000000032</c:v>
                </c:pt>
                <c:pt idx="419">
                  <c:v>0.42000000000000032</c:v>
                </c:pt>
                <c:pt idx="420">
                  <c:v>0.42100000000000032</c:v>
                </c:pt>
                <c:pt idx="421">
                  <c:v>0.42200000000000032</c:v>
                </c:pt>
                <c:pt idx="422">
                  <c:v>0.42300000000000032</c:v>
                </c:pt>
                <c:pt idx="423">
                  <c:v>0.42400000000000032</c:v>
                </c:pt>
                <c:pt idx="424">
                  <c:v>0.42500000000000032</c:v>
                </c:pt>
                <c:pt idx="425">
                  <c:v>0.42600000000000032</c:v>
                </c:pt>
                <c:pt idx="426">
                  <c:v>0.42700000000000032</c:v>
                </c:pt>
                <c:pt idx="427">
                  <c:v>0.42800000000000032</c:v>
                </c:pt>
                <c:pt idx="428">
                  <c:v>0.42900000000000038</c:v>
                </c:pt>
                <c:pt idx="429">
                  <c:v>0.43000000000000038</c:v>
                </c:pt>
                <c:pt idx="430">
                  <c:v>0.43100000000000038</c:v>
                </c:pt>
                <c:pt idx="431">
                  <c:v>0.43200000000000038</c:v>
                </c:pt>
                <c:pt idx="432">
                  <c:v>0.43300000000000038</c:v>
                </c:pt>
                <c:pt idx="433">
                  <c:v>0.43400000000000138</c:v>
                </c:pt>
                <c:pt idx="434">
                  <c:v>0.43500000000000238</c:v>
                </c:pt>
                <c:pt idx="435">
                  <c:v>0.43600000000000327</c:v>
                </c:pt>
                <c:pt idx="436">
                  <c:v>0.43700000000000327</c:v>
                </c:pt>
                <c:pt idx="437">
                  <c:v>0.43800000000000328</c:v>
                </c:pt>
                <c:pt idx="438">
                  <c:v>0.43900000000000328</c:v>
                </c:pt>
                <c:pt idx="439">
                  <c:v>0.44</c:v>
                </c:pt>
                <c:pt idx="440">
                  <c:v>0.441</c:v>
                </c:pt>
                <c:pt idx="441">
                  <c:v>0.442</c:v>
                </c:pt>
                <c:pt idx="442">
                  <c:v>0.443</c:v>
                </c:pt>
                <c:pt idx="443">
                  <c:v>0.44400000000000001</c:v>
                </c:pt>
                <c:pt idx="444">
                  <c:v>0.44500000000000001</c:v>
                </c:pt>
                <c:pt idx="445">
                  <c:v>0.44600000000000001</c:v>
                </c:pt>
                <c:pt idx="446">
                  <c:v>0.44700000000000001</c:v>
                </c:pt>
                <c:pt idx="447">
                  <c:v>0.44800000000000001</c:v>
                </c:pt>
                <c:pt idx="448">
                  <c:v>0.44900000000000001</c:v>
                </c:pt>
                <c:pt idx="449">
                  <c:v>0.45</c:v>
                </c:pt>
                <c:pt idx="450">
                  <c:v>0.45100000000000001</c:v>
                </c:pt>
                <c:pt idx="451">
                  <c:v>0.45200000000000001</c:v>
                </c:pt>
                <c:pt idx="452">
                  <c:v>0.45300000000000001</c:v>
                </c:pt>
                <c:pt idx="453">
                  <c:v>0.45400000000000001</c:v>
                </c:pt>
                <c:pt idx="454">
                  <c:v>0.45500000000000002</c:v>
                </c:pt>
                <c:pt idx="455">
                  <c:v>0.45600000000000002</c:v>
                </c:pt>
                <c:pt idx="456">
                  <c:v>0.45700000000000002</c:v>
                </c:pt>
                <c:pt idx="457">
                  <c:v>0.45800000000000002</c:v>
                </c:pt>
                <c:pt idx="458">
                  <c:v>0.45900000000000002</c:v>
                </c:pt>
                <c:pt idx="459">
                  <c:v>0.46</c:v>
                </c:pt>
                <c:pt idx="460">
                  <c:v>0.46100000000000002</c:v>
                </c:pt>
                <c:pt idx="461">
                  <c:v>0.46200000000000002</c:v>
                </c:pt>
                <c:pt idx="462">
                  <c:v>0.46300000000000002</c:v>
                </c:pt>
                <c:pt idx="463">
                  <c:v>0.46400000000000002</c:v>
                </c:pt>
                <c:pt idx="464">
                  <c:v>0.46500000000000002</c:v>
                </c:pt>
                <c:pt idx="465">
                  <c:v>0.46600000000000008</c:v>
                </c:pt>
                <c:pt idx="466">
                  <c:v>0.46700000000000008</c:v>
                </c:pt>
                <c:pt idx="467">
                  <c:v>0.46800000000000008</c:v>
                </c:pt>
                <c:pt idx="468">
                  <c:v>0.46900000000000008</c:v>
                </c:pt>
                <c:pt idx="469">
                  <c:v>0.47000000000000008</c:v>
                </c:pt>
                <c:pt idx="470">
                  <c:v>0.47100000000000031</c:v>
                </c:pt>
                <c:pt idx="471">
                  <c:v>0.47200000000000031</c:v>
                </c:pt>
                <c:pt idx="472">
                  <c:v>0.47300000000000031</c:v>
                </c:pt>
                <c:pt idx="473">
                  <c:v>0.47400000000000031</c:v>
                </c:pt>
                <c:pt idx="474">
                  <c:v>0.47500000000000031</c:v>
                </c:pt>
                <c:pt idx="475">
                  <c:v>0.47600000000000031</c:v>
                </c:pt>
                <c:pt idx="476">
                  <c:v>0.47700000000000031</c:v>
                </c:pt>
                <c:pt idx="477">
                  <c:v>0.47800000000000031</c:v>
                </c:pt>
                <c:pt idx="478">
                  <c:v>0.47900000000000031</c:v>
                </c:pt>
                <c:pt idx="479">
                  <c:v>0.48000000000000032</c:v>
                </c:pt>
                <c:pt idx="480">
                  <c:v>0.48100000000000032</c:v>
                </c:pt>
                <c:pt idx="481">
                  <c:v>0.48200000000000032</c:v>
                </c:pt>
                <c:pt idx="482">
                  <c:v>0.48300000000000032</c:v>
                </c:pt>
                <c:pt idx="483">
                  <c:v>0.48400000000000032</c:v>
                </c:pt>
                <c:pt idx="484">
                  <c:v>0.48500000000000032</c:v>
                </c:pt>
                <c:pt idx="485">
                  <c:v>0.48600000000000032</c:v>
                </c:pt>
                <c:pt idx="486">
                  <c:v>0.48700000000000032</c:v>
                </c:pt>
                <c:pt idx="487">
                  <c:v>0.48800000000000032</c:v>
                </c:pt>
                <c:pt idx="488">
                  <c:v>0.48900000000000032</c:v>
                </c:pt>
                <c:pt idx="489">
                  <c:v>0.49000000000000032</c:v>
                </c:pt>
                <c:pt idx="490">
                  <c:v>0.49100000000000038</c:v>
                </c:pt>
                <c:pt idx="491">
                  <c:v>0.49200000000000038</c:v>
                </c:pt>
                <c:pt idx="492">
                  <c:v>0.49300000000000038</c:v>
                </c:pt>
                <c:pt idx="493">
                  <c:v>0.49400000000000038</c:v>
                </c:pt>
                <c:pt idx="494">
                  <c:v>0.49500000000000038</c:v>
                </c:pt>
                <c:pt idx="495">
                  <c:v>0.49600000000000088</c:v>
                </c:pt>
                <c:pt idx="496">
                  <c:v>0.49700000000000188</c:v>
                </c:pt>
                <c:pt idx="497">
                  <c:v>0.49800000000000288</c:v>
                </c:pt>
                <c:pt idx="498">
                  <c:v>0.49900000000000327</c:v>
                </c:pt>
                <c:pt idx="499">
                  <c:v>0.5</c:v>
                </c:pt>
                <c:pt idx="500">
                  <c:v>0.501</c:v>
                </c:pt>
                <c:pt idx="501">
                  <c:v>0.502</c:v>
                </c:pt>
                <c:pt idx="502">
                  <c:v>0.503</c:v>
                </c:pt>
                <c:pt idx="503">
                  <c:v>0.504</c:v>
                </c:pt>
                <c:pt idx="504">
                  <c:v>0.505</c:v>
                </c:pt>
                <c:pt idx="505">
                  <c:v>0.50600000000000001</c:v>
                </c:pt>
                <c:pt idx="506">
                  <c:v>0.50700000000000001</c:v>
                </c:pt>
                <c:pt idx="507">
                  <c:v>0.50800000000000001</c:v>
                </c:pt>
                <c:pt idx="508">
                  <c:v>0.50900000000000001</c:v>
                </c:pt>
                <c:pt idx="509">
                  <c:v>0.51</c:v>
                </c:pt>
                <c:pt idx="510">
                  <c:v>0.51100000000000001</c:v>
                </c:pt>
                <c:pt idx="511">
                  <c:v>0.51200000000000001</c:v>
                </c:pt>
                <c:pt idx="512">
                  <c:v>0.51300000000000001</c:v>
                </c:pt>
                <c:pt idx="513">
                  <c:v>0.51400000000000001</c:v>
                </c:pt>
                <c:pt idx="514">
                  <c:v>0.51500000000000001</c:v>
                </c:pt>
                <c:pt idx="515">
                  <c:v>0.51600000000000001</c:v>
                </c:pt>
                <c:pt idx="516">
                  <c:v>0.51700000000000002</c:v>
                </c:pt>
                <c:pt idx="517">
                  <c:v>0.51800000000000002</c:v>
                </c:pt>
                <c:pt idx="518">
                  <c:v>0.51900000000000002</c:v>
                </c:pt>
                <c:pt idx="519">
                  <c:v>0.52</c:v>
                </c:pt>
                <c:pt idx="520">
                  <c:v>0.52100000000000002</c:v>
                </c:pt>
                <c:pt idx="521">
                  <c:v>0.52200000000000002</c:v>
                </c:pt>
                <c:pt idx="522">
                  <c:v>0.52300000000000002</c:v>
                </c:pt>
                <c:pt idx="523">
                  <c:v>0.52400000000000002</c:v>
                </c:pt>
                <c:pt idx="524">
                  <c:v>0.52500000000000002</c:v>
                </c:pt>
                <c:pt idx="525">
                  <c:v>0.52600000000000002</c:v>
                </c:pt>
                <c:pt idx="526">
                  <c:v>0.52700000000000002</c:v>
                </c:pt>
                <c:pt idx="527">
                  <c:v>0.52800000000000002</c:v>
                </c:pt>
                <c:pt idx="528">
                  <c:v>0.52900000000000003</c:v>
                </c:pt>
                <c:pt idx="529">
                  <c:v>0.53</c:v>
                </c:pt>
                <c:pt idx="530">
                  <c:v>0.53100000000000003</c:v>
                </c:pt>
                <c:pt idx="531">
                  <c:v>0.53200000000000003</c:v>
                </c:pt>
                <c:pt idx="532">
                  <c:v>0.53300000000000003</c:v>
                </c:pt>
                <c:pt idx="533">
                  <c:v>0.53400000000000003</c:v>
                </c:pt>
                <c:pt idx="534">
                  <c:v>0.53500000000000003</c:v>
                </c:pt>
                <c:pt idx="535">
                  <c:v>0.53600000000000003</c:v>
                </c:pt>
                <c:pt idx="536">
                  <c:v>0.53700000000000003</c:v>
                </c:pt>
                <c:pt idx="537">
                  <c:v>0.53800000000000003</c:v>
                </c:pt>
                <c:pt idx="538">
                  <c:v>0.53900000000000003</c:v>
                </c:pt>
                <c:pt idx="539">
                  <c:v>0.54</c:v>
                </c:pt>
                <c:pt idx="540">
                  <c:v>0.54100000000000004</c:v>
                </c:pt>
                <c:pt idx="541">
                  <c:v>0.54200000000000004</c:v>
                </c:pt>
                <c:pt idx="542">
                  <c:v>0.54300000000000004</c:v>
                </c:pt>
                <c:pt idx="543">
                  <c:v>0.54400000000000004</c:v>
                </c:pt>
                <c:pt idx="544">
                  <c:v>0.54500000000000004</c:v>
                </c:pt>
                <c:pt idx="545">
                  <c:v>0.54600000000000004</c:v>
                </c:pt>
                <c:pt idx="546">
                  <c:v>0.54700000000000004</c:v>
                </c:pt>
                <c:pt idx="547">
                  <c:v>0.54800000000000004</c:v>
                </c:pt>
                <c:pt idx="548">
                  <c:v>0.54900000000000004</c:v>
                </c:pt>
                <c:pt idx="549">
                  <c:v>0.55000000000000004</c:v>
                </c:pt>
                <c:pt idx="550">
                  <c:v>0.55100000000000005</c:v>
                </c:pt>
                <c:pt idx="551">
                  <c:v>0.55200000000000005</c:v>
                </c:pt>
                <c:pt idx="552">
                  <c:v>0.55300000000000005</c:v>
                </c:pt>
                <c:pt idx="553">
                  <c:v>0.55400000000000005</c:v>
                </c:pt>
                <c:pt idx="554">
                  <c:v>0.55500000000000005</c:v>
                </c:pt>
                <c:pt idx="555">
                  <c:v>0.55600000000000005</c:v>
                </c:pt>
                <c:pt idx="556">
                  <c:v>0.55700000000000005</c:v>
                </c:pt>
                <c:pt idx="557">
                  <c:v>0.55800000000000005</c:v>
                </c:pt>
                <c:pt idx="558">
                  <c:v>0.55900000000000005</c:v>
                </c:pt>
                <c:pt idx="559">
                  <c:v>0.56000000000000005</c:v>
                </c:pt>
                <c:pt idx="560">
                  <c:v>0.56100000000000005</c:v>
                </c:pt>
                <c:pt idx="561">
                  <c:v>0.56200000000000061</c:v>
                </c:pt>
                <c:pt idx="562">
                  <c:v>0.56299999999999994</c:v>
                </c:pt>
                <c:pt idx="563">
                  <c:v>0.56399999999999995</c:v>
                </c:pt>
                <c:pt idx="564">
                  <c:v>0.56499999999999995</c:v>
                </c:pt>
                <c:pt idx="565">
                  <c:v>0.56599999999999995</c:v>
                </c:pt>
                <c:pt idx="566">
                  <c:v>0.56699999999999995</c:v>
                </c:pt>
                <c:pt idx="567">
                  <c:v>0.56799999999999995</c:v>
                </c:pt>
                <c:pt idx="568">
                  <c:v>0.56899999999999995</c:v>
                </c:pt>
                <c:pt idx="569">
                  <c:v>0.56999999999999995</c:v>
                </c:pt>
                <c:pt idx="570">
                  <c:v>0.57099999999999995</c:v>
                </c:pt>
                <c:pt idx="571">
                  <c:v>0.57199999999999995</c:v>
                </c:pt>
                <c:pt idx="572">
                  <c:v>0.57299999999999995</c:v>
                </c:pt>
                <c:pt idx="573">
                  <c:v>0.57399999999999995</c:v>
                </c:pt>
                <c:pt idx="574">
                  <c:v>0.57500000000000062</c:v>
                </c:pt>
                <c:pt idx="575">
                  <c:v>0.57600000000000062</c:v>
                </c:pt>
                <c:pt idx="576">
                  <c:v>0.57700000000000062</c:v>
                </c:pt>
                <c:pt idx="577">
                  <c:v>0.57800000000000062</c:v>
                </c:pt>
                <c:pt idx="578">
                  <c:v>0.57900000000000063</c:v>
                </c:pt>
                <c:pt idx="579">
                  <c:v>0.58000000000000007</c:v>
                </c:pt>
                <c:pt idx="580">
                  <c:v>0.58099999999999996</c:v>
                </c:pt>
                <c:pt idx="581">
                  <c:v>0.58199999999999996</c:v>
                </c:pt>
                <c:pt idx="582">
                  <c:v>0.58299999999999996</c:v>
                </c:pt>
                <c:pt idx="583">
                  <c:v>0.58399999999999996</c:v>
                </c:pt>
                <c:pt idx="584">
                  <c:v>0.58499999999999996</c:v>
                </c:pt>
                <c:pt idx="585">
                  <c:v>0.58599999999999997</c:v>
                </c:pt>
                <c:pt idx="586">
                  <c:v>0.58699999999999997</c:v>
                </c:pt>
                <c:pt idx="587">
                  <c:v>0.58799999999999997</c:v>
                </c:pt>
                <c:pt idx="588">
                  <c:v>0.58899999999999997</c:v>
                </c:pt>
                <c:pt idx="589">
                  <c:v>0.59</c:v>
                </c:pt>
                <c:pt idx="590">
                  <c:v>0.59099999999999997</c:v>
                </c:pt>
                <c:pt idx="591">
                  <c:v>0.59199999999999997</c:v>
                </c:pt>
                <c:pt idx="592">
                  <c:v>0.59299999999999997</c:v>
                </c:pt>
                <c:pt idx="593">
                  <c:v>0.59399999999999997</c:v>
                </c:pt>
                <c:pt idx="594">
                  <c:v>0.59499999999999997</c:v>
                </c:pt>
                <c:pt idx="595">
                  <c:v>0.59599999999999997</c:v>
                </c:pt>
                <c:pt idx="596">
                  <c:v>0.59699999999999998</c:v>
                </c:pt>
                <c:pt idx="597">
                  <c:v>0.59799999999999998</c:v>
                </c:pt>
                <c:pt idx="598">
                  <c:v>0.59899999999999998</c:v>
                </c:pt>
                <c:pt idx="599">
                  <c:v>0.60000000000000064</c:v>
                </c:pt>
                <c:pt idx="600">
                  <c:v>0.60100000000000064</c:v>
                </c:pt>
                <c:pt idx="601">
                  <c:v>0.60200000000000065</c:v>
                </c:pt>
                <c:pt idx="602">
                  <c:v>0.60300000000000065</c:v>
                </c:pt>
                <c:pt idx="603">
                  <c:v>0.60400000000000065</c:v>
                </c:pt>
                <c:pt idx="604">
                  <c:v>0.60500000000000065</c:v>
                </c:pt>
                <c:pt idx="605">
                  <c:v>0.60600000000000065</c:v>
                </c:pt>
                <c:pt idx="606">
                  <c:v>0.60700000000000065</c:v>
                </c:pt>
                <c:pt idx="607">
                  <c:v>0.60800000000000065</c:v>
                </c:pt>
                <c:pt idx="608">
                  <c:v>0.60900000000000065</c:v>
                </c:pt>
                <c:pt idx="609">
                  <c:v>0.61000000000000065</c:v>
                </c:pt>
                <c:pt idx="610">
                  <c:v>0.61100000000000065</c:v>
                </c:pt>
                <c:pt idx="611">
                  <c:v>0.61200000000000065</c:v>
                </c:pt>
                <c:pt idx="612">
                  <c:v>0.61300000000000165</c:v>
                </c:pt>
                <c:pt idx="613">
                  <c:v>0.61400000000000265</c:v>
                </c:pt>
                <c:pt idx="614">
                  <c:v>0.61500000000000365</c:v>
                </c:pt>
                <c:pt idx="615">
                  <c:v>0.61600000000000465</c:v>
                </c:pt>
                <c:pt idx="616">
                  <c:v>0.61700000000000654</c:v>
                </c:pt>
                <c:pt idx="617">
                  <c:v>0.61800000000000654</c:v>
                </c:pt>
                <c:pt idx="618">
                  <c:v>0.61900000000000654</c:v>
                </c:pt>
                <c:pt idx="619">
                  <c:v>0.62000000000000655</c:v>
                </c:pt>
                <c:pt idx="620">
                  <c:v>0.62100000000000655</c:v>
                </c:pt>
                <c:pt idx="621">
                  <c:v>0.62200000000000655</c:v>
                </c:pt>
                <c:pt idx="622">
                  <c:v>0.62300000000000655</c:v>
                </c:pt>
                <c:pt idx="623">
                  <c:v>0.62400000000000655</c:v>
                </c:pt>
                <c:pt idx="624">
                  <c:v>0.62500000000000666</c:v>
                </c:pt>
                <c:pt idx="625">
                  <c:v>0.62600000000000677</c:v>
                </c:pt>
                <c:pt idx="626">
                  <c:v>0.62700000000000689</c:v>
                </c:pt>
                <c:pt idx="627">
                  <c:v>0.628000000000007</c:v>
                </c:pt>
                <c:pt idx="628">
                  <c:v>0.62900000000000711</c:v>
                </c:pt>
                <c:pt idx="629">
                  <c:v>0.63000000000000722</c:v>
                </c:pt>
                <c:pt idx="630">
                  <c:v>0.63100000000000733</c:v>
                </c:pt>
                <c:pt idx="631">
                  <c:v>0.63200000000000733</c:v>
                </c:pt>
                <c:pt idx="632">
                  <c:v>0.63300000000000733</c:v>
                </c:pt>
                <c:pt idx="633">
                  <c:v>0.63400000000000734</c:v>
                </c:pt>
                <c:pt idx="634">
                  <c:v>0.63500000000000734</c:v>
                </c:pt>
                <c:pt idx="635">
                  <c:v>0.63600000000000734</c:v>
                </c:pt>
                <c:pt idx="636">
                  <c:v>0.63700000000000734</c:v>
                </c:pt>
                <c:pt idx="637">
                  <c:v>0.63800000000000734</c:v>
                </c:pt>
                <c:pt idx="638">
                  <c:v>0.63900000000000734</c:v>
                </c:pt>
                <c:pt idx="639">
                  <c:v>0.64000000000000734</c:v>
                </c:pt>
                <c:pt idx="640">
                  <c:v>0.64100000000000734</c:v>
                </c:pt>
                <c:pt idx="641">
                  <c:v>0.64200000000000734</c:v>
                </c:pt>
                <c:pt idx="642">
                  <c:v>0.64300000000000734</c:v>
                </c:pt>
                <c:pt idx="643">
                  <c:v>0.64400000000000734</c:v>
                </c:pt>
                <c:pt idx="644">
                  <c:v>0.64500000000000735</c:v>
                </c:pt>
                <c:pt idx="645">
                  <c:v>0.64600000000000735</c:v>
                </c:pt>
                <c:pt idx="646">
                  <c:v>0.64700000000000735</c:v>
                </c:pt>
                <c:pt idx="647">
                  <c:v>0.64800000000000735</c:v>
                </c:pt>
                <c:pt idx="648">
                  <c:v>0.64900000000000735</c:v>
                </c:pt>
                <c:pt idx="649">
                  <c:v>0.65000000000000746</c:v>
                </c:pt>
                <c:pt idx="650">
                  <c:v>0.65100000000000768</c:v>
                </c:pt>
                <c:pt idx="651">
                  <c:v>0.6520000000000078</c:v>
                </c:pt>
                <c:pt idx="652">
                  <c:v>0.65300000000000791</c:v>
                </c:pt>
                <c:pt idx="653">
                  <c:v>0.65400000000000802</c:v>
                </c:pt>
                <c:pt idx="654">
                  <c:v>0.65500000000000813</c:v>
                </c:pt>
                <c:pt idx="655">
                  <c:v>0.65600000000000835</c:v>
                </c:pt>
                <c:pt idx="656">
                  <c:v>0.65700000000000836</c:v>
                </c:pt>
                <c:pt idx="657">
                  <c:v>0.65800000000000836</c:v>
                </c:pt>
                <c:pt idx="658">
                  <c:v>0.65900000000000836</c:v>
                </c:pt>
                <c:pt idx="659">
                  <c:v>0.66000000000000836</c:v>
                </c:pt>
                <c:pt idx="660">
                  <c:v>0.66100000000000836</c:v>
                </c:pt>
                <c:pt idx="661">
                  <c:v>0.66200000000000836</c:v>
                </c:pt>
                <c:pt idx="662">
                  <c:v>0.66300000000000836</c:v>
                </c:pt>
                <c:pt idx="663">
                  <c:v>0.66400000000000836</c:v>
                </c:pt>
                <c:pt idx="664">
                  <c:v>0.66500000000000836</c:v>
                </c:pt>
                <c:pt idx="665">
                  <c:v>0.66600000000000836</c:v>
                </c:pt>
                <c:pt idx="666">
                  <c:v>0.66700000000000836</c:v>
                </c:pt>
                <c:pt idx="667">
                  <c:v>0.66800000000000836</c:v>
                </c:pt>
                <c:pt idx="668">
                  <c:v>0.66900000000000837</c:v>
                </c:pt>
                <c:pt idx="669">
                  <c:v>0.67000000000000848</c:v>
                </c:pt>
                <c:pt idx="670">
                  <c:v>0.67100000000000848</c:v>
                </c:pt>
                <c:pt idx="671">
                  <c:v>0.67200000000000848</c:v>
                </c:pt>
                <c:pt idx="672">
                  <c:v>0.67300000000000848</c:v>
                </c:pt>
                <c:pt idx="673">
                  <c:v>0.67400000000000848</c:v>
                </c:pt>
                <c:pt idx="674">
                  <c:v>0.67500000000000848</c:v>
                </c:pt>
                <c:pt idx="675">
                  <c:v>0.67600000000000848</c:v>
                </c:pt>
                <c:pt idx="676">
                  <c:v>0.67700000000000848</c:v>
                </c:pt>
                <c:pt idx="677">
                  <c:v>0.67800000000000848</c:v>
                </c:pt>
                <c:pt idx="678">
                  <c:v>0.67900000000000849</c:v>
                </c:pt>
                <c:pt idx="679">
                  <c:v>0.68</c:v>
                </c:pt>
                <c:pt idx="680">
                  <c:v>0.68100000000000005</c:v>
                </c:pt>
                <c:pt idx="681">
                  <c:v>0.68200000000000005</c:v>
                </c:pt>
                <c:pt idx="682">
                  <c:v>0.68300000000000005</c:v>
                </c:pt>
                <c:pt idx="683">
                  <c:v>0.68400000000000005</c:v>
                </c:pt>
                <c:pt idx="684">
                  <c:v>0.68500000000000005</c:v>
                </c:pt>
                <c:pt idx="685">
                  <c:v>0.68600000000000005</c:v>
                </c:pt>
                <c:pt idx="686">
                  <c:v>0.68700000000000061</c:v>
                </c:pt>
                <c:pt idx="687">
                  <c:v>0.68799999999999994</c:v>
                </c:pt>
                <c:pt idx="688">
                  <c:v>0.68899999999999995</c:v>
                </c:pt>
                <c:pt idx="689">
                  <c:v>0.69000000000000061</c:v>
                </c:pt>
                <c:pt idx="690">
                  <c:v>0.69099999999999995</c:v>
                </c:pt>
                <c:pt idx="691">
                  <c:v>0.69199999999999995</c:v>
                </c:pt>
                <c:pt idx="692">
                  <c:v>0.69299999999999995</c:v>
                </c:pt>
                <c:pt idx="693">
                  <c:v>0.69399999999999995</c:v>
                </c:pt>
                <c:pt idx="694">
                  <c:v>0.69499999999999995</c:v>
                </c:pt>
                <c:pt idx="695">
                  <c:v>0.69599999999999995</c:v>
                </c:pt>
                <c:pt idx="696">
                  <c:v>0.69699999999999995</c:v>
                </c:pt>
                <c:pt idx="697">
                  <c:v>0.69799999999999995</c:v>
                </c:pt>
                <c:pt idx="698">
                  <c:v>0.69899999999999995</c:v>
                </c:pt>
                <c:pt idx="699">
                  <c:v>0.70000000000000062</c:v>
                </c:pt>
                <c:pt idx="700">
                  <c:v>0.70100000000000062</c:v>
                </c:pt>
                <c:pt idx="701">
                  <c:v>0.70200000000000062</c:v>
                </c:pt>
                <c:pt idx="702">
                  <c:v>0.70300000000000062</c:v>
                </c:pt>
                <c:pt idx="703">
                  <c:v>0.70400000000000063</c:v>
                </c:pt>
                <c:pt idx="704">
                  <c:v>0.70500000000000063</c:v>
                </c:pt>
                <c:pt idx="705">
                  <c:v>0.70600000000000063</c:v>
                </c:pt>
                <c:pt idx="706">
                  <c:v>0.70700000000000063</c:v>
                </c:pt>
                <c:pt idx="707">
                  <c:v>0.70800000000000063</c:v>
                </c:pt>
                <c:pt idx="708">
                  <c:v>0.70900000000000063</c:v>
                </c:pt>
                <c:pt idx="709">
                  <c:v>0.71000000000000063</c:v>
                </c:pt>
                <c:pt idx="710">
                  <c:v>0.71100000000000063</c:v>
                </c:pt>
                <c:pt idx="711">
                  <c:v>0.71200000000000063</c:v>
                </c:pt>
                <c:pt idx="712">
                  <c:v>0.71300000000000063</c:v>
                </c:pt>
                <c:pt idx="713">
                  <c:v>0.71400000000000063</c:v>
                </c:pt>
                <c:pt idx="714">
                  <c:v>0.71500000000000064</c:v>
                </c:pt>
                <c:pt idx="715">
                  <c:v>0.71600000000000064</c:v>
                </c:pt>
                <c:pt idx="716">
                  <c:v>0.71700000000000064</c:v>
                </c:pt>
                <c:pt idx="717">
                  <c:v>0.71800000000000064</c:v>
                </c:pt>
                <c:pt idx="718">
                  <c:v>0.71900000000000064</c:v>
                </c:pt>
                <c:pt idx="719">
                  <c:v>0.72000000000000064</c:v>
                </c:pt>
                <c:pt idx="720">
                  <c:v>0.72100000000000064</c:v>
                </c:pt>
                <c:pt idx="721">
                  <c:v>0.72200000000000064</c:v>
                </c:pt>
                <c:pt idx="722">
                  <c:v>0.72300000000000064</c:v>
                </c:pt>
                <c:pt idx="723">
                  <c:v>0.72400000000000064</c:v>
                </c:pt>
                <c:pt idx="724">
                  <c:v>0.72500000000000064</c:v>
                </c:pt>
                <c:pt idx="725">
                  <c:v>0.72600000000000064</c:v>
                </c:pt>
                <c:pt idx="726">
                  <c:v>0.72700000000000065</c:v>
                </c:pt>
                <c:pt idx="727">
                  <c:v>0.72800000000000065</c:v>
                </c:pt>
                <c:pt idx="728">
                  <c:v>0.72900000000000065</c:v>
                </c:pt>
                <c:pt idx="729">
                  <c:v>0.73000000000000065</c:v>
                </c:pt>
                <c:pt idx="730">
                  <c:v>0.73100000000000065</c:v>
                </c:pt>
                <c:pt idx="731">
                  <c:v>0.73200000000000065</c:v>
                </c:pt>
                <c:pt idx="732">
                  <c:v>0.73300000000000065</c:v>
                </c:pt>
                <c:pt idx="733">
                  <c:v>0.73400000000000065</c:v>
                </c:pt>
                <c:pt idx="734">
                  <c:v>0.73500000000000065</c:v>
                </c:pt>
                <c:pt idx="735">
                  <c:v>0.73600000000000065</c:v>
                </c:pt>
                <c:pt idx="736">
                  <c:v>0.73700000000000065</c:v>
                </c:pt>
                <c:pt idx="737">
                  <c:v>0.73800000000000165</c:v>
                </c:pt>
                <c:pt idx="738">
                  <c:v>0.73900000000000265</c:v>
                </c:pt>
                <c:pt idx="739">
                  <c:v>0.74000000000000365</c:v>
                </c:pt>
                <c:pt idx="740">
                  <c:v>0.74100000000000465</c:v>
                </c:pt>
                <c:pt idx="741">
                  <c:v>0.74200000000000654</c:v>
                </c:pt>
                <c:pt idx="742">
                  <c:v>0.74300000000000654</c:v>
                </c:pt>
                <c:pt idx="743">
                  <c:v>0.74400000000000654</c:v>
                </c:pt>
                <c:pt idx="744">
                  <c:v>0.74500000000000655</c:v>
                </c:pt>
                <c:pt idx="745">
                  <c:v>0.74600000000000655</c:v>
                </c:pt>
                <c:pt idx="746">
                  <c:v>0.74700000000000655</c:v>
                </c:pt>
                <c:pt idx="747">
                  <c:v>0.74800000000000655</c:v>
                </c:pt>
                <c:pt idx="748">
                  <c:v>0.74900000000000655</c:v>
                </c:pt>
                <c:pt idx="749">
                  <c:v>0.75000000000000666</c:v>
                </c:pt>
                <c:pt idx="750">
                  <c:v>0.75100000000000677</c:v>
                </c:pt>
                <c:pt idx="751">
                  <c:v>0.75200000000000689</c:v>
                </c:pt>
                <c:pt idx="752">
                  <c:v>0.753000000000007</c:v>
                </c:pt>
                <c:pt idx="753">
                  <c:v>0.75400000000000711</c:v>
                </c:pt>
                <c:pt idx="754">
                  <c:v>0.75500000000000722</c:v>
                </c:pt>
                <c:pt idx="755">
                  <c:v>0.75600000000000733</c:v>
                </c:pt>
                <c:pt idx="756">
                  <c:v>0.75700000000000733</c:v>
                </c:pt>
                <c:pt idx="757">
                  <c:v>0.75800000000000733</c:v>
                </c:pt>
                <c:pt idx="758">
                  <c:v>0.75900000000000734</c:v>
                </c:pt>
                <c:pt idx="759">
                  <c:v>0.76000000000000734</c:v>
                </c:pt>
                <c:pt idx="760">
                  <c:v>0.76100000000000734</c:v>
                </c:pt>
                <c:pt idx="761">
                  <c:v>0.76200000000000734</c:v>
                </c:pt>
                <c:pt idx="762">
                  <c:v>0.76300000000000734</c:v>
                </c:pt>
                <c:pt idx="763">
                  <c:v>0.76400000000000734</c:v>
                </c:pt>
                <c:pt idx="764">
                  <c:v>0.76500000000000734</c:v>
                </c:pt>
                <c:pt idx="765">
                  <c:v>0.76600000000000734</c:v>
                </c:pt>
                <c:pt idx="766">
                  <c:v>0.76700000000000734</c:v>
                </c:pt>
                <c:pt idx="767">
                  <c:v>0.76800000000000734</c:v>
                </c:pt>
                <c:pt idx="768">
                  <c:v>0.76900000000000734</c:v>
                </c:pt>
                <c:pt idx="769">
                  <c:v>0.77000000000000735</c:v>
                </c:pt>
                <c:pt idx="770">
                  <c:v>0.77100000000000735</c:v>
                </c:pt>
                <c:pt idx="771">
                  <c:v>0.77200000000000735</c:v>
                </c:pt>
                <c:pt idx="772">
                  <c:v>0.77300000000000735</c:v>
                </c:pt>
                <c:pt idx="773">
                  <c:v>0.77400000000000735</c:v>
                </c:pt>
                <c:pt idx="774">
                  <c:v>0.77500000000000746</c:v>
                </c:pt>
                <c:pt idx="775">
                  <c:v>0.77600000000000768</c:v>
                </c:pt>
                <c:pt idx="776">
                  <c:v>0.7770000000000078</c:v>
                </c:pt>
                <c:pt idx="777">
                  <c:v>0.77800000000000791</c:v>
                </c:pt>
                <c:pt idx="778">
                  <c:v>0.77900000000000802</c:v>
                </c:pt>
                <c:pt idx="779">
                  <c:v>0.78</c:v>
                </c:pt>
                <c:pt idx="780">
                  <c:v>0.78100000000000003</c:v>
                </c:pt>
                <c:pt idx="781">
                  <c:v>0.78200000000000003</c:v>
                </c:pt>
                <c:pt idx="782">
                  <c:v>0.78300000000000003</c:v>
                </c:pt>
                <c:pt idx="783">
                  <c:v>0.78400000000000003</c:v>
                </c:pt>
                <c:pt idx="784">
                  <c:v>0.78500000000000003</c:v>
                </c:pt>
                <c:pt idx="785">
                  <c:v>0.78600000000000003</c:v>
                </c:pt>
                <c:pt idx="786">
                  <c:v>0.78700000000000003</c:v>
                </c:pt>
                <c:pt idx="787">
                  <c:v>0.78800000000000003</c:v>
                </c:pt>
                <c:pt idx="788">
                  <c:v>0.78900000000000003</c:v>
                </c:pt>
                <c:pt idx="789">
                  <c:v>0.79</c:v>
                </c:pt>
                <c:pt idx="790">
                  <c:v>0.79100000000000004</c:v>
                </c:pt>
                <c:pt idx="791">
                  <c:v>0.79200000000000004</c:v>
                </c:pt>
                <c:pt idx="792">
                  <c:v>0.79300000000000004</c:v>
                </c:pt>
                <c:pt idx="793">
                  <c:v>0.79400000000000004</c:v>
                </c:pt>
                <c:pt idx="794">
                  <c:v>0.79500000000000004</c:v>
                </c:pt>
                <c:pt idx="795">
                  <c:v>0.79600000000000004</c:v>
                </c:pt>
                <c:pt idx="796">
                  <c:v>0.79700000000000004</c:v>
                </c:pt>
                <c:pt idx="797">
                  <c:v>0.79800000000000004</c:v>
                </c:pt>
                <c:pt idx="798">
                  <c:v>0.79900000000000004</c:v>
                </c:pt>
                <c:pt idx="799">
                  <c:v>0.8</c:v>
                </c:pt>
                <c:pt idx="800">
                  <c:v>0.80100000000000005</c:v>
                </c:pt>
                <c:pt idx="801">
                  <c:v>0.80200000000000005</c:v>
                </c:pt>
                <c:pt idx="802">
                  <c:v>0.80300000000000005</c:v>
                </c:pt>
                <c:pt idx="803">
                  <c:v>0.80400000000000005</c:v>
                </c:pt>
                <c:pt idx="804">
                  <c:v>0.80500000000000005</c:v>
                </c:pt>
                <c:pt idx="805">
                  <c:v>0.80600000000000005</c:v>
                </c:pt>
                <c:pt idx="806">
                  <c:v>0.80700000000000005</c:v>
                </c:pt>
                <c:pt idx="807">
                  <c:v>0.80800000000000005</c:v>
                </c:pt>
                <c:pt idx="808">
                  <c:v>0.80900000000000005</c:v>
                </c:pt>
                <c:pt idx="809">
                  <c:v>0.81</c:v>
                </c:pt>
                <c:pt idx="810">
                  <c:v>0.81100000000000005</c:v>
                </c:pt>
                <c:pt idx="811">
                  <c:v>0.81200000000000061</c:v>
                </c:pt>
                <c:pt idx="812">
                  <c:v>0.81299999999999994</c:v>
                </c:pt>
                <c:pt idx="813">
                  <c:v>0.81399999999999995</c:v>
                </c:pt>
                <c:pt idx="814">
                  <c:v>0.81499999999999995</c:v>
                </c:pt>
                <c:pt idx="815">
                  <c:v>0.81599999999999995</c:v>
                </c:pt>
                <c:pt idx="816">
                  <c:v>0.81699999999999995</c:v>
                </c:pt>
                <c:pt idx="817">
                  <c:v>0.81799999999999995</c:v>
                </c:pt>
                <c:pt idx="818">
                  <c:v>0.81899999999999995</c:v>
                </c:pt>
                <c:pt idx="819">
                  <c:v>0.82000000000000062</c:v>
                </c:pt>
                <c:pt idx="820">
                  <c:v>0.82099999999999995</c:v>
                </c:pt>
                <c:pt idx="821">
                  <c:v>0.82199999999999995</c:v>
                </c:pt>
                <c:pt idx="822">
                  <c:v>0.82299999999999995</c:v>
                </c:pt>
                <c:pt idx="823">
                  <c:v>0.82399999999999995</c:v>
                </c:pt>
                <c:pt idx="824">
                  <c:v>0.82500000000000062</c:v>
                </c:pt>
                <c:pt idx="825">
                  <c:v>0.82600000000000062</c:v>
                </c:pt>
                <c:pt idx="826">
                  <c:v>0.82700000000000062</c:v>
                </c:pt>
                <c:pt idx="827">
                  <c:v>0.82800000000000062</c:v>
                </c:pt>
                <c:pt idx="828">
                  <c:v>0.82900000000000063</c:v>
                </c:pt>
                <c:pt idx="829">
                  <c:v>0.83000000000000063</c:v>
                </c:pt>
                <c:pt idx="830">
                  <c:v>0.83100000000000063</c:v>
                </c:pt>
                <c:pt idx="831">
                  <c:v>0.83200000000000063</c:v>
                </c:pt>
                <c:pt idx="832">
                  <c:v>0.83300000000000063</c:v>
                </c:pt>
                <c:pt idx="833">
                  <c:v>0.83400000000000063</c:v>
                </c:pt>
                <c:pt idx="834">
                  <c:v>0.83500000000000063</c:v>
                </c:pt>
                <c:pt idx="835">
                  <c:v>0.83600000000000063</c:v>
                </c:pt>
                <c:pt idx="836">
                  <c:v>0.83700000000000063</c:v>
                </c:pt>
                <c:pt idx="837">
                  <c:v>0.83800000000000063</c:v>
                </c:pt>
                <c:pt idx="838">
                  <c:v>0.83900000000000063</c:v>
                </c:pt>
                <c:pt idx="839">
                  <c:v>0.84000000000000064</c:v>
                </c:pt>
                <c:pt idx="840">
                  <c:v>0.84100000000000064</c:v>
                </c:pt>
                <c:pt idx="841">
                  <c:v>0.84200000000000064</c:v>
                </c:pt>
                <c:pt idx="842">
                  <c:v>0.84300000000000064</c:v>
                </c:pt>
                <c:pt idx="843">
                  <c:v>0.84400000000000064</c:v>
                </c:pt>
                <c:pt idx="844">
                  <c:v>0.84500000000000064</c:v>
                </c:pt>
                <c:pt idx="845">
                  <c:v>0.84600000000000064</c:v>
                </c:pt>
                <c:pt idx="846">
                  <c:v>0.84700000000000064</c:v>
                </c:pt>
                <c:pt idx="847">
                  <c:v>0.84800000000000064</c:v>
                </c:pt>
                <c:pt idx="848">
                  <c:v>0.84900000000000064</c:v>
                </c:pt>
                <c:pt idx="849">
                  <c:v>0.85000000000000064</c:v>
                </c:pt>
                <c:pt idx="850">
                  <c:v>0.85100000000000064</c:v>
                </c:pt>
                <c:pt idx="851">
                  <c:v>0.85200000000000065</c:v>
                </c:pt>
                <c:pt idx="852">
                  <c:v>0.85300000000000065</c:v>
                </c:pt>
                <c:pt idx="853">
                  <c:v>0.85400000000000065</c:v>
                </c:pt>
                <c:pt idx="854">
                  <c:v>0.85500000000000065</c:v>
                </c:pt>
                <c:pt idx="855">
                  <c:v>0.85600000000000065</c:v>
                </c:pt>
                <c:pt idx="856">
                  <c:v>0.85700000000000065</c:v>
                </c:pt>
                <c:pt idx="857">
                  <c:v>0.85800000000000065</c:v>
                </c:pt>
                <c:pt idx="858">
                  <c:v>0.85900000000000065</c:v>
                </c:pt>
                <c:pt idx="859">
                  <c:v>0.86000000000000065</c:v>
                </c:pt>
                <c:pt idx="860">
                  <c:v>0.86100000000000065</c:v>
                </c:pt>
                <c:pt idx="861">
                  <c:v>0.86200000000000065</c:v>
                </c:pt>
                <c:pt idx="862">
                  <c:v>0.86300000000000165</c:v>
                </c:pt>
                <c:pt idx="863">
                  <c:v>0.86400000000000265</c:v>
                </c:pt>
                <c:pt idx="864">
                  <c:v>0.86500000000000365</c:v>
                </c:pt>
                <c:pt idx="865">
                  <c:v>0.86600000000000465</c:v>
                </c:pt>
                <c:pt idx="866">
                  <c:v>0.86700000000000654</c:v>
                </c:pt>
                <c:pt idx="867">
                  <c:v>0.86800000000000654</c:v>
                </c:pt>
                <c:pt idx="868">
                  <c:v>0.86900000000000654</c:v>
                </c:pt>
                <c:pt idx="869">
                  <c:v>0.87000000000000655</c:v>
                </c:pt>
                <c:pt idx="870">
                  <c:v>0.87100000000000655</c:v>
                </c:pt>
                <c:pt idx="871">
                  <c:v>0.87200000000000655</c:v>
                </c:pt>
                <c:pt idx="872">
                  <c:v>0.87300000000000655</c:v>
                </c:pt>
                <c:pt idx="873">
                  <c:v>0.87400000000000655</c:v>
                </c:pt>
                <c:pt idx="874">
                  <c:v>0.87500000000000666</c:v>
                </c:pt>
                <c:pt idx="875">
                  <c:v>0.87600000000000677</c:v>
                </c:pt>
                <c:pt idx="876">
                  <c:v>0.87700000000000689</c:v>
                </c:pt>
                <c:pt idx="877">
                  <c:v>0.878000000000007</c:v>
                </c:pt>
                <c:pt idx="878">
                  <c:v>0.87900000000000711</c:v>
                </c:pt>
                <c:pt idx="879">
                  <c:v>0.88</c:v>
                </c:pt>
                <c:pt idx="880">
                  <c:v>0.88100000000000001</c:v>
                </c:pt>
                <c:pt idx="881">
                  <c:v>0.88200000000000001</c:v>
                </c:pt>
                <c:pt idx="882">
                  <c:v>0.88300000000000001</c:v>
                </c:pt>
                <c:pt idx="883">
                  <c:v>0.88400000000000001</c:v>
                </c:pt>
                <c:pt idx="884">
                  <c:v>0.88500000000000001</c:v>
                </c:pt>
                <c:pt idx="885">
                  <c:v>0.88600000000000001</c:v>
                </c:pt>
                <c:pt idx="886">
                  <c:v>0.88700000000000001</c:v>
                </c:pt>
                <c:pt idx="887">
                  <c:v>0.88800000000000001</c:v>
                </c:pt>
                <c:pt idx="888">
                  <c:v>0.88900000000000001</c:v>
                </c:pt>
                <c:pt idx="889">
                  <c:v>0.89</c:v>
                </c:pt>
                <c:pt idx="890">
                  <c:v>0.89100000000000001</c:v>
                </c:pt>
                <c:pt idx="891">
                  <c:v>0.89200000000000002</c:v>
                </c:pt>
                <c:pt idx="892">
                  <c:v>0.89300000000000002</c:v>
                </c:pt>
                <c:pt idx="893">
                  <c:v>0.89400000000000002</c:v>
                </c:pt>
                <c:pt idx="894">
                  <c:v>0.89500000000000002</c:v>
                </c:pt>
                <c:pt idx="895">
                  <c:v>0.89600000000000002</c:v>
                </c:pt>
                <c:pt idx="896">
                  <c:v>0.89700000000000002</c:v>
                </c:pt>
                <c:pt idx="897">
                  <c:v>0.89800000000000002</c:v>
                </c:pt>
                <c:pt idx="898">
                  <c:v>0.89900000000000002</c:v>
                </c:pt>
                <c:pt idx="899">
                  <c:v>0.9</c:v>
                </c:pt>
                <c:pt idx="900">
                  <c:v>0.90100000000000002</c:v>
                </c:pt>
                <c:pt idx="901">
                  <c:v>0.90200000000000002</c:v>
                </c:pt>
                <c:pt idx="902">
                  <c:v>0.90300000000000002</c:v>
                </c:pt>
                <c:pt idx="903">
                  <c:v>0.90400000000000003</c:v>
                </c:pt>
                <c:pt idx="904">
                  <c:v>0.90500000000000003</c:v>
                </c:pt>
                <c:pt idx="905">
                  <c:v>0.90600000000000003</c:v>
                </c:pt>
                <c:pt idx="906">
                  <c:v>0.90700000000000003</c:v>
                </c:pt>
                <c:pt idx="907">
                  <c:v>0.90800000000000003</c:v>
                </c:pt>
                <c:pt idx="908">
                  <c:v>0.90900000000000003</c:v>
                </c:pt>
                <c:pt idx="909">
                  <c:v>0.91</c:v>
                </c:pt>
                <c:pt idx="910">
                  <c:v>0.91100000000000003</c:v>
                </c:pt>
                <c:pt idx="911">
                  <c:v>0.91200000000000003</c:v>
                </c:pt>
                <c:pt idx="912">
                  <c:v>0.91300000000000003</c:v>
                </c:pt>
                <c:pt idx="913">
                  <c:v>0.91400000000000003</c:v>
                </c:pt>
                <c:pt idx="914">
                  <c:v>0.91500000000000004</c:v>
                </c:pt>
                <c:pt idx="915">
                  <c:v>0.91600000000000004</c:v>
                </c:pt>
                <c:pt idx="916">
                  <c:v>0.91700000000000004</c:v>
                </c:pt>
                <c:pt idx="917">
                  <c:v>0.91800000000000004</c:v>
                </c:pt>
                <c:pt idx="918">
                  <c:v>0.91900000000000004</c:v>
                </c:pt>
                <c:pt idx="919">
                  <c:v>0.92</c:v>
                </c:pt>
                <c:pt idx="920">
                  <c:v>0.92100000000000004</c:v>
                </c:pt>
                <c:pt idx="921">
                  <c:v>0.92200000000000004</c:v>
                </c:pt>
                <c:pt idx="922">
                  <c:v>0.92300000000000004</c:v>
                </c:pt>
                <c:pt idx="923">
                  <c:v>0.92400000000000004</c:v>
                </c:pt>
                <c:pt idx="924">
                  <c:v>0.92500000000000004</c:v>
                </c:pt>
                <c:pt idx="925">
                  <c:v>0.92600000000000005</c:v>
                </c:pt>
                <c:pt idx="926">
                  <c:v>0.92700000000000005</c:v>
                </c:pt>
                <c:pt idx="927">
                  <c:v>0.92800000000000005</c:v>
                </c:pt>
                <c:pt idx="928">
                  <c:v>0.92900000000000005</c:v>
                </c:pt>
                <c:pt idx="929">
                  <c:v>0.93</c:v>
                </c:pt>
                <c:pt idx="930">
                  <c:v>0.93100000000000005</c:v>
                </c:pt>
                <c:pt idx="931">
                  <c:v>0.93200000000000005</c:v>
                </c:pt>
                <c:pt idx="932">
                  <c:v>0.93300000000000005</c:v>
                </c:pt>
                <c:pt idx="933">
                  <c:v>0.93400000000000005</c:v>
                </c:pt>
                <c:pt idx="934">
                  <c:v>0.93500000000000005</c:v>
                </c:pt>
                <c:pt idx="935">
                  <c:v>0.93600000000000005</c:v>
                </c:pt>
                <c:pt idx="936">
                  <c:v>0.93700000000000061</c:v>
                </c:pt>
                <c:pt idx="937">
                  <c:v>0.93799999999999994</c:v>
                </c:pt>
                <c:pt idx="938">
                  <c:v>0.93899999999999995</c:v>
                </c:pt>
                <c:pt idx="939">
                  <c:v>0.94000000000000061</c:v>
                </c:pt>
                <c:pt idx="940">
                  <c:v>0.94099999999999995</c:v>
                </c:pt>
                <c:pt idx="941">
                  <c:v>0.94199999999999995</c:v>
                </c:pt>
                <c:pt idx="942">
                  <c:v>0.94299999999999995</c:v>
                </c:pt>
                <c:pt idx="943">
                  <c:v>0.94399999999999995</c:v>
                </c:pt>
                <c:pt idx="944">
                  <c:v>0.94499999999999995</c:v>
                </c:pt>
                <c:pt idx="945">
                  <c:v>0.94599999999999995</c:v>
                </c:pt>
                <c:pt idx="946">
                  <c:v>0.94699999999999995</c:v>
                </c:pt>
                <c:pt idx="947">
                  <c:v>0.94799999999999995</c:v>
                </c:pt>
                <c:pt idx="948">
                  <c:v>0.94899999999999995</c:v>
                </c:pt>
                <c:pt idx="949">
                  <c:v>0.95000000000000062</c:v>
                </c:pt>
                <c:pt idx="950">
                  <c:v>0.95100000000000062</c:v>
                </c:pt>
                <c:pt idx="951">
                  <c:v>0.95200000000000062</c:v>
                </c:pt>
                <c:pt idx="952">
                  <c:v>0.95300000000000062</c:v>
                </c:pt>
                <c:pt idx="953">
                  <c:v>0.95400000000000063</c:v>
                </c:pt>
                <c:pt idx="954">
                  <c:v>0.95500000000000063</c:v>
                </c:pt>
                <c:pt idx="955">
                  <c:v>0.95600000000000063</c:v>
                </c:pt>
                <c:pt idx="956">
                  <c:v>0.95700000000000063</c:v>
                </c:pt>
                <c:pt idx="957">
                  <c:v>0.95800000000000063</c:v>
                </c:pt>
                <c:pt idx="958">
                  <c:v>0.95900000000000063</c:v>
                </c:pt>
                <c:pt idx="959">
                  <c:v>0.96000000000000063</c:v>
                </c:pt>
                <c:pt idx="960">
                  <c:v>0.96100000000000063</c:v>
                </c:pt>
                <c:pt idx="961">
                  <c:v>0.96200000000000063</c:v>
                </c:pt>
                <c:pt idx="962">
                  <c:v>0.96300000000000063</c:v>
                </c:pt>
                <c:pt idx="963">
                  <c:v>0.96400000000000063</c:v>
                </c:pt>
                <c:pt idx="964">
                  <c:v>0.96500000000000064</c:v>
                </c:pt>
                <c:pt idx="965">
                  <c:v>0.96600000000000064</c:v>
                </c:pt>
                <c:pt idx="966">
                  <c:v>0.96700000000000064</c:v>
                </c:pt>
                <c:pt idx="967">
                  <c:v>0.96800000000000064</c:v>
                </c:pt>
                <c:pt idx="968">
                  <c:v>0.96900000000000064</c:v>
                </c:pt>
                <c:pt idx="969">
                  <c:v>0.97000000000000064</c:v>
                </c:pt>
                <c:pt idx="970">
                  <c:v>0.97100000000000064</c:v>
                </c:pt>
                <c:pt idx="971">
                  <c:v>0.97200000000000064</c:v>
                </c:pt>
                <c:pt idx="972">
                  <c:v>0.97300000000000064</c:v>
                </c:pt>
                <c:pt idx="973">
                  <c:v>0.97400000000000064</c:v>
                </c:pt>
                <c:pt idx="974">
                  <c:v>0.97500000000000064</c:v>
                </c:pt>
                <c:pt idx="975">
                  <c:v>0.97600000000000064</c:v>
                </c:pt>
                <c:pt idx="976">
                  <c:v>0.97700000000000065</c:v>
                </c:pt>
                <c:pt idx="977">
                  <c:v>0.97800000000000065</c:v>
                </c:pt>
                <c:pt idx="978">
                  <c:v>0.97900000000000065</c:v>
                </c:pt>
                <c:pt idx="979">
                  <c:v>0.98</c:v>
                </c:pt>
                <c:pt idx="980">
                  <c:v>0.98099999999999998</c:v>
                </c:pt>
                <c:pt idx="981">
                  <c:v>0.98199999999999998</c:v>
                </c:pt>
                <c:pt idx="982">
                  <c:v>0.98299999999999998</c:v>
                </c:pt>
                <c:pt idx="983">
                  <c:v>0.98399999999999999</c:v>
                </c:pt>
                <c:pt idx="984">
                  <c:v>0.98499999999999999</c:v>
                </c:pt>
                <c:pt idx="985">
                  <c:v>0.98599999999999999</c:v>
                </c:pt>
                <c:pt idx="986">
                  <c:v>0.98699999999999999</c:v>
                </c:pt>
                <c:pt idx="987">
                  <c:v>0.98799999999999999</c:v>
                </c:pt>
                <c:pt idx="988">
                  <c:v>0.98899999999999999</c:v>
                </c:pt>
                <c:pt idx="989">
                  <c:v>0.99</c:v>
                </c:pt>
                <c:pt idx="990">
                  <c:v>0.99099999999999999</c:v>
                </c:pt>
                <c:pt idx="991">
                  <c:v>0.99199999999999999</c:v>
                </c:pt>
                <c:pt idx="992">
                  <c:v>0.99299999999999999</c:v>
                </c:pt>
                <c:pt idx="993">
                  <c:v>0.99399999999999999</c:v>
                </c:pt>
                <c:pt idx="994">
                  <c:v>0.995</c:v>
                </c:pt>
                <c:pt idx="995">
                  <c:v>0.996</c:v>
                </c:pt>
                <c:pt idx="996">
                  <c:v>0.997</c:v>
                </c:pt>
                <c:pt idx="997">
                  <c:v>0.998</c:v>
                </c:pt>
                <c:pt idx="998">
                  <c:v>0.999</c:v>
                </c:pt>
                <c:pt idx="999">
                  <c:v>1</c:v>
                </c:pt>
              </c:numCache>
            </c:numRef>
          </c:yVal>
        </c:ser>
        <c:axId val="93796992"/>
        <c:axId val="93827456"/>
      </c:scatterChart>
      <c:valAx>
        <c:axId val="93796992"/>
        <c:scaling>
          <c:orientation val="minMax"/>
          <c:max val="0.21000000000000021"/>
          <c:min val="0.11"/>
        </c:scaling>
        <c:axPos val="b"/>
        <c:majorGridlines>
          <c:spPr>
            <a:ln w="3175">
              <a:solidFill>
                <a:srgbClr val="C0C0C0"/>
              </a:solidFill>
              <a:prstDash val="solid"/>
            </a:ln>
          </c:spPr>
        </c:majorGridlines>
        <c:numFmt formatCode="0%" sourceLinked="0"/>
        <c:majorTickMark val="cross"/>
        <c:tickLblPos val="nextTo"/>
        <c:spPr>
          <a:ln w="12700">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93827456"/>
        <c:crosses val="autoZero"/>
        <c:crossBetween val="midCat"/>
        <c:majorUnit val="2.0000000000000011E-2"/>
      </c:valAx>
      <c:valAx>
        <c:axId val="93827456"/>
        <c:scaling>
          <c:orientation val="minMax"/>
          <c:max val="1"/>
          <c:min val="0"/>
        </c:scaling>
        <c:axPos val="l"/>
        <c:majorGridlines>
          <c:spPr>
            <a:ln w="3175">
              <a:solidFill>
                <a:srgbClr val="C0C0C0"/>
              </a:solidFill>
              <a:prstDash val="solid"/>
            </a:ln>
          </c:spPr>
        </c:majorGridlines>
        <c:minorGridlines>
          <c:spPr>
            <a:ln w="3175">
              <a:solidFill>
                <a:srgbClr val="C0C0C0"/>
              </a:solidFill>
              <a:prstDash val="solid"/>
            </a:ln>
          </c:spPr>
        </c:minorGridlines>
        <c:title>
          <c:tx>
            <c:rich>
              <a:bodyPr/>
              <a:lstStyle/>
              <a:p>
                <a:pPr>
                  <a:defRPr sz="650" b="0" i="0" u="none" strike="noStrike" baseline="0">
                    <a:solidFill>
                      <a:srgbClr val="000000"/>
                    </a:solidFill>
                    <a:latin typeface="Arial"/>
                    <a:ea typeface="Arial"/>
                    <a:cs typeface="Arial"/>
                  </a:defRPr>
                </a:pPr>
                <a:r>
                  <a:rPr lang="en-US"/>
                  <a:t>probability</a:t>
                </a:r>
              </a:p>
            </c:rich>
          </c:tx>
          <c:layout>
            <c:manualLayout>
              <c:xMode val="edge"/>
              <c:yMode val="edge"/>
              <c:x val="3.1700288184438041E-2"/>
              <c:y val="0.27751196172249443"/>
            </c:manualLayout>
          </c:layout>
          <c:spPr>
            <a:noFill/>
            <a:ln w="25400">
              <a:noFill/>
            </a:ln>
          </c:spPr>
        </c:title>
        <c:numFmt formatCode="0%" sourceLinked="1"/>
        <c:majorTickMark val="cross"/>
        <c:minorTickMark val="cross"/>
        <c:tickLblPos val="low"/>
        <c:spPr>
          <a:ln w="12700">
            <a:solidFill>
              <a:srgbClr val="000000"/>
            </a:solidFill>
            <a:prstDash val="solid"/>
          </a:ln>
        </c:spPr>
        <c:txPr>
          <a:bodyPr rot="0" vert="horz"/>
          <a:lstStyle/>
          <a:p>
            <a:pPr>
              <a:defRPr sz="650" b="0" i="0" u="none" strike="noStrike" baseline="0">
                <a:solidFill>
                  <a:srgbClr val="000000"/>
                </a:solidFill>
                <a:latin typeface="Arial"/>
                <a:ea typeface="Arial"/>
                <a:cs typeface="Arial"/>
              </a:defRPr>
            </a:pPr>
            <a:endParaRPr lang="en-US"/>
          </a:p>
        </c:txPr>
        <c:crossAx val="93796992"/>
        <c:crosses val="autoZero"/>
        <c:crossBetween val="midCat"/>
        <c:majorUnit val="0.2"/>
        <c:minorUnit val="0.1"/>
      </c:valAx>
      <c:spPr>
        <a:noFill/>
        <a:ln w="12700">
          <a:solidFill>
            <a:srgbClr val="000000"/>
          </a:solidFill>
          <a:prstDash val="solid"/>
        </a:ln>
      </c:spPr>
    </c:plotArea>
    <c:dispBlanksAs val="gap"/>
  </c:chart>
  <c:spPr>
    <a:noFill/>
    <a:ln w="9525">
      <a:noFill/>
    </a:ln>
  </c:spPr>
  <c:txPr>
    <a:bodyPr/>
    <a:lstStyle/>
    <a:p>
      <a:pPr>
        <a:defRPr sz="275" b="0" i="0" u="none" strike="noStrike" baseline="0">
          <a:solidFill>
            <a:srgbClr val="000000"/>
          </a:solidFill>
          <a:latin typeface="Arial"/>
          <a:ea typeface="Arial"/>
          <a:cs typeface="Arial"/>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TCI-assignment-Report.dot</Template>
  <TotalTime>2</TotalTime>
  <Pages>12</Pages>
  <Words>3451</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To:</vt:lpstr>
    </vt:vector>
  </TitlesOfParts>
  <Company>FAO of The UN</Company>
  <LinksUpToDate>false</LinksUpToDate>
  <CharactersWithSpaces>23082</CharactersWithSpaces>
  <SharedDoc>false</SharedDoc>
  <HLinks>
    <vt:vector size="6" baseType="variant">
      <vt:variant>
        <vt:i4>8192050</vt:i4>
      </vt:variant>
      <vt:variant>
        <vt:i4>0</vt:i4>
      </vt:variant>
      <vt:variant>
        <vt:i4>0</vt:i4>
      </vt:variant>
      <vt:variant>
        <vt:i4>5</vt:i4>
      </vt:variant>
      <vt:variant>
        <vt:lpwstr>http://intranet.worldbank.org/WBSITE/INTRANET/UNITS/INTOPCS/0,,contentMDK:21257851~currentSitePK:380832~menuPK:64706195~pagePK:51455324~piPK:51455326~theSitePK:380832,00.html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subject/>
  <dc:creator>Ponzo</dc:creator>
  <cp:keywords/>
  <dc:description/>
  <cp:lastModifiedBy>Selva</cp:lastModifiedBy>
  <cp:revision>2</cp:revision>
  <cp:lastPrinted>2003-01-08T09:56:00Z</cp:lastPrinted>
  <dcterms:created xsi:type="dcterms:W3CDTF">2012-03-31T17:03:00Z</dcterms:created>
  <dcterms:modified xsi:type="dcterms:W3CDTF">2012-03-31T17:03:00Z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541537673</vt:i4>
  </property>
  <property fmtid="{D5CDD505-2E9C-101B-9397-08002B2CF9AE}" pid="3" name="_EmailSubject">
    <vt:lpwstr>Assignment Summary Report</vt:lpwstr>
  </property>
  <property fmtid="{D5CDD505-2E9C-101B-9397-08002B2CF9AE}" pid="4" name="_AuthorEmail">
    <vt:lpwstr>Kunduz.Masylkanova@fao.org</vt:lpwstr>
  </property>
  <property fmtid="{D5CDD505-2E9C-101B-9397-08002B2CF9AE}" pid="5" name="_AuthorEmailDisplayName">
    <vt:lpwstr>Masylkanova, Kunduz (TCIN)</vt:lpwstr>
  </property>
  <property fmtid="{D5CDD505-2E9C-101B-9397-08002B2CF9AE}" pid="6" name="_PreviousAdHocReviewCycleID">
    <vt:i4>-1308157682</vt:i4>
  </property>
  <property fmtid="{D5CDD505-2E9C-101B-9397-08002B2CF9AE}" pid="7" name="_ReviewingToolsShownOnce">
    <vt:lpwstr/>
  </property>
</Properties>
</file>