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2A" w:rsidRDefault="0011254D" w:rsidP="0011254D">
      <w:pPr>
        <w:pStyle w:val="Title"/>
        <w:jc w:val="center"/>
      </w:pPr>
      <w:r>
        <w:t>Save File Documentation</w:t>
      </w:r>
    </w:p>
    <w:p w:rsidR="0011254D" w:rsidRDefault="0011254D" w:rsidP="0011254D">
      <w:pPr>
        <w:pStyle w:val="Subtitle"/>
        <w:jc w:val="center"/>
      </w:pPr>
      <w:r>
        <w:t>Phaser Configurator</w:t>
      </w:r>
    </w:p>
    <w:p w:rsidR="0011254D" w:rsidRDefault="0011254D" w:rsidP="0011254D">
      <w:pPr>
        <w:ind w:firstLine="720"/>
        <w:jc w:val="both"/>
      </w:pPr>
      <w:r>
        <w:t>The Phaser Configurator Save Files store information about a single bar designed in the Configurator (as well as some supporting documentation).  It consists of three Compound Tags and three List Tags inside of the Root Compound Tag:</w:t>
      </w:r>
    </w:p>
    <w:p w:rsidR="0011254D" w:rsidRDefault="0011254D" w:rsidP="0011254D">
      <w:pPr>
        <w:pBdr>
          <w:bottom w:val="single" w:sz="6" w:space="1" w:color="auto"/>
        </w:pBdr>
        <w:ind w:firstLine="720"/>
        <w:jc w:val="both"/>
      </w:pPr>
      <w:r>
        <w:t xml:space="preserve">The </w:t>
      </w:r>
      <w:r w:rsidRPr="0011254D">
        <w:rPr>
          <w:rStyle w:val="TagName"/>
        </w:rPr>
        <w:t>ordr</w:t>
      </w:r>
      <w:r>
        <w:t xml:space="preserve"> Compound Tag contains metadata on the order itself – the name of the customer (as the String Tag </w:t>
      </w:r>
      <w:r w:rsidRPr="0011254D">
        <w:rPr>
          <w:rStyle w:val="TagName"/>
        </w:rPr>
        <w:t>name</w:t>
      </w:r>
      <w:r>
        <w:t xml:space="preserve">), the order number (as the String Tag </w:t>
      </w:r>
      <w:r w:rsidRPr="0011254D">
        <w:rPr>
          <w:rStyle w:val="TagName"/>
        </w:rPr>
        <w:t>num</w:t>
      </w:r>
      <w:r>
        <w:t xml:space="preserve">), and any notes on the order itself (as the String Tag </w:t>
      </w:r>
      <w:r w:rsidRPr="0011254D">
        <w:rPr>
          <w:rStyle w:val="TagName"/>
        </w:rPr>
        <w:t>note</w:t>
      </w:r>
      <w:r>
        <w:t>).</w:t>
      </w:r>
    </w:p>
    <w:p w:rsidR="0011254D" w:rsidRDefault="0011254D" w:rsidP="0011254D">
      <w:pPr>
        <w:ind w:firstLine="720"/>
        <w:jc w:val="both"/>
      </w:pPr>
      <w:bookmarkStart w:id="0" w:name="_GoBack"/>
      <w:bookmarkEnd w:id="0"/>
      <w:r>
        <w:t xml:space="preserve">The </w:t>
      </w:r>
      <w:r w:rsidRPr="0011254D">
        <w:rPr>
          <w:rStyle w:val="TagName"/>
        </w:rPr>
        <w:t>opts</w:t>
      </w:r>
      <w:r>
        <w:t xml:space="preserve"> Compound Tag contains information regarding selections for each accessory: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r w:rsidRPr="00667187">
        <w:rPr>
          <w:rStyle w:val="TagName"/>
        </w:rPr>
        <w:t>size</w:t>
      </w:r>
      <w:r>
        <w:t xml:space="preserve"> – The size of the bar, in number of center sections.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r w:rsidRPr="00667187">
        <w:rPr>
          <w:rStyle w:val="TagName"/>
        </w:rPr>
        <w:t>tdop</w:t>
      </w:r>
      <w:r>
        <w:t xml:space="preserve"> </w:t>
      </w:r>
      <w:r w:rsidR="00667187">
        <w:t>–</w:t>
      </w:r>
      <w:r>
        <w:t xml:space="preserve"> </w:t>
      </w:r>
      <w:r w:rsidR="00667187">
        <w:t>The traffic director option that the bar is using.  The values correspond to the values of the TDOption enumeration in the LightDict file:</w:t>
      </w:r>
    </w:p>
    <w:p w:rsidR="00667187" w:rsidRDefault="00667187" w:rsidP="00667187">
      <w:pPr>
        <w:tabs>
          <w:tab w:val="left" w:pos="180"/>
        </w:tabs>
        <w:jc w:val="center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NONE = 0, LG_SEVEN = 1, SM_EIGHT = 2, SM_SIX = 3, LG_EIGHT = 4, LG_SIX = 5</w:t>
      </w:r>
      <w:r>
        <w:rPr>
          <w:rStyle w:val="FootnoteReference"/>
          <w:rFonts w:ascii="Consolas" w:hAnsi="Consolas" w:cs="Consolas"/>
          <w:color w:val="000000"/>
          <w:sz w:val="19"/>
          <w:szCs w:val="19"/>
          <w:highlight w:val="white"/>
        </w:rPr>
        <w:footnoteReference w:customMarkFollows="1" w:id="1"/>
        <w:t>?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r w:rsidRPr="00667187">
        <w:rPr>
          <w:rStyle w:val="TagName"/>
        </w:rPr>
        <w:t>can</w:t>
      </w:r>
      <w:r>
        <w:t xml:space="preserve"> – 0 if the bar does not use the CAN Module, 1 if it does.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r w:rsidRPr="00667187">
        <w:rPr>
          <w:rStyle w:val="TagName"/>
        </w:rPr>
        <w:t>cabt</w:t>
      </w:r>
      <w:r>
        <w:t xml:space="preserve"> – Applies only if they do not use the CAN Module.  0 if the bar uses the single-cable option, 1 if it uses the dual-cable option.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r w:rsidRPr="00667187">
        <w:rPr>
          <w:rStyle w:val="TagName"/>
        </w:rPr>
        <w:t>cabl</w:t>
      </w:r>
      <w:r>
        <w:t xml:space="preserve"> – </w:t>
      </w:r>
      <w:r w:rsidR="00667187">
        <w:t>The index of the cable length array this bar uses.</w:t>
      </w:r>
    </w:p>
    <w:p w:rsidR="00667187" w:rsidRDefault="00667187" w:rsidP="0011254D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180"/>
        </w:tabs>
        <w:ind w:left="360"/>
        <w:jc w:val="both"/>
      </w:pPr>
      <w:r>
        <w:t xml:space="preserve">Byte </w:t>
      </w:r>
      <w:r w:rsidRPr="00667187">
        <w:rPr>
          <w:rStyle w:val="TagName"/>
        </w:rPr>
        <w:t>mkit</w:t>
      </w:r>
      <w:r>
        <w:t xml:space="preserve"> – The mounting kit this bar uses.  0 means no kit, other values minus one is the index from the mounting kit array.</w:t>
      </w:r>
    </w:p>
    <w:p w:rsidR="00257A96" w:rsidRDefault="00257A96" w:rsidP="00257A96">
      <w:pPr>
        <w:tabs>
          <w:tab w:val="left" w:pos="180"/>
        </w:tabs>
        <w:ind w:firstLine="720"/>
        <w:jc w:val="both"/>
      </w:pPr>
      <w:r>
        <w:t xml:space="preserve">The </w:t>
      </w:r>
      <w:r w:rsidRPr="0035622C">
        <w:rPr>
          <w:rStyle w:val="TagName"/>
        </w:rPr>
        <w:t>lite</w:t>
      </w:r>
      <w:r>
        <w:t xml:space="preserve"> List Tag is of type Compound, and contains information about every light the bar uses, including optics and styles.  Every element follows this </w:t>
      </w:r>
      <w:r w:rsidR="0035622C">
        <w:t>format:</w:t>
      </w:r>
    </w:p>
    <w:p w:rsidR="0035622C" w:rsidRDefault="0035622C" w:rsidP="0035622C">
      <w:pPr>
        <w:pStyle w:val="ListParagraph"/>
        <w:numPr>
          <w:ilvl w:val="0"/>
          <w:numId w:val="2"/>
        </w:numPr>
        <w:tabs>
          <w:tab w:val="left" w:pos="180"/>
        </w:tabs>
        <w:ind w:left="360"/>
        <w:jc w:val="both"/>
      </w:pPr>
      <w:r>
        <w:t xml:space="preserve">String </w:t>
      </w:r>
      <w:r w:rsidRPr="0035622C">
        <w:rPr>
          <w:rStyle w:val="TagName"/>
        </w:rPr>
        <w:t>path</w:t>
      </w:r>
      <w:r>
        <w:t xml:space="preserve"> – The Unity path used to reach the LightHead’s GameObject.  Used as an identifier.</w:t>
      </w:r>
    </w:p>
    <w:p w:rsidR="0035622C" w:rsidRDefault="0035622C" w:rsidP="0035622C">
      <w:pPr>
        <w:pStyle w:val="ListParagraph"/>
        <w:numPr>
          <w:ilvl w:val="0"/>
          <w:numId w:val="2"/>
        </w:numPr>
        <w:tabs>
          <w:tab w:val="left" w:pos="180"/>
        </w:tabs>
        <w:ind w:left="360"/>
        <w:jc w:val="both"/>
      </w:pPr>
      <w:r>
        <w:t xml:space="preserve">String </w:t>
      </w:r>
      <w:r w:rsidRPr="0035622C">
        <w:rPr>
          <w:rStyle w:val="TagName"/>
        </w:rPr>
        <w:t>optc</w:t>
      </w:r>
      <w:r>
        <w:t xml:space="preserve"> – If the head is not fully defined, this Tag does not exist.  Otherwise, this Tag contains the part prefix of the optic the head uses.</w:t>
      </w:r>
    </w:p>
    <w:p w:rsidR="0035622C" w:rsidRDefault="0035622C" w:rsidP="0035622C">
      <w:pPr>
        <w:pStyle w:val="ListParagraph"/>
        <w:numPr>
          <w:ilvl w:val="0"/>
          <w:numId w:val="2"/>
        </w:numPr>
        <w:tabs>
          <w:tab w:val="left" w:pos="180"/>
        </w:tabs>
        <w:ind w:left="360"/>
        <w:jc w:val="both"/>
      </w:pPr>
      <w:r>
        <w:t xml:space="preserve">String </w:t>
      </w:r>
      <w:r w:rsidRPr="0035622C">
        <w:rPr>
          <w:rStyle w:val="TagName"/>
        </w:rPr>
        <w:t>styl</w:t>
      </w:r>
      <w:r>
        <w:t xml:space="preserve"> – If the head is not fully defined, this Tag does not exist.  Otherwise, this Tag contains the style name of the optic the head uses.</w:t>
      </w:r>
    </w:p>
    <w:p w:rsidR="0035622C" w:rsidRDefault="0035622C" w:rsidP="0035622C">
      <w:pPr>
        <w:pStyle w:val="ListParagraph"/>
        <w:numPr>
          <w:ilvl w:val="0"/>
          <w:numId w:val="2"/>
        </w:numPr>
        <w:tabs>
          <w:tab w:val="left" w:pos="180"/>
        </w:tabs>
        <w:ind w:left="360"/>
        <w:jc w:val="both"/>
      </w:pPr>
      <w:r>
        <w:t xml:space="preserve">Byte </w:t>
      </w:r>
      <w:r w:rsidRPr="0035622C">
        <w:rPr>
          <w:rStyle w:val="TagName"/>
        </w:rPr>
        <w:t>func</w:t>
      </w:r>
      <w:r>
        <w:t xml:space="preserve"> – This is a bit field of every Basic Function this head uses.  The corresponding bits are these:</w:t>
      </w:r>
    </w:p>
    <w:tbl>
      <w:tblPr>
        <w:tblStyle w:val="TableGrid"/>
        <w:tblpPr w:leftFromText="187" w:rightFromText="187" w:topFromText="144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5622C" w:rsidTr="0035622C">
        <w:tc>
          <w:tcPr>
            <w:tcW w:w="467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5622C" w:rsidRDefault="0035622C" w:rsidP="0035622C">
            <w:pPr>
              <w:tabs>
                <w:tab w:val="left" w:pos="180"/>
              </w:tabs>
              <w:jc w:val="both"/>
            </w:pPr>
            <w:r>
              <w:t>Least Significant Bit</w:t>
            </w:r>
          </w:p>
        </w:tc>
        <w:tc>
          <w:tcPr>
            <w:tcW w:w="467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5622C" w:rsidRDefault="0035622C" w:rsidP="0035622C">
            <w:pPr>
              <w:tabs>
                <w:tab w:val="left" w:pos="180"/>
              </w:tabs>
              <w:jc w:val="right"/>
            </w:pPr>
            <w:r>
              <w:t>Most Significant Bit</w:t>
            </w:r>
          </w:p>
        </w:tc>
      </w:tr>
      <w:tr w:rsidR="0035622C" w:rsidTr="0035622C">
        <w:tc>
          <w:tcPr>
            <w:tcW w:w="1168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6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7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8</w:t>
            </w:r>
          </w:p>
        </w:tc>
      </w:tr>
      <w:tr w:rsidR="0035622C" w:rsidTr="0035622C">
        <w:tc>
          <w:tcPr>
            <w:tcW w:w="1168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Flashing</w:t>
            </w:r>
          </w:p>
        </w:tc>
        <w:tc>
          <w:tcPr>
            <w:tcW w:w="1168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Steady Burn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Emitter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Cali T13 Steady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Cruise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Stop Tail Turn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Traffic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Block Off</w:t>
            </w:r>
          </w:p>
        </w:tc>
      </w:tr>
    </w:tbl>
    <w:p w:rsidR="00ED1988" w:rsidRDefault="00ED1988" w:rsidP="00ED1988">
      <w:pPr>
        <w:tabs>
          <w:tab w:val="left" w:pos="180"/>
        </w:tabs>
        <w:jc w:val="both"/>
      </w:pPr>
    </w:p>
    <w:p w:rsidR="0035622C" w:rsidRDefault="0035622C" w:rsidP="0035622C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ind w:firstLine="720"/>
        <w:jc w:val="both"/>
      </w:pPr>
      <w:r>
        <w:lastRenderedPageBreak/>
        <w:t xml:space="preserve">The </w:t>
      </w:r>
      <w:r w:rsidRPr="000E6FED">
        <w:rPr>
          <w:rStyle w:val="TagName"/>
        </w:rPr>
        <w:t>soc</w:t>
      </w:r>
      <w:r>
        <w:t xml:space="preserve"> List Tag is of type Compound, and contains information about the size of the lights, by manipulating the SizeOptionControl Components on the Bar.  Each element only contains two Tags: a String Tag called </w:t>
      </w:r>
      <w:r w:rsidRPr="000E6FED">
        <w:rPr>
          <w:rStyle w:val="TagName"/>
        </w:rPr>
        <w:t>path</w:t>
      </w:r>
      <w:r>
        <w:t xml:space="preserve"> that contains the Unity path used to reach the SizeOptionControl’s GameObject (used as an identifier like the </w:t>
      </w:r>
      <w:r w:rsidRPr="000E6FED">
        <w:rPr>
          <w:rStyle w:val="TagName"/>
        </w:rPr>
        <w:t>lite</w:t>
      </w:r>
      <w:r>
        <w:t xml:space="preserve"> Tag’s elements), and a Byte Tag called </w:t>
      </w:r>
      <w:r w:rsidRPr="000E6FED">
        <w:rPr>
          <w:rStyle w:val="TagName"/>
        </w:rPr>
        <w:t>isLg</w:t>
      </w:r>
      <w:r>
        <w:t xml:space="preserve"> </w:t>
      </w:r>
      <w:r w:rsidR="000E6FED">
        <w:t>that contains a 0 if that specific Component should show small heads, or a 1 if that Component should show large heads.</w:t>
      </w:r>
    </w:p>
    <w:p w:rsidR="000E6FED" w:rsidRDefault="000E6FED" w:rsidP="0035622C">
      <w:pPr>
        <w:pBdr>
          <w:bottom w:val="single" w:sz="6" w:space="1" w:color="auto"/>
          <w:between w:val="single" w:sz="6" w:space="1" w:color="auto"/>
        </w:pBdr>
        <w:tabs>
          <w:tab w:val="left" w:pos="180"/>
        </w:tabs>
        <w:ind w:firstLine="720"/>
        <w:jc w:val="both"/>
      </w:pPr>
      <w:r>
        <w:t xml:space="preserve">The </w:t>
      </w:r>
      <w:r w:rsidRPr="000F219E">
        <w:rPr>
          <w:rStyle w:val="TagName"/>
        </w:rPr>
        <w:t>lens</w:t>
      </w:r>
      <w:r>
        <w:t xml:space="preserve"> List Tag is of type Compound, and contains information about the lenses or domes on the bar.  Each element only contains two Tags: a String Tag called </w:t>
      </w:r>
      <w:r w:rsidRPr="000F219E">
        <w:rPr>
          <w:rStyle w:val="TagName"/>
        </w:rPr>
        <w:t>path</w:t>
      </w:r>
      <w:r>
        <w:t xml:space="preserve"> that contains the Unity path used to </w:t>
      </w:r>
      <w:r w:rsidR="000F219E">
        <w:t xml:space="preserve">reach the BarSegment GameObject (as that’s the Component that manages the lenses), and a String Tag called </w:t>
      </w:r>
      <w:r w:rsidR="000F219E" w:rsidRPr="000F219E">
        <w:rPr>
          <w:rStyle w:val="TagName"/>
        </w:rPr>
        <w:t>part</w:t>
      </w:r>
      <w:r w:rsidR="000F219E">
        <w:t xml:space="preserve"> that holds the part suffix of the lens.</w:t>
      </w:r>
    </w:p>
    <w:p w:rsidR="00ED1988" w:rsidRDefault="00796984" w:rsidP="0035622C">
      <w:pPr>
        <w:tabs>
          <w:tab w:val="left" w:pos="180"/>
        </w:tabs>
        <w:ind w:firstLine="720"/>
        <w:jc w:val="both"/>
      </w:pPr>
      <w:r>
        <w:t xml:space="preserve">The </w:t>
      </w:r>
      <w:r w:rsidRPr="00ED1988">
        <w:rPr>
          <w:rStyle w:val="TagName"/>
        </w:rPr>
        <w:t>pats</w:t>
      </w:r>
      <w:r>
        <w:t xml:space="preserve"> Compound Tag contains information about the patterns all of the light heads use for each of the individual functions.  It contains 19 Compound Tags, an IntArray Tag, and typically a Byte Tag.  </w:t>
      </w:r>
    </w:p>
    <w:p w:rsidR="00796984" w:rsidRDefault="00796984" w:rsidP="00ED1988">
      <w:pPr>
        <w:tabs>
          <w:tab w:val="left" w:pos="180"/>
        </w:tabs>
        <w:ind w:firstLine="720"/>
        <w:jc w:val="both"/>
      </w:pPr>
      <w:r>
        <w:t xml:space="preserve">The IntArray Tag is called </w:t>
      </w:r>
      <w:r w:rsidRPr="00ED1988">
        <w:rPr>
          <w:rStyle w:val="TagName"/>
        </w:rPr>
        <w:t>map</w:t>
      </w:r>
      <w:r>
        <w:t>, and contains the input mapping for the bar – every</w:t>
      </w:r>
      <w:r w:rsidR="00200501">
        <w:t xml:space="preserve"> element</w:t>
      </w:r>
      <w:r>
        <w:t xml:space="preserve"> in the Tag corresponds to an individual input</w:t>
      </w:r>
      <w:r w:rsidR="00200501">
        <w:t xml:space="preserve"> (in the same order as the bar’s bytes)</w:t>
      </w:r>
      <w:r>
        <w:t>, and the value</w:t>
      </w:r>
      <w:r w:rsidR="00200501">
        <w:t xml:space="preserve"> of the element corresponds to what function</w:t>
      </w:r>
      <w:r>
        <w:t xml:space="preserve"> </w:t>
      </w:r>
      <w:r w:rsidR="00200501">
        <w:t xml:space="preserve">is </w:t>
      </w:r>
      <w:r>
        <w:t>assigned to that input</w:t>
      </w:r>
      <w:r w:rsidR="00200501">
        <w:t xml:space="preserve"> (as a bit field)</w:t>
      </w:r>
      <w:r>
        <w:t>.</w:t>
      </w:r>
      <w:r w:rsidR="00200501">
        <w:t xml:space="preserve">  </w:t>
      </w:r>
      <w:r w:rsidR="00ED1988">
        <w:t>The p</w:t>
      </w:r>
      <w:r w:rsidR="00200501">
        <w:t>ossible values are:</w:t>
      </w:r>
    </w:p>
    <w:tbl>
      <w:tblPr>
        <w:tblStyle w:val="TableGrid"/>
        <w:tblpPr w:leftFromText="187" w:rightFromText="187" w:bottomFromText="144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0501" w:rsidTr="00ED1988">
        <w:tc>
          <w:tcPr>
            <w:tcW w:w="1870" w:type="dxa"/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0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1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Takedown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2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Priority 1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4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Priority 2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8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Priority 3</w:t>
            </w:r>
          </w:p>
        </w:tc>
      </w:tr>
      <w:tr w:rsidR="00200501" w:rsidTr="00ED1988"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16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Direct Left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32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Direct Right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64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Left Alley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128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Right Alley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256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ICL</w:t>
            </w:r>
          </w:p>
        </w:tc>
      </w:tr>
      <w:tr w:rsidR="00200501" w:rsidTr="00ED1988"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512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Dimmer</w:t>
            </w:r>
          </w:p>
        </w:tc>
        <w:tc>
          <w:tcPr>
            <w:tcW w:w="1870" w:type="dxa"/>
          </w:tcPr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1024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Flashing Pursuit</w:t>
            </w:r>
          </w:p>
        </w:tc>
        <w:tc>
          <w:tcPr>
            <w:tcW w:w="1870" w:type="dxa"/>
          </w:tcPr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2048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Flashing Alley</w:t>
            </w:r>
          </w:p>
        </w:tc>
        <w:tc>
          <w:tcPr>
            <w:tcW w:w="1870" w:type="dxa"/>
          </w:tcPr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30</w:t>
            </w:r>
            <w:r w:rsidR="00ED1988">
              <w:t>72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Both Flash funcs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4096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Pattern</w:t>
            </w:r>
          </w:p>
        </w:tc>
      </w:tr>
      <w:tr w:rsidR="00200501" w:rsidTr="00ED1988"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8192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Cruise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16384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Turn Left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32768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Turn Right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65536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Brake Lights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 w:rsidRPr="00ED1988">
              <w:t>131072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Cali T13 Steady</w:t>
            </w:r>
          </w:p>
        </w:tc>
      </w:tr>
      <w:tr w:rsidR="00ED1988" w:rsidTr="00ED1988">
        <w:tc>
          <w:tcPr>
            <w:tcW w:w="1870" w:type="dxa"/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  <w:r w:rsidRPr="00ED1988">
              <w:t>262144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Priority 4</w:t>
            </w:r>
          </w:p>
        </w:tc>
        <w:tc>
          <w:tcPr>
            <w:tcW w:w="1870" w:type="dxa"/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  <w:r w:rsidRPr="00ED1988">
              <w:t>524288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Priority 5</w:t>
            </w:r>
          </w:p>
        </w:tc>
        <w:tc>
          <w:tcPr>
            <w:tcW w:w="1870" w:type="dxa"/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  <w:r w:rsidRPr="00ED1988">
              <w:t>1048576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Emitter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D1988" w:rsidRPr="00ED1988" w:rsidRDefault="00ED1988" w:rsidP="00ED1988">
            <w:pPr>
              <w:tabs>
                <w:tab w:val="left" w:pos="180"/>
              </w:tabs>
              <w:jc w:val="center"/>
            </w:pPr>
          </w:p>
        </w:tc>
      </w:tr>
    </w:tbl>
    <w:p w:rsidR="00200501" w:rsidRDefault="00ED1988" w:rsidP="00ED1988">
      <w:pPr>
        <w:tabs>
          <w:tab w:val="left" w:pos="180"/>
        </w:tabs>
        <w:ind w:firstLine="720"/>
        <w:jc w:val="both"/>
      </w:pPr>
      <w:r>
        <w:t xml:space="preserve">The Byte Tag that could potentially be in the </w:t>
      </w:r>
      <w:r w:rsidRPr="00ED1988">
        <w:rPr>
          <w:rStyle w:val="TagName"/>
        </w:rPr>
        <w:t>pats</w:t>
      </w:r>
      <w:r>
        <w:t xml:space="preserve"> Tag is called </w:t>
      </w:r>
      <w:r w:rsidRPr="00ED1988">
        <w:rPr>
          <w:rStyle w:val="TagName"/>
        </w:rPr>
        <w:t>prog</w:t>
      </w:r>
      <w:r>
        <w:t xml:space="preserve">, and contains the default program that the </w:t>
      </w:r>
      <w:r w:rsidRPr="00AC41C8">
        <w:rPr>
          <w:rStyle w:val="TagName"/>
        </w:rPr>
        <w:t>pats</w:t>
      </w:r>
      <w:r>
        <w:t xml:space="preserve"> Tag represents.  While this tag is not necessary for programming, it is used when exporting to the PDF, indicating that a default program can be used rather than needing to </w:t>
      </w:r>
      <w:r w:rsidR="00AC41C8">
        <w:t>install it from this file.</w:t>
      </w:r>
    </w:p>
    <w:p w:rsidR="00AC41C8" w:rsidRDefault="00AC41C8" w:rsidP="00ED1988">
      <w:pPr>
        <w:tabs>
          <w:tab w:val="left" w:pos="180"/>
        </w:tabs>
        <w:ind w:firstLine="720"/>
        <w:jc w:val="both"/>
      </w:pPr>
      <w:r>
        <w:t>Finally, the 19 Compound Tags each contain details for the definition of the individual functions.  The names of the Compound Tags themselves indicate what function they define:</w:t>
      </w:r>
    </w:p>
    <w:tbl>
      <w:tblPr>
        <w:tblStyle w:val="TableGrid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td</w:t>
            </w:r>
            <w:r>
              <w:t xml:space="preserve"> – Takedown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lall</w:t>
            </w:r>
            <w:r>
              <w:t xml:space="preserve"> – Left Alley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rall</w:t>
            </w:r>
            <w:r>
              <w:t xml:space="preserve"> – Right Alley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ltai</w:t>
            </w:r>
            <w:r>
              <w:t xml:space="preserve"> – Turn Left</w:t>
            </w:r>
          </w:p>
        </w:tc>
      </w:tr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rtai</w:t>
            </w:r>
            <w:r>
              <w:t xml:space="preserve"> – Turn Right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cru</w:t>
            </w:r>
            <w:r>
              <w:t xml:space="preserve"> – Cruise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cal</w:t>
            </w:r>
            <w:r>
              <w:t xml:space="preserve"> – Cali T13 Steady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emi</w:t>
            </w:r>
            <w:r>
              <w:t xml:space="preserve"> – Emitter</w:t>
            </w:r>
          </w:p>
        </w:tc>
      </w:tr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l1</w:t>
            </w:r>
            <w:r>
              <w:t xml:space="preserve"> – Prio 1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l2</w:t>
            </w:r>
            <w:r>
              <w:t xml:space="preserve"> – Prio 2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l3</w:t>
            </w:r>
            <w:r>
              <w:t xml:space="preserve"> – Prio 3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l4</w:t>
            </w:r>
            <w:r>
              <w:t xml:space="preserve"> – Prio 4</w:t>
            </w:r>
          </w:p>
        </w:tc>
      </w:tr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l5</w:t>
            </w:r>
            <w:r>
              <w:t xml:space="preserve"> – Prio 5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tdp</w:t>
            </w:r>
            <w:r>
              <w:t xml:space="preserve"> – Flashing Pursuit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icl</w:t>
            </w:r>
            <w:r>
              <w:t xml:space="preserve"> – ICL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afl</w:t>
            </w:r>
            <w:r>
              <w:t xml:space="preserve"> – Flashing Alley</w:t>
            </w:r>
          </w:p>
        </w:tc>
      </w:tr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dcw</w:t>
            </w:r>
            <w:r>
              <w:t xml:space="preserve"> – DC Warn </w:t>
            </w:r>
            <w:r w:rsidRPr="00AC41C8">
              <w:rPr>
                <w:sz w:val="18"/>
              </w:rPr>
              <w:t>(unused)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dim</w:t>
            </w:r>
            <w:r>
              <w:t xml:space="preserve"> – Dimmer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traf</w:t>
            </w:r>
            <w:r>
              <w:t xml:space="preserve"> – Traffic Director</w:t>
            </w:r>
          </w:p>
        </w:tc>
        <w:tc>
          <w:tcPr>
            <w:tcW w:w="23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</w:p>
        </w:tc>
      </w:tr>
    </w:tbl>
    <w:p w:rsidR="00AC41C8" w:rsidRDefault="00E962CB" w:rsidP="00ED1988">
      <w:pPr>
        <w:tabs>
          <w:tab w:val="left" w:pos="180"/>
        </w:tabs>
        <w:ind w:firstLine="720"/>
        <w:jc w:val="both"/>
      </w:pPr>
      <w:r>
        <w:t>Each of these Compound Tags contain at least three of the following Tags:</w:t>
      </w:r>
    </w:p>
    <w:p w:rsidR="00E962CB" w:rsidRP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  <w:rPr>
          <w:b/>
          <w:i/>
        </w:rPr>
      </w:pPr>
      <w:r>
        <w:t xml:space="preserve">Short </w:t>
      </w:r>
      <w:r w:rsidRPr="00E962CB">
        <w:rPr>
          <w:rStyle w:val="TagName"/>
        </w:rPr>
        <w:t>ef1</w:t>
      </w:r>
      <w:r>
        <w:t xml:space="preserve"> – Bit Field for the front, color 1 enables.  </w:t>
      </w:r>
      <w:r w:rsidRPr="00E962CB">
        <w:rPr>
          <w:b/>
          <w:i/>
        </w:rPr>
        <w:t xml:space="preserve">Not used by </w:t>
      </w:r>
      <w:r w:rsidRPr="00E962CB">
        <w:rPr>
          <w:rStyle w:val="TagName"/>
          <w:b/>
          <w:i/>
        </w:rPr>
        <w:t>traf</w:t>
      </w:r>
      <w:r w:rsidRPr="00E962CB">
        <w:rPr>
          <w:b/>
          <w:i/>
        </w:rPr>
        <w:t>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ef2</w:t>
      </w:r>
      <w:r>
        <w:t xml:space="preserve"> – Bit Field for the front, color 2 enables.  </w:t>
      </w:r>
      <w:r w:rsidRPr="00E962CB">
        <w:rPr>
          <w:b/>
          <w:i/>
        </w:rPr>
        <w:t xml:space="preserve">Not used by </w:t>
      </w:r>
      <w:r w:rsidRPr="00E962CB">
        <w:rPr>
          <w:rStyle w:val="TagName"/>
          <w:b/>
          <w:i/>
        </w:rPr>
        <w:t>traf</w:t>
      </w:r>
      <w:r w:rsidRPr="00E962CB">
        <w:rPr>
          <w:b/>
          <w:i/>
        </w:rPr>
        <w:t>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er1</w:t>
      </w:r>
      <w:r>
        <w:t xml:space="preserve"> – Bit Field for the rear, color 1 enables.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lastRenderedPageBreak/>
        <w:t xml:space="preserve">Short </w:t>
      </w:r>
      <w:r w:rsidRPr="00E962CB">
        <w:rPr>
          <w:rStyle w:val="TagName"/>
        </w:rPr>
        <w:t>er2</w:t>
      </w:r>
      <w:r>
        <w:t xml:space="preserve"> – Bit Field for the rear, color 2 enables.</w:t>
      </w:r>
    </w:p>
    <w:p w:rsidR="00E962CB" w:rsidRP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  <w:rPr>
          <w:b/>
          <w:i/>
        </w:rPr>
      </w:pPr>
      <w:r>
        <w:t xml:space="preserve">Short </w:t>
      </w:r>
      <w:r w:rsidRPr="00E962CB">
        <w:rPr>
          <w:rStyle w:val="TagName"/>
        </w:rPr>
        <w:t>pf1</w:t>
      </w:r>
      <w:r>
        <w:t xml:space="preserve"> – Bit Field for the front, color 1 phases</w:t>
      </w:r>
      <w:bookmarkStart w:id="1" w:name="OLE_LINK1"/>
      <w:bookmarkStart w:id="2" w:name="OLE_LINK2"/>
      <w:bookmarkStart w:id="3" w:name="OLE_LINK3"/>
      <w:bookmarkStart w:id="4" w:name="OLE_LINK4"/>
      <w:r>
        <w:t xml:space="preserve">.  </w:t>
      </w:r>
      <w:r w:rsidRPr="00E962CB">
        <w:rPr>
          <w:b/>
          <w:i/>
        </w:rPr>
        <w:t>Only used by flashing functions.</w:t>
      </w:r>
      <w:bookmarkEnd w:id="1"/>
      <w:bookmarkEnd w:id="2"/>
      <w:bookmarkEnd w:id="3"/>
      <w:bookmarkEnd w:id="4"/>
    </w:p>
    <w:p w:rsidR="00E962CB" w:rsidRP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  <w:rPr>
          <w:b/>
          <w:i/>
        </w:rPr>
      </w:pPr>
      <w:r>
        <w:t xml:space="preserve">Short </w:t>
      </w:r>
      <w:r w:rsidRPr="00E962CB">
        <w:rPr>
          <w:rStyle w:val="TagName"/>
        </w:rPr>
        <w:t>pf2</w:t>
      </w:r>
      <w:r>
        <w:t xml:space="preserve"> – Bit Field for the front, color 2 phases.  </w:t>
      </w:r>
      <w:r w:rsidRPr="00E962CB">
        <w:rPr>
          <w:b/>
          <w:i/>
        </w:rPr>
        <w:t>Only used by flashing functions.</w:t>
      </w:r>
    </w:p>
    <w:p w:rsidR="00E962CB" w:rsidRPr="00E962CB" w:rsidRDefault="00E962CB" w:rsidP="00A53D9A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  <w:rPr>
          <w:b/>
          <w:i/>
        </w:rPr>
      </w:pPr>
      <w:r>
        <w:t xml:space="preserve">Short </w:t>
      </w:r>
      <w:r w:rsidRPr="00E962CB">
        <w:rPr>
          <w:rStyle w:val="TagName"/>
        </w:rPr>
        <w:t>pr1</w:t>
      </w:r>
      <w:r>
        <w:t xml:space="preserve"> – Bit Field for the rear, color 1 phases.  </w:t>
      </w:r>
      <w:r w:rsidRPr="00E962CB">
        <w:rPr>
          <w:b/>
          <w:i/>
        </w:rPr>
        <w:t>Only used by flashing functions.</w:t>
      </w:r>
    </w:p>
    <w:p w:rsidR="00E962CB" w:rsidRDefault="00E962CB" w:rsidP="00A53D9A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pr2</w:t>
      </w:r>
      <w:r>
        <w:t xml:space="preserve"> – Bit Field for the rear, color 2 phases.  </w:t>
      </w:r>
      <w:r w:rsidRPr="00E962CB">
        <w:rPr>
          <w:b/>
          <w:i/>
        </w:rPr>
        <w:t>Only used by flashing functions.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dimp</w:t>
      </w:r>
      <w:r>
        <w:t xml:space="preserve"> – The percentage to dim the lights by.  Unused. </w:t>
      </w:r>
      <w:r w:rsidRPr="00E962CB">
        <w:t xml:space="preserve"> </w:t>
      </w:r>
      <w:r w:rsidRPr="00E962CB">
        <w:rPr>
          <w:b/>
          <w:i/>
        </w:rPr>
        <w:t xml:space="preserve">For the </w:t>
      </w:r>
      <w:r w:rsidRPr="00E962CB">
        <w:rPr>
          <w:rStyle w:val="TagName"/>
          <w:b/>
          <w:i/>
        </w:rPr>
        <w:t>dim</w:t>
      </w:r>
      <w:r w:rsidRPr="00E962CB">
        <w:rPr>
          <w:b/>
          <w:i/>
        </w:rPr>
        <w:t xml:space="preserve"> Compound Tag only.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patt</w:t>
      </w:r>
      <w:r>
        <w:t xml:space="preserve"> – The Traffic Director pattern to use.  </w:t>
      </w:r>
      <w:r w:rsidRPr="00E962CB">
        <w:rPr>
          <w:b/>
          <w:i/>
        </w:rPr>
        <w:t xml:space="preserve">For the </w:t>
      </w:r>
      <w:r w:rsidRPr="00E962CB">
        <w:rPr>
          <w:rStyle w:val="TagName"/>
          <w:b/>
          <w:i/>
        </w:rPr>
        <w:t>traf</w:t>
      </w:r>
      <w:r w:rsidRPr="00E962CB">
        <w:rPr>
          <w:b/>
          <w:i/>
        </w:rPr>
        <w:t xml:space="preserve"> Compound Tag only.</w:t>
      </w:r>
    </w:p>
    <w:p w:rsidR="00E962CB" w:rsidRP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Compound </w:t>
      </w:r>
      <w:r w:rsidRPr="008743CF">
        <w:rPr>
          <w:rStyle w:val="TagName"/>
        </w:rPr>
        <w:t>pat1</w:t>
      </w:r>
      <w:r>
        <w:t xml:space="preserve"> – Contains pattern information for color 1.  </w:t>
      </w:r>
      <w:r w:rsidRPr="00E962CB">
        <w:rPr>
          <w:b/>
          <w:i/>
        </w:rPr>
        <w:t>Only used by flashing functions.</w:t>
      </w:r>
    </w:p>
    <w:p w:rsidR="00E962CB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fcen</w:t>
      </w:r>
      <w:r>
        <w:t xml:space="preserve"> – The pattern ID used by the front center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finb</w:t>
      </w:r>
      <w:r>
        <w:t xml:space="preserve"> – The pattern ID used by the front inboard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foub</w:t>
      </w:r>
      <w:r>
        <w:t xml:space="preserve"> – The pattern ID used by the front outboard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ffar</w:t>
      </w:r>
      <w:r>
        <w:t xml:space="preserve"> – The pattern ID used by the front far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fcor</w:t>
      </w:r>
      <w:r>
        <w:t xml:space="preserve"> – The pattern ID used by the front corner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rcen</w:t>
      </w:r>
      <w:r>
        <w:t xml:space="preserve"> – The pattern ID used by the rear center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rinb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roub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rfar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r w:rsidRPr="008743CF">
        <w:rPr>
          <w:rStyle w:val="TagName"/>
        </w:rPr>
        <w:t>rcor</w:t>
      </w:r>
    </w:p>
    <w:p w:rsidR="008743CF" w:rsidRPr="008743CF" w:rsidRDefault="008743CF" w:rsidP="008743CF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Compound </w:t>
      </w:r>
      <w:r w:rsidRPr="008743CF">
        <w:rPr>
          <w:rStyle w:val="TagName"/>
        </w:rPr>
        <w:t>pat2</w:t>
      </w:r>
      <w:r>
        <w:t xml:space="preserve"> – Contains pattern information for color 2.  Follows same layout as </w:t>
      </w:r>
      <w:r w:rsidRPr="008743CF">
        <w:rPr>
          <w:rStyle w:val="TagName"/>
        </w:rPr>
        <w:t>pat1</w:t>
      </w:r>
      <w:r>
        <w:t xml:space="preserve">.  </w:t>
      </w:r>
      <w:r w:rsidRPr="00E962CB">
        <w:rPr>
          <w:b/>
          <w:i/>
        </w:rPr>
        <w:t>Only used by flashing functions.</w:t>
      </w:r>
    </w:p>
    <w:p w:rsidR="008743CF" w:rsidRPr="008743CF" w:rsidRDefault="008743CF" w:rsidP="008743CF"/>
    <w:sectPr w:rsidR="008743CF" w:rsidRPr="0087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B18" w:rsidRDefault="002B4B18" w:rsidP="00667187">
      <w:pPr>
        <w:spacing w:after="0" w:line="240" w:lineRule="auto"/>
      </w:pPr>
      <w:r>
        <w:separator/>
      </w:r>
    </w:p>
  </w:endnote>
  <w:endnote w:type="continuationSeparator" w:id="0">
    <w:p w:rsidR="002B4B18" w:rsidRDefault="002B4B18" w:rsidP="0066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B18" w:rsidRDefault="002B4B18" w:rsidP="00667187">
      <w:pPr>
        <w:spacing w:after="0" w:line="240" w:lineRule="auto"/>
      </w:pPr>
      <w:r>
        <w:separator/>
      </w:r>
    </w:p>
  </w:footnote>
  <w:footnote w:type="continuationSeparator" w:id="0">
    <w:p w:rsidR="002B4B18" w:rsidRDefault="002B4B18" w:rsidP="00667187">
      <w:pPr>
        <w:spacing w:after="0" w:line="240" w:lineRule="auto"/>
      </w:pPr>
      <w:r>
        <w:continuationSeparator/>
      </w:r>
    </w:p>
  </w:footnote>
  <w:footnote w:id="1">
    <w:p w:rsidR="00667187" w:rsidRDefault="00667187">
      <w:pPr>
        <w:pStyle w:val="FootnoteText"/>
      </w:pPr>
      <w:r>
        <w:rPr>
          <w:rStyle w:val="FootnoteReference"/>
        </w:rPr>
        <w:t>?</w:t>
      </w:r>
      <w:r>
        <w:t xml:space="preserve"> I’m aware these aren’t in any specific order.  There was order originally, then we added LG_EIGHT and LG_SIX after the fact, and changing things around in an enumeration could have some wider consequences.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6451"/>
    <w:multiLevelType w:val="hybridMultilevel"/>
    <w:tmpl w:val="966C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0955"/>
    <w:multiLevelType w:val="hybridMultilevel"/>
    <w:tmpl w:val="52E0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E068D"/>
    <w:multiLevelType w:val="hybridMultilevel"/>
    <w:tmpl w:val="0E4E3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1625B1"/>
    <w:multiLevelType w:val="hybridMultilevel"/>
    <w:tmpl w:val="7E54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0A"/>
    <w:rsid w:val="000E6FED"/>
    <w:rsid w:val="000F219E"/>
    <w:rsid w:val="0011254D"/>
    <w:rsid w:val="00200501"/>
    <w:rsid w:val="002502BE"/>
    <w:rsid w:val="00257A96"/>
    <w:rsid w:val="002B4B18"/>
    <w:rsid w:val="002D510A"/>
    <w:rsid w:val="0035622C"/>
    <w:rsid w:val="0058122F"/>
    <w:rsid w:val="00667187"/>
    <w:rsid w:val="00716F71"/>
    <w:rsid w:val="00796984"/>
    <w:rsid w:val="008743CF"/>
    <w:rsid w:val="00AC41C8"/>
    <w:rsid w:val="00B00F76"/>
    <w:rsid w:val="00B35B8A"/>
    <w:rsid w:val="00E962CB"/>
    <w:rsid w:val="00E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EC6D-277A-4C87-8013-7E2514F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54D"/>
    <w:rPr>
      <w:rFonts w:eastAsiaTheme="minorEastAsia"/>
      <w:color w:val="5A5A5A" w:themeColor="text1" w:themeTint="A5"/>
      <w:spacing w:val="15"/>
    </w:rPr>
  </w:style>
  <w:style w:type="character" w:customStyle="1" w:styleId="TagName">
    <w:name w:val="Tag Name"/>
    <w:basedOn w:val="DefaultParagraphFont"/>
    <w:uiPriority w:val="1"/>
    <w:qFormat/>
    <w:rsid w:val="0011254D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11254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71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1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187"/>
    <w:rPr>
      <w:vertAlign w:val="superscript"/>
    </w:rPr>
  </w:style>
  <w:style w:type="table" w:styleId="TableGrid">
    <w:name w:val="Table Grid"/>
    <w:basedOn w:val="TableNormal"/>
    <w:uiPriority w:val="39"/>
    <w:rsid w:val="0035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AA289-40D0-4B82-ADE0-4DC6B16C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co-op</dc:creator>
  <cp:keywords/>
  <dc:description/>
  <cp:lastModifiedBy>co-op</cp:lastModifiedBy>
  <cp:revision>7</cp:revision>
  <dcterms:created xsi:type="dcterms:W3CDTF">2015-08-11T12:19:00Z</dcterms:created>
  <dcterms:modified xsi:type="dcterms:W3CDTF">2015-08-12T18:39:00Z</dcterms:modified>
</cp:coreProperties>
</file>