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091C" w14:textId="33205687" w:rsidR="00D50578" w:rsidRDefault="002D2E1B" w:rsidP="002F314F">
      <w:pPr>
        <w:pStyle w:val="Overskrift1"/>
        <w:rPr>
          <w:lang w:val="en-US"/>
        </w:rPr>
      </w:pPr>
      <w:r>
        <w:rPr>
          <w:lang w:val="en-US"/>
        </w:rPr>
        <w:t xml:space="preserve">Nordic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converter</w:t>
      </w:r>
    </w:p>
    <w:p w14:paraId="7AA43668" w14:textId="1BEC20CC" w:rsidR="002D2E1B" w:rsidRDefault="00A36A7A" w:rsidP="002D2E1B">
      <w:pPr>
        <w:rPr>
          <w:lang w:val="en-US"/>
        </w:rPr>
      </w:pPr>
      <w:r w:rsidRPr="00A36A7A">
        <w:rPr>
          <w:lang w:val="en-US"/>
        </w:rPr>
        <w:t>This application</w:t>
      </w:r>
      <w:r w:rsidR="00A21C54">
        <w:rPr>
          <w:lang w:val="en-US"/>
        </w:rPr>
        <w:t>, called nor2qml,</w:t>
      </w:r>
      <w:r w:rsidRPr="00A36A7A">
        <w:rPr>
          <w:lang w:val="en-US"/>
        </w:rPr>
        <w:t xml:space="preserve"> is a </w:t>
      </w:r>
      <w:r w:rsidR="00B456D1" w:rsidRPr="00A36A7A">
        <w:rPr>
          <w:lang w:val="en-US"/>
        </w:rPr>
        <w:t>conversion</w:t>
      </w:r>
      <w:r w:rsidRPr="00A36A7A">
        <w:rPr>
          <w:lang w:val="en-US"/>
        </w:rPr>
        <w:t xml:space="preserve"> tool between the Nordic format and </w:t>
      </w:r>
      <w:r w:rsidR="004133A7">
        <w:rPr>
          <w:lang w:val="en-US"/>
        </w:rPr>
        <w:t xml:space="preserve">the </w:t>
      </w:r>
      <w:proofErr w:type="spellStart"/>
      <w:r w:rsidRPr="00A36A7A">
        <w:rPr>
          <w:lang w:val="en-US"/>
        </w:rPr>
        <w:t>QuakeML</w:t>
      </w:r>
      <w:proofErr w:type="spellEnd"/>
      <w:r w:rsidR="00B456D1">
        <w:rPr>
          <w:lang w:val="en-US"/>
        </w:rPr>
        <w:t xml:space="preserve"> (</w:t>
      </w:r>
      <w:r w:rsidR="00B456D1" w:rsidRPr="00B456D1">
        <w:rPr>
          <w:lang w:val="en-US"/>
        </w:rPr>
        <w:t>XML representation</w:t>
      </w:r>
      <w:r w:rsidR="00B456D1">
        <w:rPr>
          <w:lang w:val="en-US"/>
        </w:rPr>
        <w:t>)</w:t>
      </w:r>
      <w:r w:rsidR="004133A7">
        <w:rPr>
          <w:lang w:val="en-US"/>
        </w:rPr>
        <w:t xml:space="preserve"> format</w:t>
      </w:r>
      <w:r w:rsidRPr="00A36A7A">
        <w:rPr>
          <w:lang w:val="en-US"/>
        </w:rPr>
        <w:t xml:space="preserve">. The tool </w:t>
      </w:r>
      <w:r>
        <w:rPr>
          <w:lang w:val="en-US"/>
        </w:rPr>
        <w:t xml:space="preserve">is preconfigured to </w:t>
      </w:r>
      <w:r w:rsidRPr="00A36A7A">
        <w:rPr>
          <w:lang w:val="en-US"/>
        </w:rPr>
        <w:t>read s-files</w:t>
      </w:r>
      <w:r w:rsidR="00B456D1">
        <w:rPr>
          <w:lang w:val="en-US"/>
        </w:rPr>
        <w:t xml:space="preserve"> (Nordic format)</w:t>
      </w:r>
      <w:r w:rsidRPr="00A36A7A">
        <w:rPr>
          <w:lang w:val="en-US"/>
        </w:rPr>
        <w:t xml:space="preserve"> and producing earthquake event data (event parameters) in </w:t>
      </w:r>
      <w:r w:rsidR="004133A7">
        <w:rPr>
          <w:lang w:val="en-US"/>
        </w:rPr>
        <w:t xml:space="preserve">the </w:t>
      </w:r>
      <w:proofErr w:type="spellStart"/>
      <w:r w:rsidRPr="00A36A7A">
        <w:rPr>
          <w:lang w:val="en-US"/>
        </w:rPr>
        <w:t>QuakeML</w:t>
      </w:r>
      <w:proofErr w:type="spellEnd"/>
      <w:r w:rsidR="004133A7">
        <w:rPr>
          <w:lang w:val="en-US"/>
        </w:rPr>
        <w:t xml:space="preserve"> format</w:t>
      </w:r>
      <w:r w:rsidRPr="00A36A7A">
        <w:rPr>
          <w:lang w:val="en-US"/>
        </w:rPr>
        <w:t>.</w:t>
      </w:r>
      <w:r>
        <w:rPr>
          <w:lang w:val="en-US"/>
        </w:rPr>
        <w:t xml:space="preserve"> By configuring </w:t>
      </w:r>
      <w:r w:rsidR="002A73FA">
        <w:rPr>
          <w:lang w:val="en-US"/>
        </w:rPr>
        <w:t>arguments,</w:t>
      </w:r>
      <w:r>
        <w:rPr>
          <w:lang w:val="en-US"/>
        </w:rPr>
        <w:t xml:space="preserve"> the tool can also convert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data into a collection of s-files from both </w:t>
      </w:r>
      <w:r w:rsidR="00B456D1">
        <w:rPr>
          <w:lang w:val="en-US"/>
        </w:rPr>
        <w:t>an</w:t>
      </w:r>
      <w:r>
        <w:rPr>
          <w:lang w:val="en-US"/>
        </w:rPr>
        <w:t xml:space="preserve"> XML file and a web-service.</w:t>
      </w:r>
      <w:r w:rsidR="00B456D1">
        <w:rPr>
          <w:lang w:val="en-US"/>
        </w:rPr>
        <w:t xml:space="preserve"> The application is runnable within the SEISAN environment or directly through the java environment (jar files).</w:t>
      </w:r>
    </w:p>
    <w:p w14:paraId="0FA35E5B" w14:textId="5220E842" w:rsidR="005E2B40" w:rsidRPr="00A36A7A" w:rsidRDefault="00A21C54" w:rsidP="002D2E1B">
      <w:pPr>
        <w:rPr>
          <w:lang w:val="en-US"/>
        </w:rPr>
      </w:pPr>
      <w:r>
        <w:rPr>
          <w:lang w:val="en-US"/>
        </w:rPr>
        <w:t>The following description of the nor2qml converter is divided into four sections:</w:t>
      </w:r>
    </w:p>
    <w:p w14:paraId="326522DB" w14:textId="647CA76E" w:rsid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run the application</w:t>
      </w:r>
    </w:p>
    <w:p w14:paraId="4EC8B159" w14:textId="1E408414" w:rsidR="00A36A7A" w:rsidRDefault="001161CB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r w:rsidR="00A36A7A">
        <w:rPr>
          <w:lang w:val="en-US"/>
        </w:rPr>
        <w:t>ID</w:t>
      </w:r>
      <w:r w:rsidR="005A6BE7">
        <w:rPr>
          <w:lang w:val="en-US"/>
        </w:rPr>
        <w:t xml:space="preserve">s for </w:t>
      </w:r>
      <w:proofErr w:type="spellStart"/>
      <w:r w:rsidR="005A6BE7">
        <w:rPr>
          <w:lang w:val="en-US"/>
        </w:rPr>
        <w:t>QuakeML</w:t>
      </w:r>
      <w:proofErr w:type="spellEnd"/>
      <w:r w:rsidR="005A6BE7">
        <w:rPr>
          <w:lang w:val="en-US"/>
        </w:rPr>
        <w:t xml:space="preserve"> output</w:t>
      </w:r>
    </w:p>
    <w:p w14:paraId="0940FD4E" w14:textId="3A650F1C" w:rsidR="00A36A7A" w:rsidRP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r w:rsidR="005A6BE7">
        <w:rPr>
          <w:lang w:val="en-US"/>
        </w:rPr>
        <w:t>arguments for conversion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nordic</w:t>
      </w:r>
      <w:proofErr w:type="spellEnd"/>
    </w:p>
    <w:p w14:paraId="44F3EE2D" w14:textId="56C77C2A" w:rsid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Arguments</w:t>
      </w:r>
    </w:p>
    <w:p w14:paraId="3DF32B54" w14:textId="66F841D5" w:rsidR="00A21C54" w:rsidRPr="00A21C54" w:rsidRDefault="00A21C54" w:rsidP="00A21C54">
      <w:pPr>
        <w:rPr>
          <w:lang w:val="en-US"/>
        </w:rPr>
      </w:pPr>
      <w:r>
        <w:rPr>
          <w:lang w:val="en-US"/>
        </w:rPr>
        <w:t xml:space="preserve">The two first sections </w:t>
      </w:r>
      <w:r w:rsidR="00835DA0">
        <w:rPr>
          <w:lang w:val="en-US"/>
        </w:rPr>
        <w:t>describe the</w:t>
      </w:r>
      <w:r>
        <w:rPr>
          <w:lang w:val="en-US"/>
        </w:rPr>
        <w:t xml:space="preserve"> conversion from the Nordic format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. The third section gives an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on how to enable conversion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the Nordic format. </w:t>
      </w:r>
      <w:r w:rsidR="00360D5B">
        <w:rPr>
          <w:lang w:val="en-US"/>
        </w:rPr>
        <w:t>The f</w:t>
      </w:r>
      <w:r>
        <w:rPr>
          <w:lang w:val="en-US"/>
        </w:rPr>
        <w:t xml:space="preserve">ourth section gives an overview of all the possible arguments that can be used within </w:t>
      </w:r>
      <w:r w:rsidR="00BF510B">
        <w:rPr>
          <w:lang w:val="en-US"/>
        </w:rPr>
        <w:t>this application</w:t>
      </w:r>
      <w:r>
        <w:rPr>
          <w:lang w:val="en-US"/>
        </w:rPr>
        <w:t xml:space="preserve"> along with default values for each argument.</w:t>
      </w:r>
    </w:p>
    <w:p w14:paraId="1D75FD1A" w14:textId="3BE68AB1" w:rsidR="002F314F" w:rsidRDefault="00A36A7A" w:rsidP="002F314F">
      <w:pPr>
        <w:pStyle w:val="Overskrift1"/>
        <w:rPr>
          <w:lang w:val="en-US"/>
        </w:rPr>
      </w:pPr>
      <w:r>
        <w:rPr>
          <w:lang w:val="en-US"/>
        </w:rPr>
        <w:t>1</w:t>
      </w:r>
      <w:r w:rsidR="004F29A4">
        <w:rPr>
          <w:lang w:val="en-US"/>
        </w:rPr>
        <w:t>.</w:t>
      </w:r>
      <w:r>
        <w:rPr>
          <w:lang w:val="en-US"/>
        </w:rPr>
        <w:t xml:space="preserve"> </w:t>
      </w:r>
      <w:r w:rsidR="002F314F">
        <w:rPr>
          <w:lang w:val="en-US"/>
        </w:rPr>
        <w:t>How to run the application</w:t>
      </w:r>
    </w:p>
    <w:p w14:paraId="040EBEFB" w14:textId="1C331B08" w:rsidR="009A2371" w:rsidRDefault="009A2371" w:rsidP="002F314F">
      <w:pPr>
        <w:rPr>
          <w:lang w:val="en-US"/>
        </w:rPr>
      </w:pPr>
      <w:r>
        <w:rPr>
          <w:lang w:val="en-US"/>
        </w:rPr>
        <w:t>Make sure that you have java installed. Check by typing “</w:t>
      </w:r>
      <w:r w:rsidRPr="009A2371">
        <w:rPr>
          <w:lang w:val="en-US"/>
        </w:rPr>
        <w:t>java -version</w:t>
      </w:r>
      <w:r>
        <w:rPr>
          <w:lang w:val="en-US"/>
        </w:rPr>
        <w:t>” into the terminal.</w:t>
      </w:r>
    </w:p>
    <w:p w14:paraId="3C58D20C" w14:textId="77777777" w:rsidR="008B0BEC" w:rsidRDefault="009A2371" w:rsidP="002F314F">
      <w:pPr>
        <w:rPr>
          <w:lang w:val="en-US"/>
        </w:rPr>
      </w:pPr>
      <w:r>
        <w:rPr>
          <w:lang w:val="en-US"/>
        </w:rPr>
        <w:t>To run the application, type the following command into the terminal:</w:t>
      </w:r>
    </w:p>
    <w:p w14:paraId="1124B139" w14:textId="5F7230EB" w:rsidR="008B0BEC" w:rsidRDefault="008B0BEC" w:rsidP="008B0BEC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3ACB8136" w14:textId="4D86F989" w:rsidR="008B0BEC" w:rsidRPr="008B0BEC" w:rsidRDefault="008B0BEC" w:rsidP="008B0BEC">
      <w:pPr>
        <w:ind w:left="720"/>
        <w:rPr>
          <w:i/>
          <w:iCs/>
          <w:lang w:val="en-US"/>
        </w:rPr>
      </w:pPr>
      <w:r w:rsidRPr="008B0BEC">
        <w:rPr>
          <w:i/>
          <w:iCs/>
          <w:lang w:val="en-US"/>
        </w:rPr>
        <w:t>“nor2qml --input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 or folder&gt;”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59D7E9BE" w14:textId="77777777" w:rsidR="008B0BEC" w:rsidRDefault="008B0BEC" w:rsidP="00E7772E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6E982FE4" w14:textId="46A1F028" w:rsidR="008B0BEC" w:rsidRDefault="008B0BEC" w:rsidP="008B0BEC">
      <w:pPr>
        <w:ind w:left="720"/>
        <w:rPr>
          <w:i/>
          <w:iCs/>
          <w:lang w:val="en-US"/>
        </w:rPr>
      </w:pPr>
      <w:r w:rsidRPr="008B0BEC">
        <w:rPr>
          <w:i/>
          <w:iCs/>
          <w:lang w:val="en-US"/>
        </w:rPr>
        <w:t>“</w:t>
      </w:r>
      <w:proofErr w:type="gramStart"/>
      <w:r>
        <w:rPr>
          <w:i/>
          <w:iCs/>
          <w:lang w:val="en-US"/>
        </w:rPr>
        <w:t>java</w:t>
      </w:r>
      <w:proofErr w:type="gramEnd"/>
      <w:r>
        <w:rPr>
          <w:i/>
          <w:iCs/>
          <w:lang w:val="en-US"/>
        </w:rPr>
        <w:t xml:space="preserve"> -jar </w:t>
      </w:r>
      <w:r w:rsidRPr="008B0BEC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Pr="008B0BEC">
        <w:rPr>
          <w:i/>
          <w:iCs/>
          <w:lang w:val="en-US"/>
        </w:rPr>
        <w:t xml:space="preserve"> --input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 or folder&gt;”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699DD0B1" w14:textId="7E9EBBF6" w:rsidR="001023B2" w:rsidRPr="001023B2" w:rsidRDefault="001023B2" w:rsidP="001023B2">
      <w:pPr>
        <w:rPr>
          <w:lang w:val="en-US"/>
        </w:rPr>
      </w:pPr>
      <w:r>
        <w:rPr>
          <w:lang w:val="en-US"/>
        </w:rPr>
        <w:t>For running the application within the Java environment, specify the entire path to the nor2qml.jar after</w:t>
      </w:r>
      <w:r w:rsidR="005A6BE7">
        <w:rPr>
          <w:lang w:val="en-US"/>
        </w:rPr>
        <w:t xml:space="preserve"> the</w:t>
      </w:r>
      <w:r>
        <w:rPr>
          <w:lang w:val="en-US"/>
        </w:rPr>
        <w:t xml:space="preserve"> “-jar” argument.</w:t>
      </w:r>
    </w:p>
    <w:p w14:paraId="180779CC" w14:textId="74E1720F" w:rsidR="00FD709E" w:rsidRDefault="00FD709E" w:rsidP="00FD709E">
      <w:pPr>
        <w:pStyle w:val="Overskrift2"/>
        <w:rPr>
          <w:lang w:val="en-US"/>
        </w:rPr>
      </w:pPr>
      <w:r>
        <w:rPr>
          <w:lang w:val="en-US"/>
        </w:rPr>
        <w:t>Input</w:t>
      </w:r>
    </w:p>
    <w:p w14:paraId="740913A6" w14:textId="3999FC2C" w:rsidR="00D371D7" w:rsidRDefault="00D371D7" w:rsidP="002F314F">
      <w:pPr>
        <w:rPr>
          <w:lang w:val="en-US"/>
        </w:rPr>
      </w:pPr>
      <w:r>
        <w:rPr>
          <w:lang w:val="en-US"/>
        </w:rPr>
        <w:t xml:space="preserve">The application has a built-in file scanner, which is designed to </w:t>
      </w:r>
      <w:proofErr w:type="gramStart"/>
      <w:r>
        <w:rPr>
          <w:lang w:val="en-US"/>
        </w:rPr>
        <w:t>identifying</w:t>
      </w:r>
      <w:proofErr w:type="gramEnd"/>
      <w:r>
        <w:rPr>
          <w:lang w:val="en-US"/>
        </w:rPr>
        <w:t xml:space="preserve"> s-files </w:t>
      </w:r>
      <w:proofErr w:type="gramStart"/>
      <w:r>
        <w:rPr>
          <w:lang w:val="en-US"/>
        </w:rPr>
        <w:t>within in</w:t>
      </w:r>
      <w:proofErr w:type="gramEnd"/>
      <w:r>
        <w:rPr>
          <w:lang w:val="en-US"/>
        </w:rPr>
        <w:t xml:space="preserve"> SEISAN catalog structures. Hence, a folder will only be scanned if the folder name </w:t>
      </w:r>
      <w:r w:rsidR="00EE0334">
        <w:rPr>
          <w:lang w:val="en-US"/>
        </w:rPr>
        <w:t>follows</w:t>
      </w:r>
      <w:r>
        <w:rPr>
          <w:lang w:val="en-US"/>
        </w:rPr>
        <w:t xml:space="preserve"> the convention of a catalog name with underscore (“_”) at the end, for example the catalog name “NNSN_”. The file scanner will also search through folders with a folder name of numbers, which is true for the catalog’s subsequent folders of year and month. Examples of valid input </w:t>
      </w:r>
      <w:r w:rsidR="009A52DF">
        <w:rPr>
          <w:lang w:val="en-US"/>
        </w:rPr>
        <w:t xml:space="preserve">for folders </w:t>
      </w:r>
      <w:r>
        <w:rPr>
          <w:lang w:val="en-US"/>
        </w:rPr>
        <w:t>are:</w:t>
      </w:r>
    </w:p>
    <w:p w14:paraId="15301B44" w14:textId="02575551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(whole catalog):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>
        <w:rPr>
          <w:lang w:val="en-US"/>
        </w:rPr>
        <w:t>”</w:t>
      </w:r>
    </w:p>
    <w:p w14:paraId="35C93309" w14:textId="0C080478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(specific year):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 w:rsidR="003D3FE1">
        <w:rPr>
          <w:lang w:val="en-US"/>
        </w:rPr>
        <w:t>/</w:t>
      </w:r>
      <w:r>
        <w:rPr>
          <w:lang w:val="en-US"/>
        </w:rPr>
        <w:t>2014”</w:t>
      </w:r>
    </w:p>
    <w:p w14:paraId="423B7B6D" w14:textId="636BFE2D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(specific month):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 w:rsidR="003D3FE1">
        <w:rPr>
          <w:lang w:val="en-US"/>
        </w:rPr>
        <w:t>/</w:t>
      </w:r>
      <w:r>
        <w:rPr>
          <w:lang w:val="en-US"/>
        </w:rPr>
        <w:t>2014</w:t>
      </w:r>
      <w:r w:rsidR="003D3FE1">
        <w:rPr>
          <w:lang w:val="en-US"/>
        </w:rPr>
        <w:t>/</w:t>
      </w:r>
      <w:r>
        <w:rPr>
          <w:lang w:val="en-US"/>
        </w:rPr>
        <w:t>09”</w:t>
      </w:r>
    </w:p>
    <w:p w14:paraId="410300BB" w14:textId="7B0C2175" w:rsidR="009A52DF" w:rsidRPr="009A52DF" w:rsidRDefault="009A52DF" w:rsidP="009A52DF">
      <w:pPr>
        <w:rPr>
          <w:lang w:val="en-US"/>
        </w:rPr>
      </w:pPr>
      <w:r>
        <w:rPr>
          <w:lang w:val="en-US"/>
        </w:rPr>
        <w:t xml:space="preserve">During file scan, only files that has the extension starting with “S” will be read. However, if the given input path is pointing at a single file, the application can read any file regardless of extension or filename. Hence, </w:t>
      </w:r>
      <w:proofErr w:type="gramStart"/>
      <w:r w:rsidR="006E70CB">
        <w:rPr>
          <w:lang w:val="en-US"/>
        </w:rPr>
        <w:t>following</w:t>
      </w:r>
      <w:proofErr w:type="gramEnd"/>
      <w:r w:rsidR="006E70CB">
        <w:rPr>
          <w:lang w:val="en-US"/>
        </w:rPr>
        <w:t xml:space="preserve"> examples of file input can be used:</w:t>
      </w:r>
    </w:p>
    <w:p w14:paraId="57D896DB" w14:textId="0BF3BFDB" w:rsidR="003D3FE1" w:rsidRDefault="003D3FE1" w:rsidP="003D3FE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</w:t>
      </w:r>
      <w:r w:rsidR="0085768C">
        <w:rPr>
          <w:lang w:val="en-US"/>
        </w:rPr>
        <w:t xml:space="preserve"> (</w:t>
      </w:r>
      <w:proofErr w:type="gramStart"/>
      <w:r w:rsidR="0085768C">
        <w:rPr>
          <w:lang w:val="en-US"/>
        </w:rPr>
        <w:t>particular file</w:t>
      </w:r>
      <w:proofErr w:type="gramEnd"/>
      <w:r w:rsidR="0085768C">
        <w:rPr>
          <w:lang w:val="en-US"/>
        </w:rPr>
        <w:t>)</w:t>
      </w:r>
      <w:r>
        <w:rPr>
          <w:lang w:val="en-US"/>
        </w:rPr>
        <w:t xml:space="preserve">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&gt;/</w:t>
      </w:r>
      <w:r w:rsidRPr="003D3FE1">
        <w:rPr>
          <w:lang w:val="en-US"/>
        </w:rPr>
        <w:t>SEISMO/</w:t>
      </w:r>
      <w:r w:rsidRPr="004A508D">
        <w:rPr>
          <w:lang w:val="en-US"/>
        </w:rPr>
        <w:t>REA</w:t>
      </w:r>
      <w:r>
        <w:rPr>
          <w:lang w:val="en-US"/>
        </w:rPr>
        <w:t>/</w:t>
      </w:r>
      <w:r w:rsidRPr="00D371D7">
        <w:rPr>
          <w:lang w:val="en-US"/>
        </w:rPr>
        <w:t>NNSN_</w:t>
      </w:r>
      <w:r>
        <w:rPr>
          <w:lang w:val="en-US"/>
        </w:rPr>
        <w:t>/</w:t>
      </w:r>
      <w:r w:rsidRPr="00D371D7">
        <w:rPr>
          <w:lang w:val="en-US"/>
        </w:rPr>
        <w:t>2014</w:t>
      </w:r>
      <w:r>
        <w:rPr>
          <w:lang w:val="en-US"/>
        </w:rPr>
        <w:t>/</w:t>
      </w:r>
      <w:r w:rsidRPr="00D371D7">
        <w:rPr>
          <w:lang w:val="en-US"/>
        </w:rPr>
        <w:t>09</w:t>
      </w:r>
      <w:r>
        <w:rPr>
          <w:lang w:val="en-US"/>
        </w:rPr>
        <w:t>/</w:t>
      </w:r>
      <w:r w:rsidRPr="00D371D7">
        <w:rPr>
          <w:lang w:val="en-US"/>
        </w:rPr>
        <w:t>01-2050-05L.S201409"</w:t>
      </w:r>
    </w:p>
    <w:p w14:paraId="2113F17A" w14:textId="7533C502" w:rsidR="009A52DF" w:rsidRDefault="009A52DF" w:rsidP="00834BB8">
      <w:pPr>
        <w:pStyle w:val="Listeavsnitt"/>
        <w:numPr>
          <w:ilvl w:val="0"/>
          <w:numId w:val="1"/>
        </w:numPr>
        <w:rPr>
          <w:lang w:val="en-US"/>
        </w:rPr>
      </w:pPr>
      <w:r w:rsidRPr="009A52DF">
        <w:rPr>
          <w:lang w:val="en-US"/>
        </w:rPr>
        <w:lastRenderedPageBreak/>
        <w:t>File (</w:t>
      </w:r>
      <w:proofErr w:type="gramStart"/>
      <w:r w:rsidRPr="009A52DF">
        <w:rPr>
          <w:lang w:val="en-US"/>
        </w:rPr>
        <w:t>particular file</w:t>
      </w:r>
      <w:proofErr w:type="gramEnd"/>
      <w:r w:rsidRPr="009A52DF">
        <w:rPr>
          <w:lang w:val="en-US"/>
        </w:rPr>
        <w:t>): “&lt;path to any folder&gt;/</w:t>
      </w:r>
      <w:proofErr w:type="spellStart"/>
      <w:r>
        <w:rPr>
          <w:lang w:val="en-US"/>
        </w:rPr>
        <w:t>testfile.out</w:t>
      </w:r>
      <w:proofErr w:type="spellEnd"/>
      <w:r>
        <w:rPr>
          <w:lang w:val="en-US"/>
        </w:rPr>
        <w:t>”</w:t>
      </w:r>
    </w:p>
    <w:p w14:paraId="5E19CA25" w14:textId="67A29E6B" w:rsidR="00FD709E" w:rsidRDefault="00FD709E" w:rsidP="00FD709E">
      <w:pPr>
        <w:pStyle w:val="Overskrift2"/>
        <w:rPr>
          <w:lang w:val="en-US"/>
        </w:rPr>
      </w:pPr>
      <w:r>
        <w:rPr>
          <w:lang w:val="en-US"/>
        </w:rPr>
        <w:t>Output</w:t>
      </w:r>
    </w:p>
    <w:p w14:paraId="64A45A2B" w14:textId="36BE4843" w:rsidR="00613E5F" w:rsidRDefault="00975E92" w:rsidP="00613E5F">
      <w:pPr>
        <w:rPr>
          <w:lang w:val="en-US"/>
        </w:rPr>
      </w:pPr>
      <w:r>
        <w:rPr>
          <w:lang w:val="en-US"/>
        </w:rPr>
        <w:t xml:space="preserve">The output argument has a default value of the path where the application (jar file) is located. If you are running the converter through the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 xml:space="preserve"> structure it is recommended to specify another path for the output.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value should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complete path </w:t>
      </w:r>
      <w:r w:rsidRPr="00975E92">
        <w:rPr>
          <w:u w:val="single"/>
          <w:lang w:val="en-US"/>
        </w:rPr>
        <w:t>with a filename and extension</w:t>
      </w:r>
      <w:r>
        <w:rPr>
          <w:lang w:val="en-US"/>
        </w:rPr>
        <w:t xml:space="preserve"> at the end of the path. If converting from Nordic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, please give the “xml” extension. If converting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, you are </w:t>
      </w:r>
      <w:r w:rsidR="001023B2">
        <w:rPr>
          <w:lang w:val="en-US"/>
        </w:rPr>
        <w:t>freer</w:t>
      </w:r>
      <w:r>
        <w:rPr>
          <w:lang w:val="en-US"/>
        </w:rPr>
        <w:t xml:space="preserve"> to </w:t>
      </w:r>
      <w:r w:rsidR="001023B2">
        <w:rPr>
          <w:lang w:val="en-US"/>
        </w:rPr>
        <w:t>choose</w:t>
      </w:r>
      <w:r>
        <w:rPr>
          <w:lang w:val="en-US"/>
        </w:rPr>
        <w:t xml:space="preserve"> extension, but as a guideline you can use the “.out” extension.</w:t>
      </w:r>
    </w:p>
    <w:p w14:paraId="5060624C" w14:textId="174E6720" w:rsidR="00613E5F" w:rsidRDefault="00613E5F" w:rsidP="00613E5F">
      <w:pPr>
        <w:pStyle w:val="Overskrift2"/>
        <w:rPr>
          <w:lang w:val="en-US"/>
        </w:rPr>
      </w:pPr>
      <w:r>
        <w:rPr>
          <w:lang w:val="en-US"/>
        </w:rPr>
        <w:t>Example</w:t>
      </w:r>
      <w:r w:rsidR="00F86F5D">
        <w:rPr>
          <w:lang w:val="en-US"/>
        </w:rPr>
        <w:t xml:space="preserve"> for running the application</w:t>
      </w:r>
      <w:r w:rsidR="001023B2">
        <w:rPr>
          <w:lang w:val="en-US"/>
        </w:rPr>
        <w:t xml:space="preserve"> with input and output specified</w:t>
      </w:r>
    </w:p>
    <w:p w14:paraId="5AF7C645" w14:textId="77777777" w:rsidR="001023B2" w:rsidRDefault="001023B2" w:rsidP="00F86F5D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1BAC2D90" w14:textId="59A643A0" w:rsidR="00F86F5D" w:rsidRDefault="00F86F5D" w:rsidP="001023B2">
      <w:pPr>
        <w:ind w:left="720"/>
        <w:rPr>
          <w:i/>
          <w:iCs/>
          <w:lang w:val="en-US"/>
        </w:rPr>
      </w:pPr>
      <w:r w:rsidRPr="001023B2">
        <w:rPr>
          <w:i/>
          <w:iCs/>
          <w:lang w:val="en-US"/>
        </w:rPr>
        <w:t>nor2qml --input=”</w:t>
      </w:r>
      <w:r w:rsidR="00975E92" w:rsidRPr="001023B2">
        <w:rPr>
          <w:i/>
          <w:iCs/>
          <w:lang w:val="en-US"/>
        </w:rPr>
        <w:t>/home</w:t>
      </w:r>
      <w:r w:rsidRPr="001023B2">
        <w:rPr>
          <w:i/>
          <w:iCs/>
          <w:lang w:val="en-US"/>
        </w:rPr>
        <w:t>/SEISMO/REA/NNSN_/2014/09” -output</w:t>
      </w:r>
      <w:proofErr w:type="gramStart"/>
      <w:r w:rsidRPr="001023B2">
        <w:rPr>
          <w:i/>
          <w:iCs/>
          <w:lang w:val="en-US"/>
        </w:rPr>
        <w:t>=”/home/my-name/qml201409.xml</w:t>
      </w:r>
      <w:proofErr w:type="gramEnd"/>
      <w:r w:rsidRPr="001023B2">
        <w:rPr>
          <w:i/>
          <w:iCs/>
          <w:lang w:val="en-US"/>
        </w:rPr>
        <w:t>”</w:t>
      </w:r>
    </w:p>
    <w:p w14:paraId="239015D2" w14:textId="77777777" w:rsidR="001023B2" w:rsidRDefault="001023B2" w:rsidP="001023B2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5AF92868" w14:textId="00BB71FA" w:rsidR="001023B2" w:rsidRPr="001023B2" w:rsidRDefault="001023B2" w:rsidP="001023B2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java -jar </w:t>
      </w:r>
      <w:r w:rsidRPr="001023B2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Pr="001023B2">
        <w:rPr>
          <w:i/>
          <w:iCs/>
          <w:lang w:val="en-US"/>
        </w:rPr>
        <w:t xml:space="preserve"> --input=”/home/SEISMO/REA/NNSN_/2014/09” -output</w:t>
      </w:r>
      <w:proofErr w:type="gramStart"/>
      <w:r w:rsidRPr="001023B2">
        <w:rPr>
          <w:i/>
          <w:iCs/>
          <w:lang w:val="en-US"/>
        </w:rPr>
        <w:t>=”/home/my-name/qml201409.xml</w:t>
      </w:r>
      <w:proofErr w:type="gramEnd"/>
      <w:r w:rsidRPr="001023B2">
        <w:rPr>
          <w:i/>
          <w:iCs/>
          <w:lang w:val="en-US"/>
        </w:rPr>
        <w:t>”</w:t>
      </w:r>
    </w:p>
    <w:p w14:paraId="507DC233" w14:textId="5A8B8BC3" w:rsidR="00D50578" w:rsidRDefault="00A36A7A" w:rsidP="00D50578">
      <w:pPr>
        <w:pStyle w:val="Overskrift1"/>
        <w:rPr>
          <w:lang w:val="en-US"/>
        </w:rPr>
      </w:pPr>
      <w:r>
        <w:rPr>
          <w:lang w:val="en-US"/>
        </w:rPr>
        <w:t>2</w:t>
      </w:r>
      <w:r w:rsidR="004F29A4">
        <w:rPr>
          <w:lang w:val="en-US"/>
        </w:rPr>
        <w:t>.</w:t>
      </w:r>
      <w:r>
        <w:rPr>
          <w:lang w:val="en-US"/>
        </w:rPr>
        <w:t xml:space="preserve"> </w:t>
      </w:r>
      <w:r w:rsidR="001161CB">
        <w:rPr>
          <w:lang w:val="en-US"/>
        </w:rPr>
        <w:t xml:space="preserve">Configure </w:t>
      </w:r>
      <w:r w:rsidR="00D50578">
        <w:rPr>
          <w:lang w:val="en-US"/>
        </w:rPr>
        <w:t>ID generation</w:t>
      </w:r>
    </w:p>
    <w:p w14:paraId="107D1662" w14:textId="17727CDD" w:rsidR="00E12CB3" w:rsidRDefault="007C51E4" w:rsidP="00D50578">
      <w:pPr>
        <w:rPr>
          <w:lang w:val="en-US"/>
        </w:rPr>
      </w:pPr>
      <w:r>
        <w:rPr>
          <w:lang w:val="en-US"/>
        </w:rPr>
        <w:t>Within</w:t>
      </w:r>
      <w:r w:rsidR="00A21C54">
        <w:rPr>
          <w:lang w:val="en-US"/>
        </w:rPr>
        <w:t xml:space="preserve"> </w:t>
      </w:r>
      <w:proofErr w:type="spellStart"/>
      <w:r w:rsidR="00A21C54">
        <w:rPr>
          <w:lang w:val="en-US"/>
        </w:rPr>
        <w:t>QuakeML</w:t>
      </w:r>
      <w:proofErr w:type="spellEnd"/>
      <w:r>
        <w:rPr>
          <w:lang w:val="en-US"/>
        </w:rPr>
        <w:t>, each</w:t>
      </w:r>
      <w:r w:rsidR="00A21C54">
        <w:rPr>
          <w:lang w:val="en-US"/>
        </w:rPr>
        <w:t xml:space="preserve"> entity has a public ID</w:t>
      </w:r>
      <w:r>
        <w:rPr>
          <w:lang w:val="en-US"/>
        </w:rPr>
        <w:t xml:space="preserve"> for identifying each resource given. This may for instance be a particular event, origin, magnitude, or amplitude. </w:t>
      </w:r>
      <w:proofErr w:type="gramStart"/>
      <w:r w:rsidR="00A1427D">
        <w:rPr>
          <w:lang w:val="en-US"/>
        </w:rPr>
        <w:t>The resource</w:t>
      </w:r>
      <w:proofErr w:type="gramEnd"/>
      <w:r w:rsidR="00A1427D">
        <w:rPr>
          <w:lang w:val="en-US"/>
        </w:rPr>
        <w:t xml:space="preserve"> IDs </w:t>
      </w:r>
      <w:proofErr w:type="gramStart"/>
      <w:r w:rsidR="00A1427D">
        <w:rPr>
          <w:lang w:val="en-US"/>
        </w:rPr>
        <w:t>is</w:t>
      </w:r>
      <w:proofErr w:type="gramEnd"/>
      <w:r w:rsidR="00A1427D">
        <w:rPr>
          <w:lang w:val="en-US"/>
        </w:rPr>
        <w:t xml:space="preserve"> crucial for linking these entities. </w:t>
      </w:r>
      <w:r w:rsidR="00D50578">
        <w:rPr>
          <w:lang w:val="en-US"/>
        </w:rPr>
        <w:t xml:space="preserve">The application has a </w:t>
      </w:r>
      <w:proofErr w:type="gramStart"/>
      <w:r w:rsidR="00D50578">
        <w:rPr>
          <w:lang w:val="en-US"/>
        </w:rPr>
        <w:t>build</w:t>
      </w:r>
      <w:proofErr w:type="gramEnd"/>
      <w:r w:rsidR="00D50578">
        <w:rPr>
          <w:lang w:val="en-US"/>
        </w:rPr>
        <w:t>-in ID generator t</w:t>
      </w:r>
      <w:r w:rsidR="002D2E1B">
        <w:rPr>
          <w:lang w:val="en-US"/>
        </w:rPr>
        <w:t xml:space="preserve">hat follows the </w:t>
      </w:r>
      <w:proofErr w:type="spellStart"/>
      <w:r w:rsidR="002D2E1B">
        <w:rPr>
          <w:lang w:val="en-US"/>
        </w:rPr>
        <w:t>QuakeML</w:t>
      </w:r>
      <w:proofErr w:type="spellEnd"/>
      <w:r w:rsidR="002D2E1B">
        <w:rPr>
          <w:lang w:val="en-US"/>
        </w:rPr>
        <w:t xml:space="preserve"> standard of resource identifiers. </w:t>
      </w:r>
      <w:r>
        <w:rPr>
          <w:lang w:val="en-US"/>
        </w:rPr>
        <w:t xml:space="preserve">By default, these identifiers are built by some predefined values and attributes given by the event itself. The attributes taken from the events are fixed, but </w:t>
      </w:r>
      <w:r w:rsidR="00BF510B">
        <w:rPr>
          <w:lang w:val="en-US"/>
        </w:rPr>
        <w:t>two of the</w:t>
      </w:r>
      <w:r>
        <w:rPr>
          <w:lang w:val="en-US"/>
        </w:rPr>
        <w:t xml:space="preserve"> predefined values can be </w:t>
      </w:r>
      <w:r w:rsidR="00BF510B">
        <w:rPr>
          <w:lang w:val="en-US"/>
        </w:rPr>
        <w:t xml:space="preserve">overwritten by providing arguments. Since the application </w:t>
      </w:r>
      <w:proofErr w:type="gramStart"/>
      <w:r w:rsidR="00BF510B">
        <w:rPr>
          <w:lang w:val="en-US"/>
        </w:rPr>
        <w:t>provide</w:t>
      </w:r>
      <w:proofErr w:type="gramEnd"/>
      <w:r w:rsidR="00BF510B">
        <w:rPr>
          <w:lang w:val="en-US"/>
        </w:rPr>
        <w:t xml:space="preserve"> default values, the conversion can take place without specifying these arguments, but it is </w:t>
      </w:r>
      <w:r w:rsidR="00BF510B" w:rsidRPr="00B73118">
        <w:rPr>
          <w:u w:val="single"/>
          <w:lang w:val="en-US"/>
        </w:rPr>
        <w:t>recommended</w:t>
      </w:r>
      <w:r w:rsidR="00BF510B">
        <w:rPr>
          <w:lang w:val="en-US"/>
        </w:rPr>
        <w:t xml:space="preserve"> that you at least give a value for the authority ID as this will link the resource to your institution. Before </w:t>
      </w:r>
      <w:r w:rsidR="00E12CB3">
        <w:rPr>
          <w:lang w:val="en-US"/>
        </w:rPr>
        <w:t>explaining</w:t>
      </w:r>
      <w:r w:rsidR="00BF510B">
        <w:rPr>
          <w:lang w:val="en-US"/>
        </w:rPr>
        <w:t xml:space="preserve"> which arguments to use, </w:t>
      </w:r>
      <w:r w:rsidR="00E12CB3">
        <w:rPr>
          <w:lang w:val="en-US"/>
        </w:rPr>
        <w:t>a</w:t>
      </w:r>
      <w:r w:rsidR="00BF510B">
        <w:rPr>
          <w:lang w:val="en-US"/>
        </w:rPr>
        <w:t xml:space="preserve"> brief overview of the </w:t>
      </w:r>
      <w:r w:rsidR="00E12CB3">
        <w:rPr>
          <w:lang w:val="en-US"/>
        </w:rPr>
        <w:t xml:space="preserve">resource identifiers by </w:t>
      </w:r>
      <w:proofErr w:type="spellStart"/>
      <w:r w:rsidR="00E12CB3">
        <w:rPr>
          <w:lang w:val="en-US"/>
        </w:rPr>
        <w:t>QuakeML</w:t>
      </w:r>
      <w:proofErr w:type="spellEnd"/>
      <w:r w:rsidR="00E12CB3">
        <w:rPr>
          <w:lang w:val="en-US"/>
        </w:rPr>
        <w:t xml:space="preserve"> is given.</w:t>
      </w:r>
    </w:p>
    <w:p w14:paraId="1AE7D47D" w14:textId="58D5DD54" w:rsidR="002D2E1B" w:rsidRDefault="002D2E1B" w:rsidP="00D50578">
      <w:pPr>
        <w:rPr>
          <w:lang w:val="en-US"/>
        </w:rPr>
      </w:pPr>
      <w:r>
        <w:rPr>
          <w:lang w:val="en-US"/>
        </w:rPr>
        <w:t xml:space="preserve">As written in the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documentation</w:t>
      </w:r>
      <w:r w:rsidR="00EA09D3" w:rsidRPr="00EA09D3">
        <w:rPr>
          <w:vertAlign w:val="superscript"/>
          <w:lang w:val="en-US"/>
        </w:rPr>
        <w:t>1</w:t>
      </w:r>
      <w:r>
        <w:rPr>
          <w:lang w:val="en-US"/>
        </w:rPr>
        <w:t xml:space="preserve">, the identifiers </w:t>
      </w:r>
      <w:r w:rsidR="007C51E4">
        <w:rPr>
          <w:lang w:val="en-US"/>
        </w:rPr>
        <w:t xml:space="preserve">should </w:t>
      </w:r>
      <w:r w:rsidR="00711D86">
        <w:rPr>
          <w:lang w:val="en-US"/>
        </w:rPr>
        <w:t>follow</w:t>
      </w:r>
      <w:r>
        <w:rPr>
          <w:lang w:val="en-US"/>
        </w:rPr>
        <w:t xml:space="preserve"> this generic form:</w:t>
      </w:r>
    </w:p>
    <w:p w14:paraId="2660BAA5" w14:textId="6435F828" w:rsidR="002D2E1B" w:rsidRDefault="002D2E1B" w:rsidP="00D50578">
      <w:pPr>
        <w:rPr>
          <w:i/>
          <w:iCs/>
          <w:lang w:val="en-US"/>
        </w:rPr>
      </w:pPr>
      <w:r w:rsidRPr="002D2E1B">
        <w:rPr>
          <w:i/>
          <w:iCs/>
          <w:lang w:val="en-US"/>
        </w:rPr>
        <w:t>[</w:t>
      </w:r>
      <w:proofErr w:type="spellStart"/>
      <w:r w:rsidRPr="002D2E1B">
        <w:rPr>
          <w:i/>
          <w:iCs/>
          <w:lang w:val="en-US"/>
        </w:rPr>
        <w:t>smi|</w:t>
      </w:r>
      <w:proofErr w:type="gramStart"/>
      <w:r w:rsidRPr="002D2E1B">
        <w:rPr>
          <w:i/>
          <w:iCs/>
          <w:lang w:val="en-US"/>
        </w:rPr>
        <w:t>quakeml</w:t>
      </w:r>
      <w:proofErr w:type="spellEnd"/>
      <w:r w:rsidRPr="002D2E1B">
        <w:rPr>
          <w:i/>
          <w:iCs/>
          <w:lang w:val="en-US"/>
        </w:rPr>
        <w:t>]:</w:t>
      </w:r>
      <w:r>
        <w:rPr>
          <w:i/>
          <w:iCs/>
          <w:lang w:val="en-US"/>
        </w:rPr>
        <w:t>&lt;</w:t>
      </w:r>
      <w:proofErr w:type="gramEnd"/>
      <w:r w:rsidRPr="002D2E1B">
        <w:rPr>
          <w:i/>
          <w:iCs/>
          <w:lang w:val="en-US"/>
        </w:rPr>
        <w:t>authority-id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/</w:t>
      </w:r>
      <w:r>
        <w:rPr>
          <w:i/>
          <w:iCs/>
          <w:lang w:val="en-US"/>
        </w:rPr>
        <w:t>&lt;</w:t>
      </w:r>
      <w:r w:rsidRPr="002D2E1B">
        <w:rPr>
          <w:i/>
          <w:iCs/>
          <w:lang w:val="en-US"/>
        </w:rPr>
        <w:t>resource-id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[#</w:t>
      </w:r>
      <w:r>
        <w:rPr>
          <w:i/>
          <w:iCs/>
          <w:lang w:val="en-US"/>
        </w:rPr>
        <w:t>&lt;</w:t>
      </w:r>
      <w:r w:rsidRPr="002D2E1B">
        <w:rPr>
          <w:i/>
          <w:iCs/>
          <w:lang w:val="en-US"/>
        </w:rPr>
        <w:t>local-id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]</w:t>
      </w:r>
    </w:p>
    <w:p w14:paraId="057E153D" w14:textId="70D40D51" w:rsidR="0094292A" w:rsidRDefault="0094292A" w:rsidP="00D50578">
      <w:pPr>
        <w:rPr>
          <w:lang w:val="en-US"/>
        </w:rPr>
      </w:pPr>
      <w:r>
        <w:rPr>
          <w:lang w:val="en-US"/>
        </w:rPr>
        <w:t>More explicitly</w:t>
      </w:r>
      <w:r w:rsidR="00F539B4">
        <w:rPr>
          <w:lang w:val="en-US"/>
        </w:rPr>
        <w:t xml:space="preserve"> the id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this schema pattern:</w:t>
      </w:r>
    </w:p>
    <w:p w14:paraId="62F786DA" w14:textId="2D2E642A" w:rsidR="0094292A" w:rsidRPr="0094292A" w:rsidRDefault="0094292A" w:rsidP="0094292A">
      <w:pPr>
        <w:rPr>
          <w:i/>
          <w:iCs/>
          <w:lang w:val="en-US"/>
        </w:rPr>
      </w:pPr>
      <w:proofErr w:type="gramStart"/>
      <w:r w:rsidRPr="0094292A">
        <w:rPr>
          <w:i/>
          <w:iCs/>
          <w:lang w:val="en-US"/>
        </w:rPr>
        <w:t xml:space="preserve">( </w:t>
      </w:r>
      <w:proofErr w:type="spellStart"/>
      <w:r w:rsidRPr="0094292A">
        <w:rPr>
          <w:i/>
          <w:iCs/>
          <w:lang w:val="en-US"/>
        </w:rPr>
        <w:t>smi</w:t>
      </w:r>
      <w:proofErr w:type="spellEnd"/>
      <w:proofErr w:type="gramEnd"/>
      <w:r w:rsidRPr="0094292A">
        <w:rPr>
          <w:i/>
          <w:iCs/>
          <w:lang w:val="en-US"/>
        </w:rPr>
        <w:t xml:space="preserve"> | </w:t>
      </w:r>
      <w:proofErr w:type="spellStart"/>
      <w:proofErr w:type="gramStart"/>
      <w:r w:rsidRPr="0094292A">
        <w:rPr>
          <w:i/>
          <w:iCs/>
          <w:lang w:val="en-US"/>
        </w:rPr>
        <w:t>quakeml</w:t>
      </w:r>
      <w:proofErr w:type="spellEnd"/>
      <w:r w:rsidRPr="0094292A">
        <w:rPr>
          <w:i/>
          <w:iCs/>
          <w:lang w:val="en-US"/>
        </w:rPr>
        <w:t xml:space="preserve"> )</w:t>
      </w:r>
      <w:proofErr w:type="gramEnd"/>
      <w:r w:rsidRPr="0094292A">
        <w:rPr>
          <w:i/>
          <w:iCs/>
          <w:lang w:val="en-US"/>
        </w:rPr>
        <w:t xml:space="preserve"> : [ </w:t>
      </w:r>
      <w:proofErr w:type="gramStart"/>
      <w:r w:rsidRPr="0094292A">
        <w:rPr>
          <w:i/>
          <w:iCs/>
          <w:lang w:val="en-US"/>
        </w:rPr>
        <w:t>\w\d ]</w:t>
      </w:r>
      <w:proofErr w:type="gramEnd"/>
      <w:r w:rsidRPr="0094292A">
        <w:rPr>
          <w:i/>
          <w:iCs/>
          <w:lang w:val="en-US"/>
        </w:rPr>
        <w:t xml:space="preserve"> [ \w\d \−\.\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</w:t>
      </w:r>
      <w:proofErr w:type="gramEnd"/>
      <w:r w:rsidRPr="0094292A">
        <w:rPr>
          <w:i/>
          <w:iCs/>
          <w:lang w:val="en-US"/>
        </w:rPr>
        <w:t xml:space="preserve">\) </w:t>
      </w:r>
      <w:proofErr w:type="gramStart"/>
      <w:r w:rsidRPr="0094292A">
        <w:rPr>
          <w:rFonts w:ascii="Calibri" w:hAnsi="Calibri" w:cs="Calibri"/>
          <w:i/>
          <w:iCs/>
          <w:lang w:val="en-US"/>
        </w:rPr>
        <w:t>˜</w:t>
      </w:r>
      <w:r w:rsidRPr="0094292A">
        <w:rPr>
          <w:i/>
          <w:iCs/>
          <w:lang w:val="en-US"/>
        </w:rPr>
        <w:t xml:space="preserve"> </w:t>
      </w:r>
      <w:r w:rsidRPr="0094292A">
        <w:rPr>
          <w:rFonts w:ascii="Calibri" w:hAnsi="Calibri" w:cs="Calibri"/>
          <w:i/>
          <w:iCs/>
          <w:lang w:val="en-US"/>
        </w:rPr>
        <w:t>’</w:t>
      </w:r>
      <w:proofErr w:type="gramEnd"/>
      <w:r w:rsidRPr="0094292A">
        <w:rPr>
          <w:i/>
          <w:iCs/>
          <w:lang w:val="en-US"/>
        </w:rPr>
        <w:t xml:space="preserve"> ] </w:t>
      </w:r>
      <w:proofErr w:type="gramStart"/>
      <w:r w:rsidRPr="0094292A">
        <w:rPr>
          <w:i/>
          <w:iCs/>
          <w:lang w:val="en-US"/>
        </w:rPr>
        <w:t>{ 2</w:t>
      </w:r>
      <w:proofErr w:type="gramEnd"/>
      <w:r w:rsidRPr="0094292A">
        <w:rPr>
          <w:i/>
          <w:iCs/>
          <w:lang w:val="en-US"/>
        </w:rPr>
        <w:t xml:space="preserve"> </w:t>
      </w:r>
      <w:proofErr w:type="gramStart"/>
      <w:r w:rsidRPr="0094292A">
        <w:rPr>
          <w:i/>
          <w:iCs/>
          <w:lang w:val="en-US"/>
        </w:rPr>
        <w:t>, }</w:t>
      </w:r>
      <w:proofErr w:type="gramEnd"/>
      <w:r w:rsidRPr="0094292A">
        <w:rPr>
          <w:i/>
          <w:iCs/>
          <w:lang w:val="en-US"/>
        </w:rPr>
        <w:t xml:space="preserve"> / [ \w\d \</w:t>
      </w:r>
      <w:r w:rsidRPr="0094292A">
        <w:rPr>
          <w:rFonts w:ascii="Calibri" w:hAnsi="Calibri" w:cs="Calibri"/>
          <w:i/>
          <w:iCs/>
          <w:lang w:val="en-US"/>
        </w:rPr>
        <w:t>−</w:t>
      </w:r>
      <w:r w:rsidRPr="0094292A">
        <w:rPr>
          <w:i/>
          <w:iCs/>
          <w:lang w:val="en-US"/>
        </w:rPr>
        <w:t>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\(\)˜</w:t>
      </w:r>
      <w:proofErr w:type="gramEnd"/>
      <w:r w:rsidRPr="0094292A">
        <w:rPr>
          <w:i/>
          <w:iCs/>
          <w:lang w:val="en-US"/>
        </w:rPr>
        <w:t xml:space="preserve"> </w:t>
      </w:r>
      <w:proofErr w:type="gramStart"/>
      <w:r w:rsidRPr="0094292A">
        <w:rPr>
          <w:i/>
          <w:iCs/>
          <w:lang w:val="en-US"/>
        </w:rPr>
        <w:t>’ ]</w:t>
      </w:r>
      <w:proofErr w:type="gramEnd"/>
      <w:r w:rsidRPr="0094292A">
        <w:rPr>
          <w:i/>
          <w:iCs/>
          <w:lang w:val="en-US"/>
        </w:rPr>
        <w:t xml:space="preserve"> [ \w\d \−\.\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</w:t>
      </w:r>
      <w:proofErr w:type="gramEnd"/>
      <w:r w:rsidRPr="0094292A">
        <w:rPr>
          <w:i/>
          <w:iCs/>
          <w:lang w:val="en-US"/>
        </w:rPr>
        <w:t>\) \+</w:t>
      </w:r>
      <w:proofErr w:type="gramStart"/>
      <w:r w:rsidRPr="0094292A">
        <w:rPr>
          <w:i/>
          <w:iCs/>
          <w:lang w:val="en-US"/>
        </w:rPr>
        <w:t>\?</w:t>
      </w:r>
      <w:r w:rsidRPr="0094292A">
        <w:rPr>
          <w:rFonts w:ascii="Calibri" w:hAnsi="Calibri" w:cs="Calibri"/>
          <w:i/>
          <w:iCs/>
          <w:lang w:val="en-US"/>
        </w:rPr>
        <w:t>˜</w:t>
      </w:r>
      <w:proofErr w:type="gramEnd"/>
      <w:r w:rsidRPr="0094292A">
        <w:rPr>
          <w:rFonts w:ascii="Calibri" w:hAnsi="Calibri" w:cs="Calibri"/>
          <w:i/>
          <w:iCs/>
          <w:lang w:val="en-US"/>
        </w:rPr>
        <w:t>’</w:t>
      </w:r>
      <w:proofErr w:type="gramStart"/>
      <w:r w:rsidRPr="0094292A">
        <w:rPr>
          <w:i/>
          <w:iCs/>
          <w:lang w:val="en-US"/>
        </w:rPr>
        <w:t>=,;</w:t>
      </w:r>
      <w:proofErr w:type="gramEnd"/>
      <w:r w:rsidRPr="0094292A">
        <w:rPr>
          <w:i/>
          <w:iCs/>
          <w:lang w:val="en-US"/>
        </w:rPr>
        <w:t>#/&amp;</w:t>
      </w:r>
      <w:proofErr w:type="gramStart"/>
      <w:r w:rsidRPr="0094292A">
        <w:rPr>
          <w:i/>
          <w:iCs/>
          <w:lang w:val="en-US"/>
        </w:rPr>
        <w:t>amp ;</w:t>
      </w:r>
      <w:proofErr w:type="gramEnd"/>
      <w:r w:rsidRPr="0094292A">
        <w:rPr>
          <w:i/>
          <w:iCs/>
          <w:lang w:val="en-US"/>
        </w:rPr>
        <w:t xml:space="preserve"> ] 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</w:p>
    <w:p w14:paraId="4D87DFB8" w14:textId="08016B3C" w:rsidR="0094292A" w:rsidRDefault="00711D86" w:rsidP="00D50578">
      <w:pPr>
        <w:rPr>
          <w:lang w:val="en-US"/>
        </w:rPr>
      </w:pPr>
      <w:r>
        <w:rPr>
          <w:lang w:val="en-US"/>
        </w:rPr>
        <w:t xml:space="preserve">The </w:t>
      </w:r>
      <w:r w:rsidRPr="009D6469">
        <w:rPr>
          <w:u w:val="single"/>
          <w:lang w:val="en-US"/>
        </w:rPr>
        <w:t xml:space="preserve">two first </w:t>
      </w:r>
      <w:proofErr w:type="gramStart"/>
      <w:r w:rsidRPr="009D6469">
        <w:rPr>
          <w:u w:val="single"/>
          <w:lang w:val="en-US"/>
        </w:rPr>
        <w:t>part</w:t>
      </w:r>
      <w:proofErr w:type="gramEnd"/>
      <w:r w:rsidRPr="009D6469">
        <w:rPr>
          <w:u w:val="single"/>
          <w:lang w:val="en-US"/>
        </w:rPr>
        <w:t xml:space="preserve"> of this identifier </w:t>
      </w:r>
      <w:proofErr w:type="gramStart"/>
      <w:r w:rsidRPr="009D6469">
        <w:rPr>
          <w:u w:val="single"/>
          <w:lang w:val="en-US"/>
        </w:rPr>
        <w:t>is</w:t>
      </w:r>
      <w:proofErr w:type="gramEnd"/>
      <w:r w:rsidRPr="009D6469">
        <w:rPr>
          <w:u w:val="single"/>
          <w:lang w:val="en-US"/>
        </w:rPr>
        <w:t xml:space="preserve"> configurable</w:t>
      </w:r>
      <w:r>
        <w:rPr>
          <w:lang w:val="en-US"/>
        </w:rPr>
        <w:t xml:space="preserve"> in the application by the arguments </w:t>
      </w:r>
      <w:r w:rsidRPr="00711D86">
        <w:rPr>
          <w:i/>
          <w:iCs/>
          <w:lang w:val="en-US"/>
        </w:rPr>
        <w:t>prefix</w:t>
      </w:r>
      <w:r>
        <w:rPr>
          <w:lang w:val="en-US"/>
        </w:rPr>
        <w:t xml:space="preserve"> and </w:t>
      </w:r>
      <w:r w:rsidRPr="00711D86">
        <w:rPr>
          <w:i/>
          <w:iCs/>
          <w:lang w:val="en-US"/>
        </w:rPr>
        <w:t>agency</w:t>
      </w:r>
      <w:r>
        <w:rPr>
          <w:lang w:val="en-US"/>
        </w:rPr>
        <w:t xml:space="preserve">. </w:t>
      </w:r>
    </w:p>
    <w:p w14:paraId="50A2140F" w14:textId="752BC04B" w:rsidR="005C0FEA" w:rsidRDefault="005C0FEA" w:rsidP="005C0FEA">
      <w:pPr>
        <w:pStyle w:val="Overskrift2"/>
        <w:rPr>
          <w:lang w:val="en-US"/>
        </w:rPr>
      </w:pPr>
      <w:r>
        <w:rPr>
          <w:lang w:val="en-US"/>
        </w:rPr>
        <w:t>Prefix</w:t>
      </w:r>
    </w:p>
    <w:p w14:paraId="17A7DB72" w14:textId="0F33BC93" w:rsidR="005C0FEA" w:rsidRPr="005C0FEA" w:rsidRDefault="00711D86" w:rsidP="005C0FEA">
      <w:pPr>
        <w:rPr>
          <w:lang w:val="en-US"/>
        </w:rPr>
      </w:pPr>
      <w:r w:rsidRPr="005C0FEA">
        <w:rPr>
          <w:lang w:val="en-US"/>
        </w:rPr>
        <w:t xml:space="preserve">The prefix argument </w:t>
      </w:r>
      <w:r w:rsidR="00FF6622" w:rsidRPr="005C0FEA">
        <w:rPr>
          <w:lang w:val="en-US"/>
        </w:rPr>
        <w:t>takes a sting value that should be either “</w:t>
      </w:r>
      <w:proofErr w:type="spellStart"/>
      <w:r w:rsidR="00FF6622" w:rsidRPr="005C0FEA">
        <w:rPr>
          <w:lang w:val="en-US"/>
        </w:rPr>
        <w:t>smi</w:t>
      </w:r>
      <w:proofErr w:type="spellEnd"/>
      <w:r w:rsidR="00FF6622" w:rsidRPr="005C0FEA">
        <w:rPr>
          <w:lang w:val="en-US"/>
        </w:rPr>
        <w:t>”</w:t>
      </w:r>
      <w:r w:rsidR="004A2A36">
        <w:rPr>
          <w:lang w:val="en-US"/>
        </w:rPr>
        <w:t xml:space="preserve"> </w:t>
      </w:r>
      <w:r w:rsidR="00FF6622" w:rsidRPr="005C0FEA">
        <w:rPr>
          <w:lang w:val="en-US"/>
        </w:rPr>
        <w:t>or “</w:t>
      </w:r>
      <w:proofErr w:type="spellStart"/>
      <w:r w:rsidR="00FF6622" w:rsidRPr="005C0FEA">
        <w:rPr>
          <w:lang w:val="en-US"/>
        </w:rPr>
        <w:t>quakeml</w:t>
      </w:r>
      <w:proofErr w:type="spellEnd"/>
      <w:r w:rsidR="00FF6622" w:rsidRPr="005C0FEA">
        <w:rPr>
          <w:lang w:val="en-US"/>
        </w:rPr>
        <w:t xml:space="preserve">”. </w:t>
      </w:r>
      <w:r w:rsidR="004A2A36">
        <w:rPr>
          <w:lang w:val="en-US"/>
        </w:rPr>
        <w:t>The default value is “</w:t>
      </w:r>
      <w:proofErr w:type="spellStart"/>
      <w:r w:rsidR="004A2A36">
        <w:rPr>
          <w:lang w:val="en-US"/>
        </w:rPr>
        <w:t>smi</w:t>
      </w:r>
      <w:proofErr w:type="spellEnd"/>
      <w:r w:rsidR="004A2A36">
        <w:rPr>
          <w:lang w:val="en-US"/>
        </w:rPr>
        <w:t>” and if you want to change this,</w:t>
      </w:r>
      <w:r w:rsidR="00FF6622" w:rsidRPr="005C0FEA">
        <w:rPr>
          <w:lang w:val="en-US"/>
        </w:rPr>
        <w:t xml:space="preserve"> simpl</w:t>
      </w:r>
      <w:r w:rsidR="004A2A36">
        <w:rPr>
          <w:lang w:val="en-US"/>
        </w:rPr>
        <w:t>y</w:t>
      </w:r>
      <w:r w:rsidR="00FF6622" w:rsidRPr="005C0FEA">
        <w:rPr>
          <w:lang w:val="en-US"/>
        </w:rPr>
        <w:t xml:space="preserve"> attach --prefix</w:t>
      </w:r>
      <w:proofErr w:type="gramStart"/>
      <w:r w:rsidR="00FF6622" w:rsidRPr="005C0FEA">
        <w:rPr>
          <w:lang w:val="en-US"/>
        </w:rPr>
        <w:t>=”</w:t>
      </w:r>
      <w:proofErr w:type="spellStart"/>
      <w:r w:rsidR="00FF6622" w:rsidRPr="005C0FEA">
        <w:rPr>
          <w:lang w:val="en-US"/>
        </w:rPr>
        <w:t>quakeml</w:t>
      </w:r>
      <w:proofErr w:type="spellEnd"/>
      <w:proofErr w:type="gramEnd"/>
      <w:r w:rsidR="00FF6622" w:rsidRPr="005C0FEA">
        <w:rPr>
          <w:lang w:val="en-US"/>
        </w:rPr>
        <w:t xml:space="preserve">” when running the application. </w:t>
      </w:r>
      <w:r w:rsidR="00433679" w:rsidRPr="005C0FEA">
        <w:rPr>
          <w:lang w:val="en-US"/>
        </w:rPr>
        <w:t>“</w:t>
      </w:r>
      <w:proofErr w:type="spellStart"/>
      <w:r w:rsidR="00433679" w:rsidRPr="005C0FEA">
        <w:rPr>
          <w:lang w:val="en-US"/>
        </w:rPr>
        <w:t>smi</w:t>
      </w:r>
      <w:proofErr w:type="spellEnd"/>
      <w:r w:rsidR="00433679" w:rsidRPr="005C0FEA">
        <w:rPr>
          <w:lang w:val="en-US"/>
        </w:rPr>
        <w:t xml:space="preserve">” stands for seismological meta-information. </w:t>
      </w:r>
    </w:p>
    <w:p w14:paraId="0E108C46" w14:textId="0B8B2C6B" w:rsidR="005C0FEA" w:rsidRDefault="005C0FEA" w:rsidP="005C0FEA">
      <w:pPr>
        <w:pStyle w:val="Overskrift2"/>
        <w:rPr>
          <w:lang w:val="en-US"/>
        </w:rPr>
      </w:pPr>
      <w:r>
        <w:rPr>
          <w:lang w:val="en-US"/>
        </w:rPr>
        <w:t>A</w:t>
      </w:r>
      <w:r w:rsidR="00F539B4">
        <w:rPr>
          <w:lang w:val="en-US"/>
        </w:rPr>
        <w:t>gency</w:t>
      </w:r>
    </w:p>
    <w:p w14:paraId="44F3F9F5" w14:textId="0CFCE60C" w:rsidR="005C0FEA" w:rsidRDefault="00FF6622" w:rsidP="005C0FEA">
      <w:pPr>
        <w:rPr>
          <w:lang w:val="en-US"/>
        </w:rPr>
      </w:pPr>
      <w:r w:rsidRPr="005C0FEA">
        <w:rPr>
          <w:lang w:val="en-US"/>
        </w:rPr>
        <w:t>Similarly, the authority-id can be configured by attaching --agency=”</w:t>
      </w:r>
      <w:r w:rsidR="006963BC" w:rsidRPr="005C0FEA">
        <w:rPr>
          <w:lang w:val="en-US"/>
        </w:rPr>
        <w:t xml:space="preserve">&lt;your </w:t>
      </w:r>
      <w:r w:rsidR="00F539B4">
        <w:rPr>
          <w:lang w:val="en-US"/>
        </w:rPr>
        <w:t>authority</w:t>
      </w:r>
      <w:r w:rsidR="006963BC" w:rsidRPr="005C0FEA">
        <w:rPr>
          <w:lang w:val="en-US"/>
        </w:rPr>
        <w:t>-id&gt;</w:t>
      </w:r>
      <w:r w:rsidRPr="005C0FEA">
        <w:rPr>
          <w:lang w:val="en-US"/>
        </w:rPr>
        <w:t>”</w:t>
      </w:r>
      <w:r w:rsidR="006963BC" w:rsidRPr="005C0FEA">
        <w:rPr>
          <w:lang w:val="en-US"/>
        </w:rPr>
        <w:t xml:space="preserve">, </w:t>
      </w:r>
      <w:r w:rsidR="0094292A" w:rsidRPr="005C0FEA">
        <w:rPr>
          <w:lang w:val="en-US"/>
        </w:rPr>
        <w:t xml:space="preserve">which should be at least 3 characters with the first </w:t>
      </w:r>
      <w:proofErr w:type="spellStart"/>
      <w:r w:rsidR="0094292A" w:rsidRPr="005C0FEA">
        <w:rPr>
          <w:lang w:val="en-US"/>
        </w:rPr>
        <w:t>charcter</w:t>
      </w:r>
      <w:proofErr w:type="spellEnd"/>
      <w:r w:rsidR="0094292A" w:rsidRPr="005C0FEA">
        <w:rPr>
          <w:lang w:val="en-US"/>
        </w:rPr>
        <w:t xml:space="preserve"> as</w:t>
      </w:r>
      <w:r w:rsidR="006963BC" w:rsidRPr="005C0FEA">
        <w:rPr>
          <w:lang w:val="en-US"/>
        </w:rPr>
        <w:t xml:space="preserve"> alphanumeric</w:t>
      </w:r>
      <w:r w:rsidR="0094292A" w:rsidRPr="005C0FEA">
        <w:rPr>
          <w:lang w:val="en-US"/>
        </w:rPr>
        <w:t xml:space="preserve">, while subsequent characters can be </w:t>
      </w:r>
      <w:proofErr w:type="spellStart"/>
      <w:r w:rsidR="0094292A" w:rsidRPr="005C0FEA">
        <w:rPr>
          <w:lang w:val="en-US"/>
        </w:rPr>
        <w:t>alphanum</w:t>
      </w:r>
      <w:proofErr w:type="spellEnd"/>
      <w:r w:rsidR="006963BC" w:rsidRPr="005C0FEA">
        <w:rPr>
          <w:lang w:val="en-US"/>
        </w:rPr>
        <w:t xml:space="preserve"> or from the following list: -,  _,  ., ~ , *, ’, (, ).</w:t>
      </w:r>
      <w:r w:rsidR="005C0FEA" w:rsidRPr="005C0FEA">
        <w:rPr>
          <w:lang w:val="en-US"/>
        </w:rPr>
        <w:br/>
      </w:r>
      <w:r w:rsidR="005C0FEA" w:rsidRPr="005C0FEA">
        <w:rPr>
          <w:lang w:val="en-US"/>
        </w:rPr>
        <w:lastRenderedPageBreak/>
        <w:br/>
        <w:t>The agency-id should follow this form:</w:t>
      </w:r>
      <w:r w:rsidR="005C0FEA" w:rsidRPr="005C0FEA">
        <w:rPr>
          <w:lang w:val="en-US"/>
        </w:rPr>
        <w:br/>
        <w:t>&lt;top-level domain&gt;.&lt;</w:t>
      </w:r>
      <w:proofErr w:type="spellStart"/>
      <w:r w:rsidR="005C0FEA" w:rsidRPr="005C0FEA">
        <w:rPr>
          <w:lang w:val="en-US"/>
        </w:rPr>
        <w:t>organisation</w:t>
      </w:r>
      <w:proofErr w:type="spellEnd"/>
      <w:r w:rsidR="005C0FEA" w:rsidRPr="005C0FEA">
        <w:rPr>
          <w:lang w:val="en-US"/>
        </w:rPr>
        <w:t xml:space="preserve">/institution&gt;[.&lt;sub-unit of </w:t>
      </w:r>
      <w:proofErr w:type="spellStart"/>
      <w:r w:rsidR="005C0FEA" w:rsidRPr="005C0FEA">
        <w:rPr>
          <w:lang w:val="en-US"/>
        </w:rPr>
        <w:t>organisation</w:t>
      </w:r>
      <w:proofErr w:type="spellEnd"/>
      <w:r w:rsidR="005C0FEA" w:rsidRPr="005C0FEA">
        <w:rPr>
          <w:lang w:val="en-US"/>
        </w:rPr>
        <w:t>&gt;]</w:t>
      </w:r>
    </w:p>
    <w:p w14:paraId="1F7B062B" w14:textId="6D9B652D" w:rsidR="005C0FEA" w:rsidRDefault="005C0FEA" w:rsidP="005C0FEA">
      <w:pPr>
        <w:rPr>
          <w:lang w:val="en-US"/>
        </w:rPr>
      </w:pPr>
      <w:r>
        <w:rPr>
          <w:lang w:val="en-US"/>
        </w:rPr>
        <w:t>An example can be “</w:t>
      </w:r>
      <w:proofErr w:type="spellStart"/>
      <w:proofErr w:type="gramStart"/>
      <w:r>
        <w:rPr>
          <w:lang w:val="en-US"/>
        </w:rPr>
        <w:t>no.uib.nnsn</w:t>
      </w:r>
      <w:proofErr w:type="spellEnd"/>
      <w:proofErr w:type="gramEnd"/>
      <w:r>
        <w:rPr>
          <w:lang w:val="en-US"/>
        </w:rPr>
        <w:t>”, where “no” (Norway) is the top-level country domain, “</w:t>
      </w:r>
      <w:proofErr w:type="spellStart"/>
      <w:r>
        <w:rPr>
          <w:lang w:val="en-US"/>
        </w:rPr>
        <w:t>uib</w:t>
      </w:r>
      <w:proofErr w:type="spellEnd"/>
      <w:r>
        <w:rPr>
          <w:lang w:val="en-US"/>
        </w:rPr>
        <w:t xml:space="preserve">” (University of Bergen) is the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and “</w:t>
      </w:r>
      <w:proofErr w:type="spellStart"/>
      <w:r>
        <w:rPr>
          <w:lang w:val="en-US"/>
        </w:rPr>
        <w:t>nnsn</w:t>
      </w:r>
      <w:proofErr w:type="spellEnd"/>
      <w:r>
        <w:rPr>
          <w:lang w:val="en-US"/>
        </w:rPr>
        <w:t>” (</w:t>
      </w:r>
      <w:r w:rsidRPr="005C0FEA">
        <w:rPr>
          <w:lang w:val="en-US"/>
        </w:rPr>
        <w:t>Norwegian National Seismic Network</w:t>
      </w:r>
      <w:r>
        <w:rPr>
          <w:lang w:val="en-US"/>
        </w:rPr>
        <w:t xml:space="preserve">) is the sub-unit of the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.</w:t>
      </w:r>
    </w:p>
    <w:p w14:paraId="7D85734B" w14:textId="4F937056" w:rsidR="00FD709E" w:rsidRPr="005C0FEA" w:rsidRDefault="00FD709E" w:rsidP="00FD709E">
      <w:pPr>
        <w:pStyle w:val="Overskrift2"/>
        <w:rPr>
          <w:lang w:val="en-US"/>
        </w:rPr>
      </w:pPr>
      <w:r>
        <w:rPr>
          <w:lang w:val="en-US"/>
        </w:rPr>
        <w:t>Example with ID generation</w:t>
      </w:r>
    </w:p>
    <w:p w14:paraId="6F7061DC" w14:textId="1F1DBFCF" w:rsidR="00F539B4" w:rsidRDefault="00221A06" w:rsidP="00221A06">
      <w:pPr>
        <w:rPr>
          <w:lang w:val="en-US"/>
        </w:rPr>
      </w:pPr>
      <w:r>
        <w:rPr>
          <w:lang w:val="en-US"/>
        </w:rPr>
        <w:t>Running the application for an s-file within the NNSN catalog could then look like this:</w:t>
      </w:r>
    </w:p>
    <w:p w14:paraId="5E267CF7" w14:textId="37B74BC1" w:rsidR="00C511FE" w:rsidRDefault="00C511FE" w:rsidP="00C511FE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0DE20A5A" w14:textId="3027F9E9" w:rsidR="00C511FE" w:rsidRPr="00C511FE" w:rsidRDefault="00C511FE" w:rsidP="00C511FE">
      <w:pPr>
        <w:ind w:left="720"/>
        <w:rPr>
          <w:i/>
          <w:iCs/>
          <w:lang w:val="en-US"/>
        </w:rPr>
      </w:pPr>
      <w:r w:rsidRPr="00C511FE">
        <w:rPr>
          <w:i/>
          <w:iCs/>
          <w:lang w:val="en-US"/>
        </w:rPr>
        <w:t>nor2qml --input=”/SEISMO/REA/NNSN_/2014/09” -output</w:t>
      </w:r>
      <w:proofErr w:type="gramStart"/>
      <w:r w:rsidRPr="00C511FE">
        <w:rPr>
          <w:i/>
          <w:iCs/>
          <w:lang w:val="en-US"/>
        </w:rPr>
        <w:t>=”/home/my-name/qml201409.xml</w:t>
      </w:r>
      <w:proofErr w:type="gramEnd"/>
      <w:r w:rsidRPr="00C511FE">
        <w:rPr>
          <w:i/>
          <w:iCs/>
          <w:lang w:val="en-US"/>
        </w:rPr>
        <w:t>” --</w:t>
      </w:r>
      <w:proofErr w:type="spellStart"/>
      <w:r w:rsidRPr="00C511FE">
        <w:rPr>
          <w:i/>
          <w:iCs/>
          <w:lang w:val="en-US"/>
        </w:rPr>
        <w:t>prefex</w:t>
      </w:r>
      <w:proofErr w:type="spellEnd"/>
      <w:proofErr w:type="gramStart"/>
      <w:r w:rsidRPr="00C511FE">
        <w:rPr>
          <w:i/>
          <w:iCs/>
          <w:lang w:val="en-US"/>
        </w:rPr>
        <w:t>=”</w:t>
      </w:r>
      <w:proofErr w:type="spellStart"/>
      <w:r w:rsidRPr="00C511FE">
        <w:rPr>
          <w:i/>
          <w:iCs/>
          <w:lang w:val="en-US"/>
        </w:rPr>
        <w:t>smi</w:t>
      </w:r>
      <w:proofErr w:type="spellEnd"/>
      <w:proofErr w:type="gramEnd"/>
      <w:r w:rsidRPr="00C511FE">
        <w:rPr>
          <w:i/>
          <w:iCs/>
          <w:lang w:val="en-US"/>
        </w:rPr>
        <w:t>” --agency</w:t>
      </w:r>
      <w:proofErr w:type="gramStart"/>
      <w:r w:rsidRPr="00C511FE">
        <w:rPr>
          <w:i/>
          <w:iCs/>
          <w:lang w:val="en-US"/>
        </w:rPr>
        <w:t>=”</w:t>
      </w:r>
      <w:proofErr w:type="spellStart"/>
      <w:r w:rsidRPr="00C511FE">
        <w:rPr>
          <w:i/>
          <w:iCs/>
          <w:lang w:val="en-US"/>
        </w:rPr>
        <w:t>no.uib</w:t>
      </w:r>
      <w:proofErr w:type="gramEnd"/>
      <w:r w:rsidRPr="00C511FE">
        <w:rPr>
          <w:i/>
          <w:iCs/>
          <w:lang w:val="en-US"/>
        </w:rPr>
        <w:t>.nnsn</w:t>
      </w:r>
      <w:proofErr w:type="spellEnd"/>
      <w:r w:rsidRPr="00C511FE">
        <w:rPr>
          <w:i/>
          <w:iCs/>
          <w:lang w:val="en-US"/>
        </w:rPr>
        <w:t>”</w:t>
      </w:r>
    </w:p>
    <w:p w14:paraId="72742F88" w14:textId="77777777" w:rsidR="00C511FE" w:rsidRDefault="00C511FE" w:rsidP="00221A06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12D7FA54" w14:textId="1A039598" w:rsidR="00221A06" w:rsidRPr="00C511FE" w:rsidRDefault="00C511FE" w:rsidP="00C511FE">
      <w:pPr>
        <w:ind w:left="720"/>
        <w:rPr>
          <w:lang w:val="en-US"/>
        </w:rPr>
      </w:pPr>
      <w:r>
        <w:rPr>
          <w:i/>
          <w:iCs/>
          <w:lang w:val="en-US"/>
        </w:rPr>
        <w:t xml:space="preserve">java -jar </w:t>
      </w:r>
      <w:r w:rsidR="00221A06" w:rsidRPr="00C511FE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="00221A06" w:rsidRPr="00C511FE">
        <w:rPr>
          <w:i/>
          <w:iCs/>
          <w:lang w:val="en-US"/>
        </w:rPr>
        <w:t xml:space="preserve"> --i</w:t>
      </w:r>
      <w:r w:rsidR="001D09AC" w:rsidRPr="00C511FE">
        <w:rPr>
          <w:i/>
          <w:iCs/>
          <w:lang w:val="en-US"/>
        </w:rPr>
        <w:t>n</w:t>
      </w:r>
      <w:r w:rsidR="00221A06" w:rsidRPr="00C511FE">
        <w:rPr>
          <w:i/>
          <w:iCs/>
          <w:lang w:val="en-US"/>
        </w:rPr>
        <w:t>put=”</w:t>
      </w:r>
      <w:r w:rsidR="003E3685" w:rsidRPr="00C511FE">
        <w:rPr>
          <w:i/>
          <w:iCs/>
          <w:lang w:val="en-US"/>
        </w:rPr>
        <w:t>/</w:t>
      </w:r>
      <w:r w:rsidR="00221A06" w:rsidRPr="00C511FE">
        <w:rPr>
          <w:i/>
          <w:iCs/>
          <w:lang w:val="en-US"/>
        </w:rPr>
        <w:t>SEISMO/REA/NNSN_/2014/09”</w:t>
      </w:r>
      <w:r w:rsidR="003E3685" w:rsidRPr="00C511FE">
        <w:rPr>
          <w:i/>
          <w:iCs/>
          <w:lang w:val="en-US"/>
        </w:rPr>
        <w:t xml:space="preserve"> -output</w:t>
      </w:r>
      <w:proofErr w:type="gramStart"/>
      <w:r w:rsidR="003E3685" w:rsidRPr="00C511FE">
        <w:rPr>
          <w:i/>
          <w:iCs/>
          <w:lang w:val="en-US"/>
        </w:rPr>
        <w:t>=”/home/my-name/qml201409.xml</w:t>
      </w:r>
      <w:proofErr w:type="gramEnd"/>
      <w:r w:rsidR="003E3685" w:rsidRPr="00C511FE">
        <w:rPr>
          <w:i/>
          <w:iCs/>
          <w:lang w:val="en-US"/>
        </w:rPr>
        <w:t>”</w:t>
      </w:r>
      <w:r w:rsidR="00221A06" w:rsidRPr="00C511FE">
        <w:rPr>
          <w:i/>
          <w:iCs/>
          <w:lang w:val="en-US"/>
        </w:rPr>
        <w:t xml:space="preserve"> --</w:t>
      </w:r>
      <w:proofErr w:type="spellStart"/>
      <w:r w:rsidR="00221A06" w:rsidRPr="00C511FE">
        <w:rPr>
          <w:i/>
          <w:iCs/>
          <w:lang w:val="en-US"/>
        </w:rPr>
        <w:t>prefex</w:t>
      </w:r>
      <w:proofErr w:type="spellEnd"/>
      <w:proofErr w:type="gramStart"/>
      <w:r w:rsidR="00221A06" w:rsidRPr="00C511FE">
        <w:rPr>
          <w:i/>
          <w:iCs/>
          <w:lang w:val="en-US"/>
        </w:rPr>
        <w:t>=”</w:t>
      </w:r>
      <w:proofErr w:type="spellStart"/>
      <w:r w:rsidR="00221A06" w:rsidRPr="00C511FE">
        <w:rPr>
          <w:i/>
          <w:iCs/>
          <w:lang w:val="en-US"/>
        </w:rPr>
        <w:t>smi</w:t>
      </w:r>
      <w:proofErr w:type="spellEnd"/>
      <w:proofErr w:type="gramEnd"/>
      <w:r w:rsidR="00221A06" w:rsidRPr="00C511FE">
        <w:rPr>
          <w:i/>
          <w:iCs/>
          <w:lang w:val="en-US"/>
        </w:rPr>
        <w:t>” --agency</w:t>
      </w:r>
      <w:proofErr w:type="gramStart"/>
      <w:r w:rsidR="00221A06" w:rsidRPr="00C511FE">
        <w:rPr>
          <w:i/>
          <w:iCs/>
          <w:lang w:val="en-US"/>
        </w:rPr>
        <w:t>=”</w:t>
      </w:r>
      <w:proofErr w:type="spellStart"/>
      <w:r w:rsidR="00221A06" w:rsidRPr="00C511FE">
        <w:rPr>
          <w:i/>
          <w:iCs/>
          <w:lang w:val="en-US"/>
        </w:rPr>
        <w:t>no.uib</w:t>
      </w:r>
      <w:proofErr w:type="gramEnd"/>
      <w:r w:rsidR="00221A06" w:rsidRPr="00C511FE">
        <w:rPr>
          <w:i/>
          <w:iCs/>
          <w:lang w:val="en-US"/>
        </w:rPr>
        <w:t>.nnsn</w:t>
      </w:r>
      <w:proofErr w:type="spellEnd"/>
      <w:r w:rsidR="00221A06" w:rsidRPr="00C511FE">
        <w:rPr>
          <w:i/>
          <w:iCs/>
          <w:lang w:val="en-US"/>
        </w:rPr>
        <w:t>”</w:t>
      </w:r>
    </w:p>
    <w:p w14:paraId="79A0BDD6" w14:textId="20AA52B2" w:rsidR="00A859A0" w:rsidRDefault="004F29A4" w:rsidP="00A859A0">
      <w:pPr>
        <w:pStyle w:val="Overskrift1"/>
        <w:rPr>
          <w:lang w:val="en-US"/>
        </w:rPr>
      </w:pPr>
      <w:r>
        <w:rPr>
          <w:lang w:val="en-US"/>
        </w:rPr>
        <w:t xml:space="preserve">3. </w:t>
      </w:r>
      <w:r w:rsidR="00A859A0">
        <w:rPr>
          <w:lang w:val="en-US"/>
        </w:rPr>
        <w:t xml:space="preserve">Configure to convert from </w:t>
      </w:r>
      <w:proofErr w:type="spellStart"/>
      <w:r w:rsidR="00A859A0">
        <w:rPr>
          <w:lang w:val="en-US"/>
        </w:rPr>
        <w:t>QuakeML</w:t>
      </w:r>
      <w:proofErr w:type="spellEnd"/>
      <w:r w:rsidR="00A859A0">
        <w:rPr>
          <w:lang w:val="en-US"/>
        </w:rPr>
        <w:t xml:space="preserve"> to </w:t>
      </w:r>
      <w:r w:rsidR="00ED50A4">
        <w:rPr>
          <w:lang w:val="en-US"/>
        </w:rPr>
        <w:t>Nordic</w:t>
      </w:r>
    </w:p>
    <w:p w14:paraId="6BE7CA36" w14:textId="2F058909" w:rsidR="00ED50A4" w:rsidRDefault="00ED50A4" w:rsidP="00ED50A4">
      <w:pPr>
        <w:rPr>
          <w:lang w:val="en-US"/>
        </w:rPr>
      </w:pPr>
      <w:r>
        <w:rPr>
          <w:lang w:val="en-US"/>
        </w:rPr>
        <w:t xml:space="preserve">Conversion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the Nordic format can be achieved from two different sources, </w:t>
      </w:r>
      <w:r w:rsidR="00157019">
        <w:rPr>
          <w:lang w:val="en-US"/>
        </w:rPr>
        <w:t>an</w:t>
      </w:r>
      <w:r>
        <w:rPr>
          <w:lang w:val="en-US"/>
        </w:rPr>
        <w:t xml:space="preserve"> XML file or a web-service.</w:t>
      </w:r>
    </w:p>
    <w:p w14:paraId="1FE88C7E" w14:textId="172D2D41" w:rsidR="00ED50A4" w:rsidRDefault="00ED50A4" w:rsidP="00ED50A4">
      <w:pPr>
        <w:pStyle w:val="Overskrift2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file to Nordic</w:t>
      </w:r>
    </w:p>
    <w:p w14:paraId="20BB16A3" w14:textId="3081B9BC" w:rsidR="007E7B97" w:rsidRDefault="00A0231C" w:rsidP="00ED50A4">
      <w:pPr>
        <w:rPr>
          <w:lang w:val="en-US"/>
        </w:rPr>
      </w:pPr>
      <w:r>
        <w:rPr>
          <w:lang w:val="en-US"/>
        </w:rPr>
        <w:t xml:space="preserve">To convert a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file to the Nordic format, </w:t>
      </w:r>
      <w:r w:rsidR="007E7B97">
        <w:rPr>
          <w:lang w:val="en-US"/>
        </w:rPr>
        <w:t>t</w:t>
      </w:r>
      <w:r w:rsidR="004E0114">
        <w:rPr>
          <w:lang w:val="en-US"/>
        </w:rPr>
        <w:t>hree</w:t>
      </w:r>
      <w:r w:rsidR="007E7B97">
        <w:rPr>
          <w:lang w:val="en-US"/>
        </w:rPr>
        <w:t xml:space="preserve"> arguments </w:t>
      </w:r>
      <w:proofErr w:type="gramStart"/>
      <w:r w:rsidR="007E7B97">
        <w:rPr>
          <w:lang w:val="en-US"/>
        </w:rPr>
        <w:t>is</w:t>
      </w:r>
      <w:proofErr w:type="gramEnd"/>
      <w:r w:rsidR="007E7B97">
        <w:rPr>
          <w:lang w:val="en-US"/>
        </w:rPr>
        <w:t xml:space="preserve"> required</w:t>
      </w:r>
      <w:r w:rsidR="004E0114">
        <w:rPr>
          <w:lang w:val="en-US"/>
        </w:rPr>
        <w:t>:</w:t>
      </w:r>
      <w:r w:rsidR="007E7B97">
        <w:rPr>
          <w:lang w:val="en-US"/>
        </w:rPr>
        <w:t xml:space="preserve"> </w:t>
      </w:r>
      <w:r w:rsidR="007E7B97" w:rsidRPr="007E7B97">
        <w:rPr>
          <w:i/>
          <w:iCs/>
          <w:lang w:val="en-US"/>
        </w:rPr>
        <w:t>convert</w:t>
      </w:r>
      <w:r w:rsidR="004E0114">
        <w:rPr>
          <w:lang w:val="en-US"/>
        </w:rPr>
        <w:t xml:space="preserve">, </w:t>
      </w:r>
      <w:r w:rsidR="007E7B97" w:rsidRPr="007E7B97">
        <w:rPr>
          <w:i/>
          <w:iCs/>
          <w:lang w:val="en-US"/>
        </w:rPr>
        <w:t>input</w:t>
      </w:r>
      <w:r w:rsidR="004E0114">
        <w:rPr>
          <w:i/>
          <w:iCs/>
          <w:lang w:val="en-US"/>
        </w:rPr>
        <w:t xml:space="preserve"> and output</w:t>
      </w:r>
      <w:r w:rsidR="007E7B97">
        <w:rPr>
          <w:lang w:val="en-US"/>
        </w:rPr>
        <w:t xml:space="preserve"> arguments. </w:t>
      </w:r>
      <w:r w:rsidR="00B16AA2">
        <w:rPr>
          <w:lang w:val="en-US"/>
        </w:rPr>
        <w:t xml:space="preserve">For </w:t>
      </w:r>
      <w:proofErr w:type="gramStart"/>
      <w:r w:rsidR="00B16AA2">
        <w:rPr>
          <w:lang w:val="en-US"/>
        </w:rPr>
        <w:t>SEISAN</w:t>
      </w:r>
      <w:proofErr w:type="gramEnd"/>
      <w:r w:rsidR="00B16AA2">
        <w:rPr>
          <w:lang w:val="en-US"/>
        </w:rPr>
        <w:t xml:space="preserve"> environment, the convert argument is already predefined and can thus be omitted. Description about the input and output parameters are given in the section above on how to run the application.</w:t>
      </w:r>
    </w:p>
    <w:p w14:paraId="3B2DD9E7" w14:textId="223570F6" w:rsidR="00ED50A4" w:rsidRDefault="00157019" w:rsidP="00ED50A4">
      <w:pPr>
        <w:rPr>
          <w:lang w:val="en-US"/>
        </w:rPr>
      </w:pPr>
      <w:r>
        <w:rPr>
          <w:lang w:val="en-US"/>
        </w:rPr>
        <w:t xml:space="preserve">For Java environment, </w:t>
      </w:r>
      <w:r w:rsidR="007E7B97">
        <w:rPr>
          <w:lang w:val="en-US"/>
        </w:rPr>
        <w:t xml:space="preserve">the convert argument is </w:t>
      </w:r>
      <w:r>
        <w:rPr>
          <w:lang w:val="en-US"/>
        </w:rPr>
        <w:t xml:space="preserve">by default </w:t>
      </w:r>
      <w:r w:rsidR="007E7B97">
        <w:rPr>
          <w:lang w:val="en-US"/>
        </w:rPr>
        <w:t xml:space="preserve">set to “q” (meaning </w:t>
      </w:r>
      <w:proofErr w:type="spellStart"/>
      <w:r w:rsidR="007E7B97">
        <w:rPr>
          <w:lang w:val="en-US"/>
        </w:rPr>
        <w:t>QuakeML</w:t>
      </w:r>
      <w:proofErr w:type="spellEnd"/>
      <w:r w:rsidR="007E7B97">
        <w:rPr>
          <w:lang w:val="en-US"/>
        </w:rPr>
        <w:t xml:space="preserve">), specifying </w:t>
      </w:r>
      <w:r>
        <w:rPr>
          <w:lang w:val="en-US"/>
        </w:rPr>
        <w:t>the output format</w:t>
      </w:r>
      <w:r w:rsidR="007E7B97">
        <w:rPr>
          <w:lang w:val="en-US"/>
        </w:rPr>
        <w:t xml:space="preserve">. </w:t>
      </w:r>
      <w:r>
        <w:rPr>
          <w:lang w:val="en-US"/>
        </w:rPr>
        <w:t xml:space="preserve">Similarity “s” can be given to point to s-file output in the Nordic format. Thus, </w:t>
      </w:r>
      <w:proofErr w:type="gramStart"/>
      <w:r>
        <w:rPr>
          <w:lang w:val="en-US"/>
        </w:rPr>
        <w:t>i</w:t>
      </w:r>
      <w:r w:rsidR="007E7B97">
        <w:rPr>
          <w:lang w:val="en-US"/>
        </w:rPr>
        <w:t>n order to</w:t>
      </w:r>
      <w:proofErr w:type="gramEnd"/>
      <w:r w:rsidR="007E7B97">
        <w:rPr>
          <w:lang w:val="en-US"/>
        </w:rPr>
        <w:t xml:space="preserve"> convert to Nordic, attach --convert</w:t>
      </w:r>
      <w:proofErr w:type="gramStart"/>
      <w:r w:rsidR="007E7B97">
        <w:rPr>
          <w:lang w:val="en-US"/>
        </w:rPr>
        <w:t>=”s</w:t>
      </w:r>
      <w:proofErr w:type="gramEnd"/>
      <w:r w:rsidR="007E7B97">
        <w:rPr>
          <w:lang w:val="en-US"/>
        </w:rPr>
        <w:t>” to the command.</w:t>
      </w:r>
      <w:r w:rsidR="00A211FC">
        <w:rPr>
          <w:lang w:val="en-US"/>
        </w:rPr>
        <w:t xml:space="preserve"> The order of arguments </w:t>
      </w:r>
      <w:r w:rsidR="00422DD5">
        <w:rPr>
          <w:lang w:val="en-US"/>
        </w:rPr>
        <w:t>does</w:t>
      </w:r>
      <w:r w:rsidR="00A211FC">
        <w:rPr>
          <w:lang w:val="en-US"/>
        </w:rPr>
        <w:t xml:space="preserve"> not matter.</w:t>
      </w:r>
    </w:p>
    <w:p w14:paraId="00B938C2" w14:textId="7DED4412" w:rsidR="006B561B" w:rsidRDefault="006B561B" w:rsidP="00ED50A4">
      <w:pPr>
        <w:rPr>
          <w:lang w:val="en-US"/>
        </w:rPr>
      </w:pPr>
      <w:r>
        <w:rPr>
          <w:lang w:val="en-US"/>
        </w:rPr>
        <w:t>The full command would then look like:</w:t>
      </w:r>
    </w:p>
    <w:p w14:paraId="47D057A2" w14:textId="501E6AF1" w:rsidR="00F73BB0" w:rsidRDefault="00F73BB0" w:rsidP="00F73BB0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39F96F6D" w14:textId="54C7C7E3" w:rsidR="00F73BB0" w:rsidRPr="00F73BB0" w:rsidRDefault="00F73BB0" w:rsidP="00F73BB0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qml2nor</w:t>
      </w:r>
      <w:r w:rsidRPr="00F73BB0">
        <w:rPr>
          <w:i/>
          <w:iCs/>
          <w:lang w:val="en-US"/>
        </w:rPr>
        <w:t xml:space="preserve"> --input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 --output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</w:t>
      </w:r>
    </w:p>
    <w:p w14:paraId="52B14012" w14:textId="488CD00E" w:rsidR="00F73BB0" w:rsidRDefault="00F73BB0" w:rsidP="00F73BB0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5D168E50" w14:textId="46157BBD" w:rsidR="00F73BB0" w:rsidRPr="00F73BB0" w:rsidRDefault="00F73BB0" w:rsidP="00F73BB0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java -jar </w:t>
      </w:r>
      <w:r w:rsidRPr="00F73BB0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="00197D03">
        <w:rPr>
          <w:i/>
          <w:iCs/>
          <w:lang w:val="en-US"/>
        </w:rPr>
        <w:t xml:space="preserve"> </w:t>
      </w:r>
      <w:r w:rsidR="00197D03" w:rsidRPr="00F73BB0">
        <w:rPr>
          <w:i/>
          <w:iCs/>
          <w:lang w:val="en-US"/>
        </w:rPr>
        <w:t>--convert</w:t>
      </w:r>
      <w:proofErr w:type="gramStart"/>
      <w:r w:rsidR="00197D03" w:rsidRPr="00F73BB0">
        <w:rPr>
          <w:i/>
          <w:iCs/>
          <w:lang w:val="en-US"/>
        </w:rPr>
        <w:t>=”s</w:t>
      </w:r>
      <w:proofErr w:type="gramEnd"/>
      <w:r w:rsidR="00197D03" w:rsidRPr="00F73BB0">
        <w:rPr>
          <w:i/>
          <w:iCs/>
          <w:lang w:val="en-US"/>
        </w:rPr>
        <w:t>”</w:t>
      </w:r>
      <w:r w:rsidRPr="00F73BB0">
        <w:rPr>
          <w:i/>
          <w:iCs/>
          <w:lang w:val="en-US"/>
        </w:rPr>
        <w:t xml:space="preserve"> --input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67FC3CB1" w14:textId="77777777" w:rsidR="00F73BB0" w:rsidRDefault="00F73BB0" w:rsidP="00F73BB0">
      <w:pPr>
        <w:pStyle w:val="Listeavsnitt"/>
        <w:rPr>
          <w:lang w:val="en-US"/>
        </w:rPr>
      </w:pPr>
    </w:p>
    <w:p w14:paraId="582D5EE7" w14:textId="0B2E6B45" w:rsidR="00ED50A4" w:rsidRDefault="00ED50A4" w:rsidP="00ED50A4">
      <w:pPr>
        <w:pStyle w:val="Overskrift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web-service to Nordic</w:t>
      </w:r>
    </w:p>
    <w:p w14:paraId="0ED5F263" w14:textId="7A0223B3" w:rsidR="004E0114" w:rsidRDefault="004E0114" w:rsidP="004E0114">
      <w:pPr>
        <w:rPr>
          <w:lang w:val="en-US"/>
        </w:rPr>
      </w:pPr>
      <w:r>
        <w:rPr>
          <w:lang w:val="en-US"/>
        </w:rPr>
        <w:t xml:space="preserve">Configuring to read from a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web-service requires four arguments</w:t>
      </w:r>
      <w:proofErr w:type="gramStart"/>
      <w:r>
        <w:rPr>
          <w:lang w:val="en-US"/>
        </w:rPr>
        <w:t xml:space="preserve">:  </w:t>
      </w:r>
      <w:r w:rsidRPr="004E0114">
        <w:rPr>
          <w:i/>
          <w:iCs/>
          <w:lang w:val="en-US"/>
        </w:rPr>
        <w:t>output</w:t>
      </w:r>
      <w:proofErr w:type="gramEnd"/>
      <w:r>
        <w:rPr>
          <w:lang w:val="en-US"/>
        </w:rPr>
        <w:t xml:space="preserve">, </w:t>
      </w:r>
      <w:r w:rsidRPr="004E0114">
        <w:rPr>
          <w:i/>
          <w:iCs/>
          <w:lang w:val="en-US"/>
        </w:rPr>
        <w:t>convert</w:t>
      </w:r>
      <w:r>
        <w:rPr>
          <w:lang w:val="en-US"/>
        </w:rPr>
        <w:t xml:space="preserve">, </w:t>
      </w:r>
      <w:r w:rsidRPr="004E0114">
        <w:rPr>
          <w:i/>
          <w:iCs/>
          <w:lang w:val="en-US"/>
        </w:rPr>
        <w:t>source</w:t>
      </w:r>
      <w:r>
        <w:rPr>
          <w:lang w:val="en-US"/>
        </w:rPr>
        <w:t xml:space="preserve"> and </w:t>
      </w:r>
      <w:proofErr w:type="spellStart"/>
      <w:r w:rsidRPr="004E0114">
        <w:rPr>
          <w:i/>
          <w:iCs/>
          <w:lang w:val="en-US"/>
        </w:rPr>
        <w:t>url</w:t>
      </w:r>
      <w:proofErr w:type="spellEnd"/>
      <w:r>
        <w:rPr>
          <w:lang w:val="en-US"/>
        </w:rPr>
        <w:t xml:space="preserve">. Both output and convert are set in a similar </w:t>
      </w:r>
      <w:proofErr w:type="gramStart"/>
      <w:r>
        <w:rPr>
          <w:lang w:val="en-US"/>
        </w:rPr>
        <w:t>fashion as</w:t>
      </w:r>
      <w:proofErr w:type="gramEnd"/>
      <w:r>
        <w:rPr>
          <w:lang w:val="en-US"/>
        </w:rPr>
        <w:t xml:space="preserve"> for converting a </w:t>
      </w:r>
      <w:proofErr w:type="spellStart"/>
      <w:r w:rsidR="005D6150">
        <w:rPr>
          <w:lang w:val="en-US"/>
        </w:rPr>
        <w:t>QuakeML</w:t>
      </w:r>
      <w:proofErr w:type="spellEnd"/>
      <w:r>
        <w:rPr>
          <w:lang w:val="en-US"/>
        </w:rPr>
        <w:t xml:space="preserve"> file</w:t>
      </w:r>
      <w:r w:rsidR="005D6150">
        <w:rPr>
          <w:lang w:val="en-US"/>
        </w:rPr>
        <w:t xml:space="preserve"> (see previous section)</w:t>
      </w:r>
      <w:r>
        <w:rPr>
          <w:lang w:val="en-US"/>
        </w:rPr>
        <w:t>. The source parameter is telling the application that it should fetch data from</w:t>
      </w:r>
      <w:r w:rsidR="005D6150">
        <w:rPr>
          <w:lang w:val="en-US"/>
        </w:rPr>
        <w:t xml:space="preserve"> either a file or</w:t>
      </w:r>
      <w:r>
        <w:rPr>
          <w:lang w:val="en-US"/>
        </w:rPr>
        <w:t xml:space="preserve"> an external web-service. </w:t>
      </w:r>
      <w:r w:rsidR="005D6150">
        <w:rPr>
          <w:lang w:val="en-US"/>
        </w:rPr>
        <w:t>The default source value is file. To fetch data from a web-service, attach –source=”</w:t>
      </w:r>
      <w:proofErr w:type="spellStart"/>
      <w:r w:rsidR="005D6150">
        <w:rPr>
          <w:lang w:val="en-US"/>
        </w:rPr>
        <w:t>ws</w:t>
      </w:r>
      <w:proofErr w:type="spellEnd"/>
      <w:r w:rsidR="005D6150">
        <w:rPr>
          <w:lang w:val="en-US"/>
        </w:rPr>
        <w:t xml:space="preserve">” to the command. </w:t>
      </w:r>
      <w:r>
        <w:rPr>
          <w:lang w:val="en-US"/>
        </w:rPr>
        <w:t>A</w:t>
      </w:r>
      <w:r w:rsidR="005D6150">
        <w:rPr>
          <w:lang w:val="en-US"/>
        </w:rPr>
        <w:t>s a web-service is an external source, an</w:t>
      </w:r>
      <w:r>
        <w:rPr>
          <w:lang w:val="en-US"/>
        </w:rPr>
        <w:t xml:space="preserve"> internet connection </w:t>
      </w:r>
      <w:r>
        <w:rPr>
          <w:lang w:val="en-US"/>
        </w:rPr>
        <w:lastRenderedPageBreak/>
        <w:t xml:space="preserve">is required to make use of this command. </w:t>
      </w:r>
      <w:r w:rsidR="005D6150">
        <w:rPr>
          <w:lang w:val="en-US"/>
        </w:rPr>
        <w:t>In addition to source, an</w:t>
      </w:r>
      <w:r>
        <w:rPr>
          <w:lang w:val="en-US"/>
        </w:rPr>
        <w:t xml:space="preserve"> </w:t>
      </w:r>
      <w:r w:rsidR="005D6150">
        <w:rPr>
          <w:lang w:val="en-US"/>
        </w:rPr>
        <w:t>URL</w:t>
      </w:r>
      <w:r>
        <w:rPr>
          <w:lang w:val="en-US"/>
        </w:rPr>
        <w:t xml:space="preserve"> to the web-service is also required and should be given in </w:t>
      </w:r>
      <w:r w:rsidR="005D6150">
        <w:rPr>
          <w:lang w:val="en-US"/>
        </w:rPr>
        <w:t>with the</w:t>
      </w:r>
      <w:r>
        <w:rPr>
          <w:lang w:val="en-US"/>
        </w:rPr>
        <w:t xml:space="preserve"> </w:t>
      </w:r>
      <w:r w:rsidR="005D6150">
        <w:rPr>
          <w:lang w:val="en-US"/>
        </w:rPr>
        <w:t>URL</w:t>
      </w:r>
      <w:r>
        <w:rPr>
          <w:lang w:val="en-US"/>
        </w:rPr>
        <w:t xml:space="preserve"> </w:t>
      </w:r>
      <w:r w:rsidR="00A36BA7">
        <w:rPr>
          <w:lang w:val="en-US"/>
        </w:rPr>
        <w:t>parameter,</w:t>
      </w:r>
      <w:r w:rsidR="005D6150">
        <w:rPr>
          <w:lang w:val="en-US"/>
        </w:rPr>
        <w:t xml:space="preserve"> by attaching –</w:t>
      </w:r>
      <w:proofErr w:type="spellStart"/>
      <w:r w:rsidR="005D6150">
        <w:rPr>
          <w:lang w:val="en-US"/>
        </w:rPr>
        <w:t>url</w:t>
      </w:r>
      <w:proofErr w:type="spellEnd"/>
      <w:r w:rsidR="005D6150">
        <w:rPr>
          <w:lang w:val="en-US"/>
        </w:rPr>
        <w:t>=</w:t>
      </w:r>
      <w:r w:rsidR="005D6150" w:rsidRPr="00A211FC">
        <w:rPr>
          <w:lang w:val="en-US"/>
        </w:rPr>
        <w:t>"&lt;path to web-service&gt;</w:t>
      </w:r>
      <w:r w:rsidR="005D6150">
        <w:rPr>
          <w:lang w:val="en-US"/>
        </w:rPr>
        <w:t>"</w:t>
      </w:r>
      <w:r>
        <w:rPr>
          <w:lang w:val="en-US"/>
        </w:rPr>
        <w:t>.</w:t>
      </w:r>
    </w:p>
    <w:p w14:paraId="335E591C" w14:textId="033D9454" w:rsidR="004E0114" w:rsidRDefault="004E0114" w:rsidP="004E0114">
      <w:pPr>
        <w:rPr>
          <w:lang w:val="en-US"/>
        </w:rPr>
      </w:pPr>
      <w:r>
        <w:rPr>
          <w:lang w:val="en-US"/>
        </w:rPr>
        <w:t>The full command would then look like:</w:t>
      </w:r>
    </w:p>
    <w:p w14:paraId="212C0294" w14:textId="460D52FA" w:rsidR="00A211FC" w:rsidRDefault="00A211FC" w:rsidP="00A211FC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08350B87" w14:textId="4071B1C4" w:rsidR="00A211FC" w:rsidRPr="00A211FC" w:rsidRDefault="00D100F6" w:rsidP="00A211FC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qml2nor</w:t>
      </w:r>
      <w:r w:rsidR="00A211FC" w:rsidRPr="00A211FC">
        <w:rPr>
          <w:lang w:val="en-US"/>
        </w:rPr>
        <w:t>--output="</w:t>
      </w:r>
      <w:proofErr w:type="spellStart"/>
      <w:r w:rsidR="00A211FC" w:rsidRPr="00A211FC">
        <w:rPr>
          <w:lang w:val="en-US"/>
        </w:rPr>
        <w:t>sfiles.out</w:t>
      </w:r>
      <w:proofErr w:type="spellEnd"/>
      <w:r w:rsidR="00A211FC" w:rsidRPr="00A211FC">
        <w:rPr>
          <w:lang w:val="en-US"/>
        </w:rPr>
        <w:t>" --convert="s" --source="</w:t>
      </w:r>
      <w:proofErr w:type="spellStart"/>
      <w:r w:rsidR="00A211FC" w:rsidRPr="00A211FC">
        <w:rPr>
          <w:lang w:val="en-US"/>
        </w:rPr>
        <w:t>ws</w:t>
      </w:r>
      <w:proofErr w:type="spellEnd"/>
      <w:r w:rsidR="00A211FC" w:rsidRPr="00A211FC">
        <w:rPr>
          <w:lang w:val="en-US"/>
        </w:rPr>
        <w:t>" --</w:t>
      </w:r>
      <w:proofErr w:type="spellStart"/>
      <w:r w:rsidR="00A211FC" w:rsidRPr="00A211FC">
        <w:rPr>
          <w:lang w:val="en-US"/>
        </w:rPr>
        <w:t>url</w:t>
      </w:r>
      <w:proofErr w:type="spellEnd"/>
      <w:r w:rsidR="00A211FC" w:rsidRPr="00A211FC">
        <w:rPr>
          <w:lang w:val="en-US"/>
        </w:rPr>
        <w:t>="&lt;path to web-service&gt;"</w:t>
      </w:r>
    </w:p>
    <w:p w14:paraId="6C700991" w14:textId="3E133BC0" w:rsidR="00A211FC" w:rsidRDefault="00A211FC" w:rsidP="004E0114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02E80FF1" w14:textId="03612D7C" w:rsidR="00A211FC" w:rsidRPr="00A211FC" w:rsidRDefault="00A211FC" w:rsidP="00A211FC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java -jar nor2qml.jar</w:t>
      </w:r>
      <w:r w:rsidRPr="00A211FC">
        <w:rPr>
          <w:lang w:val="en-US"/>
        </w:rPr>
        <w:t xml:space="preserve"> --output="</w:t>
      </w:r>
      <w:proofErr w:type="spellStart"/>
      <w:r w:rsidRPr="00A211FC">
        <w:rPr>
          <w:lang w:val="en-US"/>
        </w:rPr>
        <w:t>sfiles.out</w:t>
      </w:r>
      <w:proofErr w:type="spellEnd"/>
      <w:r w:rsidRPr="00A211FC">
        <w:rPr>
          <w:lang w:val="en-US"/>
        </w:rPr>
        <w:t>" --convert="s" --source="</w:t>
      </w:r>
      <w:proofErr w:type="spellStart"/>
      <w:r w:rsidRPr="00A211FC">
        <w:rPr>
          <w:lang w:val="en-US"/>
        </w:rPr>
        <w:t>ws</w:t>
      </w:r>
      <w:proofErr w:type="spellEnd"/>
      <w:r w:rsidRPr="00A211FC">
        <w:rPr>
          <w:lang w:val="en-US"/>
        </w:rPr>
        <w:t>" --</w:t>
      </w:r>
      <w:proofErr w:type="spellStart"/>
      <w:r w:rsidRPr="00A211FC">
        <w:rPr>
          <w:lang w:val="en-US"/>
        </w:rPr>
        <w:t>url</w:t>
      </w:r>
      <w:proofErr w:type="spellEnd"/>
      <w:r w:rsidRPr="00A211FC">
        <w:rPr>
          <w:lang w:val="en-US"/>
        </w:rPr>
        <w:t>="&lt;path to web-service&gt;"</w:t>
      </w:r>
    </w:p>
    <w:p w14:paraId="34587584" w14:textId="7BFF61A1" w:rsidR="002F314F" w:rsidRDefault="00A859A0" w:rsidP="002F314F">
      <w:pPr>
        <w:pStyle w:val="Overskrift1"/>
        <w:rPr>
          <w:lang w:val="en-US"/>
        </w:rPr>
      </w:pPr>
      <w:r>
        <w:rPr>
          <w:lang w:val="en-US"/>
        </w:rPr>
        <w:t>4</w:t>
      </w:r>
      <w:r w:rsidR="004F29A4">
        <w:rPr>
          <w:lang w:val="en-US"/>
        </w:rPr>
        <w:t>.</w:t>
      </w:r>
      <w:r w:rsidR="00A36A7A">
        <w:rPr>
          <w:lang w:val="en-US"/>
        </w:rPr>
        <w:t xml:space="preserve"> </w:t>
      </w:r>
      <w:r w:rsidR="002F314F">
        <w:rPr>
          <w:lang w:val="en-US"/>
        </w:rPr>
        <w:t>Arguments</w:t>
      </w:r>
    </w:p>
    <w:p w14:paraId="40A1263D" w14:textId="77777777" w:rsidR="00016BA8" w:rsidRPr="00D103E7" w:rsidRDefault="007E11DD" w:rsidP="00A1384C">
      <w:pPr>
        <w:pStyle w:val="Overskrift3"/>
        <w:rPr>
          <w:lang w:val="en-US"/>
        </w:rPr>
      </w:pPr>
      <w:r>
        <w:rPr>
          <w:lang w:val="en-US"/>
        </w:rPr>
        <w:t xml:space="preserve">General </w:t>
      </w:r>
      <w:r w:rsidR="00D103E7" w:rsidRPr="00D103E7">
        <w:rPr>
          <w:lang w:val="en-US"/>
        </w:rPr>
        <w:t>Arguments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3822"/>
      </w:tblGrid>
      <w:tr w:rsidR="00D103E7" w14:paraId="3D2810D9" w14:textId="77777777" w:rsidTr="00863340">
        <w:tc>
          <w:tcPr>
            <w:tcW w:w="1696" w:type="dxa"/>
          </w:tcPr>
          <w:p w14:paraId="0144D179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Key</w:t>
            </w:r>
          </w:p>
        </w:tc>
        <w:tc>
          <w:tcPr>
            <w:tcW w:w="1985" w:type="dxa"/>
          </w:tcPr>
          <w:p w14:paraId="4824C43B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1559" w:type="dxa"/>
          </w:tcPr>
          <w:p w14:paraId="4588EAE5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3822" w:type="dxa"/>
          </w:tcPr>
          <w:p w14:paraId="30A821DE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D103E7" w:rsidRPr="00250652" w14:paraId="32EA1704" w14:textId="77777777" w:rsidTr="00863340">
        <w:tc>
          <w:tcPr>
            <w:tcW w:w="1696" w:type="dxa"/>
          </w:tcPr>
          <w:p w14:paraId="451B2E72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--convert</w:t>
            </w:r>
          </w:p>
        </w:tc>
        <w:tc>
          <w:tcPr>
            <w:tcW w:w="1985" w:type="dxa"/>
          </w:tcPr>
          <w:p w14:paraId="3ED1AE8B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“q” or “s” (type String)</w:t>
            </w:r>
          </w:p>
        </w:tc>
        <w:tc>
          <w:tcPr>
            <w:tcW w:w="1559" w:type="dxa"/>
          </w:tcPr>
          <w:p w14:paraId="0D21F041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“q”</w:t>
            </w:r>
          </w:p>
        </w:tc>
        <w:tc>
          <w:tcPr>
            <w:tcW w:w="3822" w:type="dxa"/>
          </w:tcPr>
          <w:p w14:paraId="6A0A9459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 xml:space="preserve">Specify to which format the files should be converted to. “q” means convert from s-files to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, while “s” means convert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to s-files.</w:t>
            </w:r>
          </w:p>
        </w:tc>
      </w:tr>
      <w:tr w:rsidR="00D103E7" w:rsidRPr="00250652" w14:paraId="72EAD93B" w14:textId="77777777" w:rsidTr="00863340">
        <w:tc>
          <w:tcPr>
            <w:tcW w:w="1696" w:type="dxa"/>
          </w:tcPr>
          <w:p w14:paraId="5981B185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--input</w:t>
            </w:r>
          </w:p>
        </w:tc>
        <w:tc>
          <w:tcPr>
            <w:tcW w:w="1985" w:type="dxa"/>
          </w:tcPr>
          <w:p w14:paraId="5F841694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 xml:space="preserve">Path </w:t>
            </w:r>
            <w:r w:rsidR="00DD7CF8">
              <w:rPr>
                <w:lang w:val="en-US"/>
              </w:rPr>
              <w:t>(</w:t>
            </w:r>
            <w:r>
              <w:rPr>
                <w:lang w:val="en-US"/>
              </w:rPr>
              <w:t>type String</w:t>
            </w:r>
            <w:r w:rsidR="00DD7CF8">
              <w:rPr>
                <w:lang w:val="en-US"/>
              </w:rPr>
              <w:t>). The value must be enclosed with “”.</w:t>
            </w:r>
          </w:p>
        </w:tc>
        <w:tc>
          <w:tcPr>
            <w:tcW w:w="1559" w:type="dxa"/>
          </w:tcPr>
          <w:p w14:paraId="69630EBE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Current path</w:t>
            </w:r>
          </w:p>
        </w:tc>
        <w:tc>
          <w:tcPr>
            <w:tcW w:w="3822" w:type="dxa"/>
          </w:tcPr>
          <w:p w14:paraId="18398D35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Select where the input files are. If no path is specified, the program will search the current folder for files to be converted.</w:t>
            </w:r>
          </w:p>
        </w:tc>
      </w:tr>
      <w:tr w:rsidR="00D103E7" w:rsidRPr="00250652" w14:paraId="7A5B8124" w14:textId="77777777" w:rsidTr="00863340">
        <w:tc>
          <w:tcPr>
            <w:tcW w:w="1696" w:type="dxa"/>
          </w:tcPr>
          <w:p w14:paraId="369CA85E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--output</w:t>
            </w:r>
          </w:p>
        </w:tc>
        <w:tc>
          <w:tcPr>
            <w:tcW w:w="1985" w:type="dxa"/>
          </w:tcPr>
          <w:p w14:paraId="32F3E269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Path (type String)</w:t>
            </w:r>
            <w:r w:rsidR="00DD7CF8">
              <w:rPr>
                <w:lang w:val="en-US"/>
              </w:rPr>
              <w:t>. The value must be enclosed with “”.</w:t>
            </w:r>
          </w:p>
        </w:tc>
        <w:tc>
          <w:tcPr>
            <w:tcW w:w="1559" w:type="dxa"/>
          </w:tcPr>
          <w:p w14:paraId="51419BD4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Current path</w:t>
            </w:r>
          </w:p>
        </w:tc>
        <w:tc>
          <w:tcPr>
            <w:tcW w:w="3822" w:type="dxa"/>
          </w:tcPr>
          <w:p w14:paraId="5D03EB02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Select where the converted file should be placed. If no path is specified, the program will create a single file in the current folder with the filename and extension to either “quakeml.xml” or “</w:t>
            </w:r>
            <w:proofErr w:type="spellStart"/>
            <w:r>
              <w:rPr>
                <w:lang w:val="en-US"/>
              </w:rPr>
              <w:t>sfile.out</w:t>
            </w:r>
            <w:proofErr w:type="spellEnd"/>
            <w:r>
              <w:rPr>
                <w:lang w:val="en-US"/>
              </w:rPr>
              <w:t>” based on the conversion type.</w:t>
            </w:r>
          </w:p>
        </w:tc>
      </w:tr>
      <w:tr w:rsidR="00625CE1" w:rsidRPr="00250652" w14:paraId="1B71D9A5" w14:textId="77777777" w:rsidTr="00863340">
        <w:tc>
          <w:tcPr>
            <w:tcW w:w="1696" w:type="dxa"/>
          </w:tcPr>
          <w:p w14:paraId="190218DD" w14:textId="31EE39A0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--version</w:t>
            </w:r>
          </w:p>
        </w:tc>
        <w:tc>
          <w:tcPr>
            <w:tcW w:w="1985" w:type="dxa"/>
          </w:tcPr>
          <w:p w14:paraId="00809933" w14:textId="18A77E10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nordic</w:t>
            </w:r>
            <w:proofErr w:type="spellEnd"/>
            <w:r>
              <w:rPr>
                <w:lang w:val="en-US"/>
              </w:rPr>
              <w:t>”, “nordic2”, “1.2” or “2.0”</w:t>
            </w:r>
          </w:p>
        </w:tc>
        <w:tc>
          <w:tcPr>
            <w:tcW w:w="1559" w:type="dxa"/>
          </w:tcPr>
          <w:p w14:paraId="6081F4DE" w14:textId="63859455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“1.2”</w:t>
            </w:r>
            <w:r w:rsidR="00AC13FA">
              <w:rPr>
                <w:lang w:val="en-US"/>
              </w:rPr>
              <w:t xml:space="preserve"> or “</w:t>
            </w:r>
            <w:proofErr w:type="spellStart"/>
            <w:r w:rsidR="00AC13FA">
              <w:rPr>
                <w:lang w:val="en-US"/>
              </w:rPr>
              <w:t>nordic</w:t>
            </w:r>
            <w:proofErr w:type="spellEnd"/>
            <w:r w:rsidR="00AC13FA"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749BE374" w14:textId="5DF198E2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Specifying the version of the output format. Can be </w:t>
            </w:r>
            <w:proofErr w:type="gramStart"/>
            <w:r>
              <w:rPr>
                <w:lang w:val="en-US"/>
              </w:rPr>
              <w:t>both version</w:t>
            </w:r>
            <w:proofErr w:type="gramEnd"/>
            <w:r>
              <w:rPr>
                <w:lang w:val="en-US"/>
              </w:rPr>
              <w:t xml:space="preserve"> Nordic and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format.  </w:t>
            </w:r>
          </w:p>
        </w:tc>
      </w:tr>
      <w:tr w:rsidR="00863340" w:rsidRPr="00250652" w14:paraId="18B3FE90" w14:textId="77777777" w:rsidTr="00863340">
        <w:tc>
          <w:tcPr>
            <w:tcW w:w="1696" w:type="dxa"/>
          </w:tcPr>
          <w:p w14:paraId="7363A8AE" w14:textId="38C293C9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985" w:type="dxa"/>
          </w:tcPr>
          <w:p w14:paraId="514B1B6A" w14:textId="3760ABA2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="00863340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. Supported events from the enumeration list of the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 xml:space="preserve"> in lower case text. </w:t>
            </w:r>
          </w:p>
        </w:tc>
        <w:tc>
          <w:tcPr>
            <w:tcW w:w="1559" w:type="dxa"/>
          </w:tcPr>
          <w:p w14:paraId="49678341" w14:textId="4E889FB6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“earthquake”</w:t>
            </w:r>
          </w:p>
        </w:tc>
        <w:tc>
          <w:tcPr>
            <w:tcW w:w="3822" w:type="dxa"/>
          </w:tcPr>
          <w:p w14:paraId="232334F9" w14:textId="03A02E87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default event type of the Event element if no type is given in the s-file. To leave out event type from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output, insert a text string that does not match with the enumeration list.</w:t>
            </w:r>
          </w:p>
        </w:tc>
      </w:tr>
      <w:tr w:rsidR="00863340" w:rsidRPr="00250652" w14:paraId="1CE0406C" w14:textId="77777777" w:rsidTr="00863340">
        <w:tc>
          <w:tcPr>
            <w:tcW w:w="1696" w:type="dxa"/>
          </w:tcPr>
          <w:p w14:paraId="67D6FC23" w14:textId="4C67096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eventcertainty</w:t>
            </w:r>
            <w:proofErr w:type="spellEnd"/>
          </w:p>
        </w:tc>
        <w:tc>
          <w:tcPr>
            <w:tcW w:w="1985" w:type="dxa"/>
          </w:tcPr>
          <w:p w14:paraId="3D93BB7B" w14:textId="5AFB3DE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Type String. Can be either of these:</w:t>
            </w:r>
            <w:r>
              <w:rPr>
                <w:lang w:val="en-US"/>
              </w:rPr>
              <w:br/>
              <w:t>“known”, “suspected”</w:t>
            </w:r>
          </w:p>
        </w:tc>
        <w:tc>
          <w:tcPr>
            <w:tcW w:w="1559" w:type="dxa"/>
          </w:tcPr>
          <w:p w14:paraId="678C45AF" w14:textId="2368FAE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“suspected”</w:t>
            </w:r>
          </w:p>
        </w:tc>
        <w:tc>
          <w:tcPr>
            <w:tcW w:w="3822" w:type="dxa"/>
          </w:tcPr>
          <w:p w14:paraId="0B5A28EA" w14:textId="3724D082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default event certainty of the Event element if no certainty is given in the s-file. To leave out event certainty from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output, insert a text string that does not match with “known” or “suspected”.</w:t>
            </w:r>
          </w:p>
        </w:tc>
      </w:tr>
    </w:tbl>
    <w:p w14:paraId="237644FB" w14:textId="77777777" w:rsidR="00D103E7" w:rsidRDefault="00D103E7">
      <w:pPr>
        <w:rPr>
          <w:lang w:val="en-US"/>
        </w:rPr>
      </w:pPr>
    </w:p>
    <w:p w14:paraId="0B411140" w14:textId="77777777" w:rsidR="007E11DD" w:rsidRPr="007E11DD" w:rsidRDefault="007E11DD" w:rsidP="00A1384C">
      <w:pPr>
        <w:pStyle w:val="Overskrift3"/>
        <w:rPr>
          <w:lang w:val="en-US"/>
        </w:rPr>
      </w:pPr>
      <w:proofErr w:type="spellStart"/>
      <w:r w:rsidRPr="007E11DD">
        <w:rPr>
          <w:lang w:val="en-US"/>
        </w:rPr>
        <w:t>QuakeML</w:t>
      </w:r>
      <w:proofErr w:type="spellEnd"/>
      <w:r w:rsidRPr="007E11DD">
        <w:rPr>
          <w:lang w:val="en-US"/>
        </w:rPr>
        <w:t xml:space="preserve"> specific arguments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3822"/>
      </w:tblGrid>
      <w:tr w:rsidR="007E11DD" w:rsidRPr="00D103E7" w14:paraId="1EF349BF" w14:textId="77777777" w:rsidTr="00863340">
        <w:tc>
          <w:tcPr>
            <w:tcW w:w="1696" w:type="dxa"/>
          </w:tcPr>
          <w:p w14:paraId="5A3F8357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Key</w:t>
            </w:r>
          </w:p>
        </w:tc>
        <w:tc>
          <w:tcPr>
            <w:tcW w:w="1985" w:type="dxa"/>
          </w:tcPr>
          <w:p w14:paraId="519E7832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1559" w:type="dxa"/>
          </w:tcPr>
          <w:p w14:paraId="4775FCF7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3822" w:type="dxa"/>
          </w:tcPr>
          <w:p w14:paraId="147671AA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7E11DD" w:rsidRPr="00250652" w14:paraId="62E5BD2F" w14:textId="77777777" w:rsidTr="00863340">
        <w:tc>
          <w:tcPr>
            <w:tcW w:w="1696" w:type="dxa"/>
          </w:tcPr>
          <w:p w14:paraId="562121D6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--prefix</w:t>
            </w:r>
          </w:p>
        </w:tc>
        <w:tc>
          <w:tcPr>
            <w:tcW w:w="1985" w:type="dxa"/>
          </w:tcPr>
          <w:p w14:paraId="501C05A7" w14:textId="238B0C1A" w:rsidR="007E11DD" w:rsidRDefault="00711D86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that should be </w:t>
            </w:r>
            <w:r w:rsidR="007E11DD">
              <w:rPr>
                <w:lang w:val="en-US"/>
              </w:rPr>
              <w:t>“</w:t>
            </w:r>
            <w:proofErr w:type="spellStart"/>
            <w:r w:rsidR="005A7034">
              <w:rPr>
                <w:lang w:val="en-US"/>
              </w:rPr>
              <w:t>smi</w:t>
            </w:r>
            <w:proofErr w:type="spellEnd"/>
            <w:r w:rsidR="007E11DD">
              <w:rPr>
                <w:lang w:val="en-US"/>
              </w:rPr>
              <w:t>” or “</w:t>
            </w:r>
            <w:proofErr w:type="spellStart"/>
            <w:r w:rsidR="005A7034">
              <w:rPr>
                <w:lang w:val="en-US"/>
              </w:rPr>
              <w:t>quakeml</w:t>
            </w:r>
            <w:proofErr w:type="spellEnd"/>
            <w:r w:rsidR="007E11DD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5E11BB9F" w14:textId="5971A915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5A7034">
              <w:rPr>
                <w:lang w:val="en-US"/>
              </w:rPr>
              <w:t>smi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6957A870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Specifying the prefix of generation of IDs</w:t>
            </w:r>
          </w:p>
        </w:tc>
      </w:tr>
      <w:tr w:rsidR="007E11DD" w:rsidRPr="00250652" w14:paraId="2F6F0BB1" w14:textId="77777777" w:rsidTr="00863340">
        <w:tc>
          <w:tcPr>
            <w:tcW w:w="1696" w:type="dxa"/>
          </w:tcPr>
          <w:p w14:paraId="22978E84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--agency</w:t>
            </w:r>
          </w:p>
        </w:tc>
        <w:tc>
          <w:tcPr>
            <w:tcW w:w="1985" w:type="dxa"/>
          </w:tcPr>
          <w:p w14:paraId="2B431AA6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48620ABA" w14:textId="4E00B9FB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5A7034" w:rsidRPr="005A7034">
              <w:rPr>
                <w:lang w:val="en-US"/>
              </w:rPr>
              <w:t>authorityid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744252CA" w14:textId="697414CB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Specifying the agency for generation of IDs</w:t>
            </w:r>
            <w:r w:rsidR="005A7034">
              <w:rPr>
                <w:lang w:val="en-US"/>
              </w:rPr>
              <w:t xml:space="preserve"> (e.g. “</w:t>
            </w:r>
            <w:proofErr w:type="spellStart"/>
            <w:proofErr w:type="gramStart"/>
            <w:r w:rsidR="005A7034">
              <w:rPr>
                <w:lang w:val="en-US"/>
              </w:rPr>
              <w:t>no.nnsn</w:t>
            </w:r>
            <w:proofErr w:type="spellEnd"/>
            <w:proofErr w:type="gramEnd"/>
            <w:r w:rsidR="005A7034">
              <w:rPr>
                <w:lang w:val="en-US"/>
              </w:rPr>
              <w:t>”)</w:t>
            </w:r>
          </w:p>
        </w:tc>
      </w:tr>
      <w:tr w:rsidR="007E11DD" w:rsidRPr="00250652" w14:paraId="566ECB1B" w14:textId="77777777" w:rsidTr="00863340">
        <w:tc>
          <w:tcPr>
            <w:tcW w:w="1696" w:type="dxa"/>
          </w:tcPr>
          <w:p w14:paraId="522045F7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--source</w:t>
            </w:r>
          </w:p>
        </w:tc>
        <w:tc>
          <w:tcPr>
            <w:tcW w:w="1985" w:type="dxa"/>
          </w:tcPr>
          <w:p w14:paraId="3B28E534" w14:textId="41074E55" w:rsidR="007E11DD" w:rsidRDefault="000D1E30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that should be </w:t>
            </w:r>
            <w:r w:rsidR="007E11DD">
              <w:rPr>
                <w:lang w:val="en-US"/>
              </w:rPr>
              <w:t>“file” or “</w:t>
            </w:r>
            <w:proofErr w:type="spellStart"/>
            <w:r w:rsidR="007E11DD">
              <w:rPr>
                <w:lang w:val="en-US"/>
              </w:rPr>
              <w:t>ws</w:t>
            </w:r>
            <w:proofErr w:type="spellEnd"/>
            <w:r w:rsidR="007E11DD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2AEDD8E1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“file”</w:t>
            </w:r>
          </w:p>
        </w:tc>
        <w:tc>
          <w:tcPr>
            <w:tcW w:w="3822" w:type="dxa"/>
          </w:tcPr>
          <w:p w14:paraId="01A5F32E" w14:textId="4DA2DC7E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 if the source is a file or a web-service</w:t>
            </w:r>
            <w:r w:rsidR="005A7034">
              <w:rPr>
                <w:lang w:val="en-US"/>
              </w:rPr>
              <w:t xml:space="preserve"> (</w:t>
            </w:r>
            <w:proofErr w:type="spellStart"/>
            <w:r w:rsidR="005A7034">
              <w:rPr>
                <w:lang w:val="en-US"/>
              </w:rPr>
              <w:t>ws</w:t>
            </w:r>
            <w:proofErr w:type="spellEnd"/>
            <w:r w:rsidR="005A7034">
              <w:rPr>
                <w:lang w:val="en-US"/>
              </w:rPr>
              <w:t>)</w:t>
            </w:r>
          </w:p>
        </w:tc>
      </w:tr>
      <w:tr w:rsidR="007E11DD" w:rsidRPr="00250652" w14:paraId="3AA28C52" w14:textId="77777777" w:rsidTr="00863340">
        <w:tc>
          <w:tcPr>
            <w:tcW w:w="1696" w:type="dxa"/>
          </w:tcPr>
          <w:p w14:paraId="7372A8C4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985" w:type="dxa"/>
          </w:tcPr>
          <w:p w14:paraId="10C16A55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(mandatory if source is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>)</w:t>
            </w:r>
            <w:r w:rsidR="00DD7CF8">
              <w:rPr>
                <w:lang w:val="en-US"/>
              </w:rPr>
              <w:t>. The value must be enclosed with “”.</w:t>
            </w:r>
          </w:p>
        </w:tc>
        <w:tc>
          <w:tcPr>
            <w:tcW w:w="1559" w:type="dxa"/>
          </w:tcPr>
          <w:p w14:paraId="6718ED8F" w14:textId="77777777" w:rsidR="007E11DD" w:rsidRDefault="007E11DD" w:rsidP="004325F3">
            <w:pPr>
              <w:rPr>
                <w:lang w:val="en-US"/>
              </w:rPr>
            </w:pPr>
          </w:p>
        </w:tc>
        <w:tc>
          <w:tcPr>
            <w:tcW w:w="3822" w:type="dxa"/>
          </w:tcPr>
          <w:p w14:paraId="425E6702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Specifying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if the source is a web-service</w:t>
            </w:r>
          </w:p>
        </w:tc>
      </w:tr>
    </w:tbl>
    <w:p w14:paraId="08EE0267" w14:textId="77777777" w:rsidR="007E11DD" w:rsidRDefault="007E11DD">
      <w:pPr>
        <w:rPr>
          <w:lang w:val="en-US"/>
        </w:rPr>
      </w:pPr>
    </w:p>
    <w:p w14:paraId="2DDEF060" w14:textId="08BC8AFB" w:rsidR="00BC35B9" w:rsidRDefault="00EA09D3" w:rsidP="00BC35B9">
      <w:pPr>
        <w:pStyle w:val="Overskrift1"/>
        <w:rPr>
          <w:lang w:val="en-US"/>
        </w:rPr>
      </w:pPr>
      <w:r>
        <w:rPr>
          <w:lang w:val="en-US"/>
        </w:rPr>
        <w:t>References</w:t>
      </w:r>
    </w:p>
    <w:p w14:paraId="442C7DC0" w14:textId="4B065736" w:rsidR="00EA09D3" w:rsidRPr="00EA09D3" w:rsidRDefault="00EA09D3" w:rsidP="00EA09D3">
      <w:pPr>
        <w:rPr>
          <w:lang w:val="en-US"/>
        </w:rPr>
      </w:pPr>
      <w:r>
        <w:rPr>
          <w:lang w:val="en-US"/>
        </w:rPr>
        <w:t xml:space="preserve">[1] </w:t>
      </w:r>
      <w:hyperlink r:id="rId5" w:history="1">
        <w:r w:rsidRPr="0053271D">
          <w:rPr>
            <w:rStyle w:val="Hyperkobling"/>
            <w:lang w:val="en-US"/>
          </w:rPr>
          <w:t>https://quake.ethz.ch/quakeml/docs/REC?action=AttachFile&amp;do=view&amp;target=QuakeML-BED-20130214b.pdf</w:t>
        </w:r>
      </w:hyperlink>
      <w:r>
        <w:rPr>
          <w:lang w:val="en-US"/>
        </w:rPr>
        <w:t xml:space="preserve"> </w:t>
      </w:r>
    </w:p>
    <w:sectPr w:rsidR="00EA09D3" w:rsidRPr="00EA0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6A20"/>
    <w:multiLevelType w:val="hybridMultilevel"/>
    <w:tmpl w:val="6FD4724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6D9"/>
    <w:multiLevelType w:val="hybridMultilevel"/>
    <w:tmpl w:val="8C46DD3A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E9B"/>
    <w:multiLevelType w:val="hybridMultilevel"/>
    <w:tmpl w:val="1C1CDE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5CD6"/>
    <w:multiLevelType w:val="hybridMultilevel"/>
    <w:tmpl w:val="9B4AFCF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7B24"/>
    <w:multiLevelType w:val="hybridMultilevel"/>
    <w:tmpl w:val="E23A697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1062">
    <w:abstractNumId w:val="1"/>
  </w:num>
  <w:num w:numId="2" w16cid:durableId="1029450223">
    <w:abstractNumId w:val="0"/>
  </w:num>
  <w:num w:numId="3" w16cid:durableId="254092934">
    <w:abstractNumId w:val="3"/>
  </w:num>
  <w:num w:numId="4" w16cid:durableId="1264265535">
    <w:abstractNumId w:val="2"/>
  </w:num>
  <w:num w:numId="5" w16cid:durableId="867371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7"/>
    <w:rsid w:val="00001DB0"/>
    <w:rsid w:val="00016BA8"/>
    <w:rsid w:val="0006147B"/>
    <w:rsid w:val="000D1E30"/>
    <w:rsid w:val="001023B2"/>
    <w:rsid w:val="001161CB"/>
    <w:rsid w:val="00157019"/>
    <w:rsid w:val="00197D03"/>
    <w:rsid w:val="001D09AC"/>
    <w:rsid w:val="001D538A"/>
    <w:rsid w:val="00221A06"/>
    <w:rsid w:val="00250652"/>
    <w:rsid w:val="002A5810"/>
    <w:rsid w:val="002A73FA"/>
    <w:rsid w:val="002C2C46"/>
    <w:rsid w:val="002D2E1B"/>
    <w:rsid w:val="002F314F"/>
    <w:rsid w:val="003258AD"/>
    <w:rsid w:val="00360D5B"/>
    <w:rsid w:val="003733A0"/>
    <w:rsid w:val="0037385B"/>
    <w:rsid w:val="003D3FE1"/>
    <w:rsid w:val="003E3685"/>
    <w:rsid w:val="004133A7"/>
    <w:rsid w:val="00422DD5"/>
    <w:rsid w:val="00433679"/>
    <w:rsid w:val="00443B37"/>
    <w:rsid w:val="00471C6C"/>
    <w:rsid w:val="004A2A36"/>
    <w:rsid w:val="004A508D"/>
    <w:rsid w:val="004B0B66"/>
    <w:rsid w:val="004E0114"/>
    <w:rsid w:val="004F29A4"/>
    <w:rsid w:val="00587417"/>
    <w:rsid w:val="005A6BE7"/>
    <w:rsid w:val="005A7034"/>
    <w:rsid w:val="005C0FEA"/>
    <w:rsid w:val="005D6150"/>
    <w:rsid w:val="005E2B40"/>
    <w:rsid w:val="00613E5F"/>
    <w:rsid w:val="00625CE1"/>
    <w:rsid w:val="006963BC"/>
    <w:rsid w:val="006B561B"/>
    <w:rsid w:val="006E70CB"/>
    <w:rsid w:val="00711D86"/>
    <w:rsid w:val="007163B2"/>
    <w:rsid w:val="00780455"/>
    <w:rsid w:val="007C51E4"/>
    <w:rsid w:val="007E11DD"/>
    <w:rsid w:val="007E7B97"/>
    <w:rsid w:val="007F608C"/>
    <w:rsid w:val="00835DA0"/>
    <w:rsid w:val="00853CEF"/>
    <w:rsid w:val="0085768C"/>
    <w:rsid w:val="00863340"/>
    <w:rsid w:val="008A1C38"/>
    <w:rsid w:val="008B0BEC"/>
    <w:rsid w:val="00920ED7"/>
    <w:rsid w:val="0094292A"/>
    <w:rsid w:val="00960817"/>
    <w:rsid w:val="00975E92"/>
    <w:rsid w:val="009A2371"/>
    <w:rsid w:val="009A52DF"/>
    <w:rsid w:val="009D6469"/>
    <w:rsid w:val="00A0231C"/>
    <w:rsid w:val="00A05BDF"/>
    <w:rsid w:val="00A1384C"/>
    <w:rsid w:val="00A1427D"/>
    <w:rsid w:val="00A211FC"/>
    <w:rsid w:val="00A21C54"/>
    <w:rsid w:val="00A36A7A"/>
    <w:rsid w:val="00A36BA7"/>
    <w:rsid w:val="00A62FF4"/>
    <w:rsid w:val="00A859A0"/>
    <w:rsid w:val="00AC13FA"/>
    <w:rsid w:val="00AF16B8"/>
    <w:rsid w:val="00B05BCB"/>
    <w:rsid w:val="00B16AA2"/>
    <w:rsid w:val="00B456D1"/>
    <w:rsid w:val="00B73118"/>
    <w:rsid w:val="00B97231"/>
    <w:rsid w:val="00B973C7"/>
    <w:rsid w:val="00BA440C"/>
    <w:rsid w:val="00BC35B9"/>
    <w:rsid w:val="00BF510B"/>
    <w:rsid w:val="00C12576"/>
    <w:rsid w:val="00C511FE"/>
    <w:rsid w:val="00D100F6"/>
    <w:rsid w:val="00D103E7"/>
    <w:rsid w:val="00D371D7"/>
    <w:rsid w:val="00D50578"/>
    <w:rsid w:val="00D778C5"/>
    <w:rsid w:val="00DD7CF8"/>
    <w:rsid w:val="00DE45FA"/>
    <w:rsid w:val="00E12CB3"/>
    <w:rsid w:val="00EA09D3"/>
    <w:rsid w:val="00ED50A4"/>
    <w:rsid w:val="00EE0334"/>
    <w:rsid w:val="00EE0BB2"/>
    <w:rsid w:val="00F539B4"/>
    <w:rsid w:val="00F73BB0"/>
    <w:rsid w:val="00F86F5D"/>
    <w:rsid w:val="00F93D64"/>
    <w:rsid w:val="00F954EA"/>
    <w:rsid w:val="00FA7C88"/>
    <w:rsid w:val="00FD709E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9940"/>
  <w15:chartTrackingRefBased/>
  <w15:docId w15:val="{8161737A-DE1D-4C9C-9B84-C1E69C0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3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1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2F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1384C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1384C"/>
  </w:style>
  <w:style w:type="character" w:customStyle="1" w:styleId="Overskrift2Tegn">
    <w:name w:val="Overskrift 2 Tegn"/>
    <w:basedOn w:val="Standardskriftforavsnitt"/>
    <w:link w:val="Overskrift2"/>
    <w:uiPriority w:val="9"/>
    <w:rsid w:val="00A13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13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D371D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D2E1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2E1B"/>
    <w:rPr>
      <w:color w:val="605E5C"/>
      <w:shd w:val="clear" w:color="auto" w:fill="E1DFDD"/>
    </w:rPr>
  </w:style>
  <w:style w:type="paragraph" w:styleId="Ingenmellomrom">
    <w:name w:val="No Spacing"/>
    <w:uiPriority w:val="1"/>
    <w:qFormat/>
    <w:rsid w:val="00221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ke.ethz.ch/quakeml/docs/REC?action=AttachFile&amp;do=view&amp;target=QuakeML-BED-20130214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1669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ronnevik</dc:creator>
  <cp:keywords/>
  <dc:description/>
  <cp:lastModifiedBy>Christian Rønnevik</cp:lastModifiedBy>
  <cp:revision>2</cp:revision>
  <dcterms:created xsi:type="dcterms:W3CDTF">2025-05-04T18:42:00Z</dcterms:created>
  <dcterms:modified xsi:type="dcterms:W3CDTF">2025-05-04T18:42:00Z</dcterms:modified>
</cp:coreProperties>
</file>