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0D0B"/>
          <w:sz w:val="44"/>
        </w:rPr>
        <w:t>UNOS Commercial Growth Plan (Illustrative) — H2 2026: OPO Segment</w:t>
      </w:r>
    </w:p>
    <w:p>
      <w:r>
        <w:rPr>
          <w:b w:val="0"/>
        </w:rPr>
        <w:t>Integrated marketing + sales plan | Croom Lawrence | July 2026 | Confidential draft for discussion</w:t>
      </w:r>
    </w:p>
    <w:p>
      <w:pPr>
        <w:pStyle w:val="Heading1"/>
      </w:pPr>
      <w:r>
        <w:t>1. Mandate</w:t>
      </w:r>
    </w:p>
    <w:p>
      <w:pPr>
        <w:pStyle w:val="ListBullet"/>
      </w:pPr>
      <w:r>
        <w:rPr>
          <w:b w:val="0"/>
        </w:rPr>
      </w:r>
      <w:r>
        <w:rPr>
          <w:b/>
        </w:rPr>
        <w:t>Win the OPO segment first:</w:t>
      </w:r>
      <w:r>
        <w:rPr>
          <w:b w:val="0"/>
        </w:rPr>
        <w:t xml:space="preserve"> package UNOS data, benchmarks, education, and implementation advisory into the </w:t>
      </w:r>
      <w:r>
        <w:rPr>
          <w:b/>
        </w:rPr>
        <w:t>OPO Quality, Accreditation &amp; AI-Readiness solution</w:t>
      </w:r>
      <w:r>
        <w:rPr>
          <w:b w:val="0"/>
        </w:rPr>
        <w:t xml:space="preserve"> — helping all ~55 OPOs improve performance, protect accreditation, reduce administrative burden, and turn transplant data into operational action.</w:t>
      </w:r>
    </w:p>
    <w:p>
      <w:pPr>
        <w:pStyle w:val="ListBullet"/>
      </w:pPr>
      <w:r>
        <w:rPr>
          <w:b w:val="0"/>
        </w:rPr>
      </w:r>
      <w:r>
        <w:rPr>
          <w:b/>
        </w:rPr>
        <w:t>Set a $10M 2026 qualified sales pipeline objective:</w:t>
      </w:r>
      <w:r>
        <w:rPr>
          <w:b w:val="0"/>
        </w:rPr>
        <w:t xml:space="preserve"> this is a projected funnel objective, not a revenue-recognition promise. It creates commercial coverage against UNOS’s FY2025 financial pressure and demonstrates that the CGO motion can identify larger contract-value opportunities.</w:t>
      </w:r>
    </w:p>
    <w:p>
      <w:pPr>
        <w:pStyle w:val="ListBullet"/>
      </w:pPr>
      <w:r>
        <w:rPr>
          <w:b w:val="0"/>
        </w:rPr>
      </w:r>
      <w:r>
        <w:rPr>
          <w:b/>
        </w:rPr>
        <w:t>Use the OPO motion as UNOS’s first proof point:</w:t>
      </w:r>
      <w:r>
        <w:rPr>
          <w:b w:val="0"/>
        </w:rPr>
        <w:t xml:space="preserve"> a best-in-class, repeatable B2B pipeline that proves commercial discipline while protecting mission, public trust, and compliance.</w:t>
      </w:r>
    </w:p>
    <w:p>
      <w:pPr>
        <w:pStyle w:val="ListBullet"/>
      </w:pPr>
      <w:r>
        <w:rPr>
          <w:b w:val="0"/>
        </w:rPr>
      </w:r>
      <w:r>
        <w:rPr>
          <w:b/>
        </w:rPr>
        <w:t>Grow deliberately and compliantly:</w:t>
      </w:r>
      <w:r>
        <w:rPr>
          <w:b w:val="0"/>
        </w:rPr>
        <w:t xml:space="preserve"> every motion should be designed so UNOS can call, grow, learn, build, and demonstrate value without creating any perception of “monetizing patient data.”</w:t>
      </w:r>
    </w:p>
    <w:p>
      <w:pPr>
        <w:pStyle w:val="Heading1"/>
      </w:pPr>
      <w:r>
        <w:t>2. Financial context and 2026 commercial objective</w:t>
      </w:r>
    </w:p>
    <w:p>
      <w:r>
        <w:rPr>
          <w:b w:val="0"/>
        </w:rPr>
        <w:t>The financial audit shows UNOS is financially pressured but not distressed. FY2025 revenue declined materially, expenses were reduced, and the organization still reported a deficit.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DE5D8"/>
          </w:tcPr>
          <w:p>
            <w:r/>
            <w:r>
              <w:rPr>
                <w:b/>
                <w:sz w:val="17"/>
              </w:rPr>
              <w:t>Financial baseline from public 990 analysis</w:t>
            </w:r>
          </w:p>
        </w:tc>
        <w:tc>
          <w:tcPr>
            <w:tcW w:type="dxa" w:w="5184"/>
            <w:vAlign w:val="top"/>
            <w:shd w:fill="EDE5D8"/>
          </w:tcPr>
          <w:p>
            <w:r/>
            <w:r>
              <w:rPr>
                <w:b/>
                <w:sz w:val="17"/>
              </w:rPr>
              <w:t>Working implication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FY2025 total revenue: ~$76.6M, down ~20.1% YoY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Revenue diversification and higher-value commercial packaging are urgent.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FY2025 expenses: ~$84.2M, down ~18.0% YoY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Expense discipline alone is not enough; growth must contribute to operating leverage.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FY2025 operating deficit: ~$7.6M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 $10M qualified pipeline creates visible coverage against the breakeven gap, while recognizing not all pipeline converts or recognizes in-year.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Program service revenue: ~$68.0M / ~88.8% of total revenue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Concentration risk requires new products, customer segments, and partner revenue streams.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OPTN modernization / multi-award context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UNOS must prove it is the best performance-infrastructure partner, not rely on incumbent status.</w:t>
            </w:r>
          </w:p>
        </w:tc>
      </w:tr>
    </w:tbl>
    <w:p/>
    <w:p>
      <w:r>
        <w:rPr>
          <w:b w:val="0"/>
        </w:rPr>
      </w:r>
      <w:r>
        <w:rPr>
          <w:b/>
        </w:rPr>
        <w:t>2026 objective:</w:t>
      </w:r>
      <w:r>
        <w:rPr>
          <w:b w:val="0"/>
        </w:rPr>
        <w:t xml:space="preserve"> build </w:t>
      </w:r>
      <w:r>
        <w:rPr>
          <w:b/>
        </w:rPr>
        <w:t>$10M in qualified OPO sales pipeline</w:t>
      </w:r>
      <w:r>
        <w:rPr>
          <w:b w:val="0"/>
        </w:rPr>
        <w:t xml:space="preserve"> by Dec. 31, 2026, with clear stage definitions, account ownership, deal economics, and compliance guardrails.</w:t>
      </w:r>
    </w:p>
    <w:p>
      <w:r>
        <w:rPr>
          <w:b w:val="0"/>
        </w:rPr>
      </w:r>
      <w:r>
        <w:rPr>
          <w:b/>
        </w:rPr>
        <w:t>Important framing:</w:t>
      </w:r>
      <w:r>
        <w:rPr>
          <w:b w:val="0"/>
        </w:rPr>
        <w:t xml:space="preserve"> $10M pipeline is not a claim that $10M will close or be recognized in 2026. It is a disciplined funnel target that can produce near-term pilots, 2027 subscription/advisory revenue, and executive proof that UNOS can generate mission-aligned commercial demand.</w:t>
      </w:r>
    </w:p>
    <w:p>
      <w:pPr>
        <w:pStyle w:val="Heading1"/>
      </w:pPr>
      <w:r>
        <w:t>3. Pipeline math: how $10M is built from ~55 OPOs</w:t>
      </w:r>
    </w:p>
    <w:p>
      <w:r>
        <w:rPr>
          <w:b w:val="0"/>
        </w:rPr>
        <w:t>The OPO market is small enough for account-based depth and large enough for meaningful contract value. The $10M objective requires moving beyond small diagnostics into enterprise transformation packages.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shd w:fill="EDE5D8"/>
          </w:tcPr>
          <w:p>
            <w:r/>
            <w:r>
              <w:rPr>
                <w:b/>
                <w:sz w:val="17"/>
              </w:rPr>
              <w:t>Segment</w:t>
            </w:r>
          </w:p>
        </w:tc>
        <w:tc>
          <w:tcPr>
            <w:tcW w:type="dxa" w:w="2074"/>
            <w:vAlign w:val="top"/>
            <w:shd w:fill="EDE5D8"/>
          </w:tcPr>
          <w:p>
            <w:r/>
            <w:r>
              <w:rPr>
                <w:b/>
                <w:sz w:val="17"/>
              </w:rPr>
              <w:t>Account universe</w:t>
            </w:r>
          </w:p>
        </w:tc>
        <w:tc>
          <w:tcPr>
            <w:tcW w:type="dxa" w:w="2074"/>
            <w:vAlign w:val="top"/>
            <w:shd w:fill="EDE5D8"/>
          </w:tcPr>
          <w:p>
            <w:r/>
            <w:r>
              <w:rPr>
                <w:b/>
                <w:sz w:val="17"/>
              </w:rPr>
              <w:t>Offer</w:t>
            </w:r>
          </w:p>
        </w:tc>
        <w:tc>
          <w:tcPr>
            <w:tcW w:type="dxa" w:w="2074"/>
            <w:vAlign w:val="top"/>
            <w:shd w:fill="EDE5D8"/>
          </w:tcPr>
          <w:p>
            <w:r/>
            <w:r>
              <w:rPr>
                <w:b/>
                <w:sz w:val="17"/>
              </w:rPr>
              <w:t>Illustrative pipeline value</w:t>
            </w:r>
          </w:p>
        </w:tc>
        <w:tc>
          <w:tcPr>
            <w:tcW w:type="dxa" w:w="2074"/>
            <w:vAlign w:val="top"/>
            <w:shd w:fill="EDE5D8"/>
          </w:tcPr>
          <w:p>
            <w:r/>
            <w:r>
              <w:rPr>
                <w:b/>
                <w:sz w:val="17"/>
              </w:rPr>
              <w:t>Pipeline target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Tier 1: highest-risk / highest-readiness OPOs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10–12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OPO Performance Command Center + AI-readiness roadmap + implementation advisory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$500K–$750K each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$5.0M–$6.0M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Tier 2: quality/accreditation improvement OPOs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18–22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Benchmark analytics + accreditation-risk early warning + quarterly advisory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$175K–$300K each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$3.5M–$4.0M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Tier 3: diagnostic / readiness motion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20–25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Paid or sponsored diagnostic, self-assessment, executive workshop, data-quality review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$25K–$100K each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$1.0M–$1.5M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Strategic partner / grant-funded OPO improvement pool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2–4 opportunities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Foundation, government, device/logistics/technology partner-supported performance initiatives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$250K–$750K each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$1.0M–$1.5M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Total qualified pipeline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~55 OPOs + partners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$10M+</w:t>
            </w:r>
          </w:p>
        </w:tc>
      </w:tr>
    </w:tbl>
    <w:p/>
    <w:p>
      <w:pPr>
        <w:pStyle w:val="Heading1"/>
      </w:pPr>
      <w:r>
        <w:t>4. Objectives (Aug–Dec 2026)</w:t>
      </w:r>
    </w:p>
    <w:p>
      <w:pPr>
        <w:pStyle w:val="ListBullet"/>
      </w:pPr>
      <w:r>
        <w:rPr>
          <w:b w:val="0"/>
        </w:rPr>
      </w:r>
      <w:r>
        <w:rPr>
          <w:b/>
        </w:rPr>
        <w:t>Coverage:</w:t>
      </w:r>
      <w:r>
        <w:rPr>
          <w:b w:val="0"/>
        </w:rPr>
        <w:t xml:space="preserve"> 100% of ~55 OPO accounts mapped, tiered by accreditation/performance risk, readiness, technology maturity, and likely contract value by Aug. 31.</w:t>
      </w:r>
    </w:p>
    <w:p>
      <w:pPr>
        <w:pStyle w:val="ListBullet"/>
      </w:pPr>
      <w:r>
        <w:rPr>
          <w:b w:val="0"/>
        </w:rPr>
      </w:r>
      <w:r>
        <w:rPr>
          <w:b/>
        </w:rPr>
        <w:t>Engagement:</w:t>
      </w:r>
      <w:r>
        <w:rPr>
          <w:b w:val="0"/>
        </w:rPr>
        <w:t xml:space="preserve"> 45+ OPOs engaged through an executive meeting, roundtable, webinar, diagnostic, self-assessment, or account-specific brief by Q4.</w:t>
      </w:r>
    </w:p>
    <w:p>
      <w:pPr>
        <w:pStyle w:val="ListBullet"/>
      </w:pPr>
      <w:r>
        <w:rPr>
          <w:b w:val="0"/>
        </w:rPr>
      </w:r>
      <w:r>
        <w:rPr>
          <w:b/>
        </w:rPr>
        <w:t>Pipeline:</w:t>
      </w:r>
      <w:r>
        <w:rPr>
          <w:b w:val="0"/>
        </w:rPr>
        <w:t xml:space="preserve"> 25–30 sales-qualified opportunities and </w:t>
      </w:r>
      <w:r>
        <w:rPr>
          <w:b/>
        </w:rPr>
        <w:t>$10M+ qualified pipeline</w:t>
      </w:r>
      <w:r>
        <w:rPr>
          <w:b w:val="0"/>
        </w:rPr>
        <w:t xml:space="preserve"> by Dec. 31.</w:t>
      </w:r>
    </w:p>
    <w:p>
      <w:pPr>
        <w:pStyle w:val="ListBullet"/>
      </w:pPr>
      <w:r>
        <w:rPr>
          <w:b w:val="0"/>
        </w:rPr>
      </w:r>
      <w:r>
        <w:rPr>
          <w:b/>
        </w:rPr>
        <w:t>Conversion:</w:t>
      </w:r>
      <w:r>
        <w:rPr>
          <w:b w:val="0"/>
        </w:rPr>
        <w:t xml:space="preserve"> 4–6 paying OPO pilots or diagnostics signed by Dec. 31; 2–3 referenceable case studies in motion.</w:t>
      </w:r>
    </w:p>
    <w:p>
      <w:pPr>
        <w:pStyle w:val="ListBullet"/>
      </w:pPr>
      <w:r>
        <w:rPr>
          <w:b w:val="0"/>
        </w:rPr>
      </w:r>
      <w:r>
        <w:rPr>
          <w:b/>
        </w:rPr>
        <w:t>Operating system:</w:t>
      </w:r>
      <w:r>
        <w:rPr>
          <w:b w:val="0"/>
        </w:rPr>
        <w:t xml:space="preserve"> Salesforce pipeline discipline, HubSpot demand engine, account-based content, and full-funnel KPI dashboard live by Sept. 30.</w:t>
      </w:r>
    </w:p>
    <w:p>
      <w:pPr>
        <w:pStyle w:val="ListBullet"/>
      </w:pPr>
      <w:r>
        <w:rPr>
          <w:b w:val="0"/>
        </w:rPr>
      </w:r>
      <w:r>
        <w:rPr>
          <w:b/>
        </w:rPr>
        <w:t>Financial discipline:</w:t>
      </w:r>
      <w:r>
        <w:rPr>
          <w:b w:val="0"/>
        </w:rPr>
        <w:t xml:space="preserve"> every proposal includes price, cost-to-deliver, gross margin, compliance review, delivery owner, and expansion path before submission.</w:t>
      </w:r>
    </w:p>
    <w:p>
      <w:pPr>
        <w:pStyle w:val="Heading1"/>
      </w:pPr>
      <w:r>
        <w:t>5. Strategy</w:t>
      </w:r>
    </w:p>
    <w:p>
      <w:pPr>
        <w:pStyle w:val="ListBullet"/>
      </w:pPr>
      <w:r>
        <w:rPr>
          <w:b w:val="0"/>
        </w:rPr>
      </w:r>
      <w:r>
        <w:rPr>
          <w:b/>
        </w:rPr>
        <w:t>Anchor offer:</w:t>
      </w:r>
      <w:r>
        <w:rPr>
          <w:b w:val="0"/>
        </w:rPr>
        <w:t xml:space="preserve"> </w:t>
      </w:r>
      <w:r>
        <w:rPr>
          <w:b/>
        </w:rPr>
        <w:t>OPO Quality, Accreditation &amp; AI-Readiness solution</w:t>
      </w:r>
      <w:r>
        <w:rPr>
          <w:b w:val="0"/>
        </w:rPr>
        <w:t xml:space="preserve"> — combining UNOS OPO Benchmark Report, Organ Utilization Tool, accreditation-risk early-warning, data-quality review, executive dashboarding, and implementation advisory.</w:t>
      </w:r>
    </w:p>
    <w:p>
      <w:pPr>
        <w:pStyle w:val="ListBullet"/>
      </w:pPr>
      <w:r>
        <w:rPr>
          <w:b w:val="0"/>
        </w:rPr>
      </w:r>
      <w:r>
        <w:rPr>
          <w:b/>
        </w:rPr>
        <w:t>Premium offer:</w:t>
      </w:r>
      <w:r>
        <w:rPr>
          <w:b w:val="0"/>
        </w:rPr>
        <w:t xml:space="preserve"> </w:t>
      </w:r>
      <w:r>
        <w:rPr>
          <w:b/>
        </w:rPr>
        <w:t>OPO Performance Command Center</w:t>
      </w:r>
      <w:r>
        <w:rPr>
          <w:b w:val="0"/>
        </w:rPr>
        <w:t xml:space="preserve"> — a higher-value package that helps OPO leadership move from static reporting to predictive insight, prioritized interventions, and board-ready performance management.</w:t>
      </w:r>
    </w:p>
    <w:p>
      <w:pPr>
        <w:pStyle w:val="ListBullet"/>
      </w:pPr>
      <w:r>
        <w:rPr>
          <w:b w:val="0"/>
        </w:rPr>
      </w:r>
      <w:r>
        <w:rPr>
          <w:b/>
        </w:rPr>
        <w:t>Positioning:</w:t>
      </w:r>
      <w:r>
        <w:rPr>
          <w:b w:val="0"/>
        </w:rPr>
        <w:t xml:space="preserve"> UNOS as the trusted performance partner that keeps OPOs improving, accredited, AI-ready, and mission-aligned — burden reduction and quality improvement, never “selling data.”</w:t>
      </w:r>
    </w:p>
    <w:p>
      <w:pPr>
        <w:pStyle w:val="ListBullet"/>
      </w:pPr>
      <w:r>
        <w:rPr>
          <w:b w:val="0"/>
        </w:rPr>
      </w:r>
      <w:r>
        <w:rPr>
          <w:b/>
        </w:rPr>
        <w:t>Pricing:</w:t>
      </w:r>
      <w:r>
        <w:rPr>
          <w:b w:val="0"/>
        </w:rPr>
        <w:t xml:space="preserve"> tiered diagnostic-to-subscription model; advisory priced with FTE/activity-based costing so sales and delivery maintain margin visibility.</w:t>
      </w:r>
    </w:p>
    <w:p>
      <w:pPr>
        <w:pStyle w:val="ListBullet"/>
      </w:pPr>
      <w:r>
        <w:rPr>
          <w:b w:val="0"/>
        </w:rPr>
      </w:r>
      <w:r>
        <w:rPr>
          <w:b/>
        </w:rPr>
        <w:t>Segment math:</w:t>
      </w:r>
      <w:r>
        <w:rPr>
          <w:b w:val="0"/>
        </w:rPr>
        <w:t xml:space="preserve"> ~55 accounts means account-based depth over broad volume — multi-threaded executive relationships, peer proof, and account-specific value hypotheses beat generic demand generation.</w:t>
      </w:r>
    </w:p>
    <w:p>
      <w:pPr>
        <w:pStyle w:val="ListBullet"/>
      </w:pPr>
      <w:r>
        <w:rPr>
          <w:b w:val="0"/>
        </w:rPr>
      </w:r>
      <w:r>
        <w:rPr>
          <w:b/>
        </w:rPr>
        <w:t>Deal discipline:</w:t>
      </w:r>
      <w:r>
        <w:rPr>
          <w:b w:val="0"/>
        </w:rPr>
        <w:t xml:space="preserve"> qualification scorecard covering mission fit, deliverability, gross margin, compliance, data permissions, executive sponsor, and expansion potential; maintain a visible “deals we do not chase” list.</w:t>
      </w:r>
    </w:p>
    <w:p>
      <w:pPr>
        <w:pStyle w:val="Heading1"/>
      </w:pPr>
      <w:r>
        <w:t>6. Packaging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DE5D8"/>
          </w:tcPr>
          <w:p>
            <w:r/>
            <w:r>
              <w:rPr>
                <w:b/>
                <w:sz w:val="17"/>
              </w:rPr>
              <w:t>Package</w:t>
            </w:r>
          </w:p>
        </w:tc>
        <w:tc>
          <w:tcPr>
            <w:tcW w:type="dxa" w:w="2592"/>
            <w:vAlign w:val="top"/>
            <w:shd w:fill="EDE5D8"/>
          </w:tcPr>
          <w:p>
            <w:r/>
            <w:r>
              <w:rPr>
                <w:b/>
                <w:sz w:val="17"/>
              </w:rPr>
              <w:t>Buyer</w:t>
            </w:r>
          </w:p>
        </w:tc>
        <w:tc>
          <w:tcPr>
            <w:tcW w:type="dxa" w:w="2592"/>
            <w:vAlign w:val="top"/>
            <w:shd w:fill="EDE5D8"/>
          </w:tcPr>
          <w:p>
            <w:r/>
            <w:r>
              <w:rPr>
                <w:b/>
                <w:sz w:val="17"/>
              </w:rPr>
              <w:t>Scope</w:t>
            </w:r>
          </w:p>
        </w:tc>
        <w:tc>
          <w:tcPr>
            <w:tcW w:type="dxa" w:w="2592"/>
            <w:vAlign w:val="top"/>
            <w:shd w:fill="EDE5D8"/>
          </w:tcPr>
          <w:p>
            <w:r/>
            <w:r>
              <w:rPr>
                <w:b/>
                <w:sz w:val="17"/>
              </w:rPr>
              <w:t>Pipeline value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Accreditation-Risk Diagnostic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CEO, quality leader, board/PI leader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30–45 day diagnostic, benchmark snapshot, risk/opportunity readout, action plan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$25K–$75K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OPO Quality &amp; Accreditation Subscription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CEO, COO, quality/PI director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Quarterly benchmarks, risk early-warning, performance dashboard, advisory reviews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$150K–$250K/year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OPO Performance Command Center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CEO, COO, medical director, board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Integrated benchmark + utilization + workflow + data-quality + AI-readiness operating system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$500K–$750K pipeline value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AI-Readiness / Data-Maturity Transformation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OPO executive team, CIO/data lead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Maturity assessment, roadmap, governance, responsible AI use cases, operating cadence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$150K–$400K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Partner-funded OPO Improvement Initiative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Foundations, government, logistics/device/tech partners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Multi-OPO performance initiative tied to organ utilization, equity, safety, logistics, or data modernization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$250K–$1M+</w:t>
            </w:r>
          </w:p>
        </w:tc>
      </w:tr>
    </w:tbl>
    <w:p/>
    <w:p>
      <w:pPr>
        <w:pStyle w:val="Heading1"/>
      </w:pPr>
      <w:r>
        <w:t>7. Marketing tactics — building the $10M funnel</w:t>
      </w:r>
    </w:p>
    <w:p>
      <w:pPr>
        <w:pStyle w:val="Heading2"/>
      </w:pPr>
      <w:r>
        <w:t>Top of funnel — create awareness and demand</w:t>
      </w:r>
    </w:p>
    <w:p>
      <w:pPr>
        <w:pStyle w:val="ListBullet"/>
      </w:pPr>
      <w:r>
        <w:rPr>
          <w:b w:val="0"/>
        </w:rPr>
      </w:r>
      <w:r>
        <w:rPr>
          <w:b/>
        </w:rPr>
        <w:t>Category narrative:</w:t>
      </w:r>
      <w:r>
        <w:rPr>
          <w:b w:val="0"/>
        </w:rPr>
        <w:t xml:space="preserve"> “UNOS as the trusted OPO performance and accreditation partner” — one message architecture across executive, operating, and market channels.</w:t>
      </w:r>
    </w:p>
    <w:p>
      <w:pPr>
        <w:pStyle w:val="ListBullet"/>
      </w:pPr>
      <w:r>
        <w:rPr>
          <w:b w:val="0"/>
        </w:rPr>
      </w:r>
      <w:r>
        <w:rPr>
          <w:b/>
        </w:rPr>
        <w:t>Flagship content:</w:t>
      </w:r>
      <w:r>
        <w:rPr>
          <w:b w:val="0"/>
        </w:rPr>
        <w:t xml:space="preserve"> annual </w:t>
      </w:r>
      <w:r>
        <w:rPr>
          <w:b/>
        </w:rPr>
        <w:t>State of OPO Quality &amp; AI-Readiness</w:t>
      </w:r>
      <w:r>
        <w:rPr>
          <w:b w:val="0"/>
        </w:rPr>
        <w:t xml:space="preserve"> benchmark report; gated executive summary and OPO self-assessment.</w:t>
      </w:r>
    </w:p>
    <w:p>
      <w:pPr>
        <w:pStyle w:val="ListBullet"/>
      </w:pPr>
      <w:r>
        <w:rPr>
          <w:b w:val="0"/>
        </w:rPr>
      </w:r>
      <w:r>
        <w:rPr>
          <w:b/>
        </w:rPr>
        <w:t>Thought leadership:</w:t>
      </w:r>
      <w:r>
        <w:rPr>
          <w:b w:val="0"/>
        </w:rPr>
        <w:t xml:space="preserve"> quarterly OPO performance point of view; amplify Mark’s published process re-engineering work; CEO/CGO bylines in AOPO channels.</w:t>
      </w:r>
    </w:p>
    <w:p>
      <w:pPr>
        <w:pStyle w:val="ListBullet"/>
      </w:pPr>
      <w:r>
        <w:rPr>
          <w:b w:val="0"/>
        </w:rPr>
      </w:r>
      <w:r>
        <w:rPr>
          <w:b/>
        </w:rPr>
        <w:t>Executive presence:</w:t>
      </w:r>
      <w:r>
        <w:rPr>
          <w:b w:val="0"/>
        </w:rPr>
        <w:t xml:space="preserve"> AOPO, NATCO, UNOS-hosted Richmond roundtables, quality-leader webinar series, private CEO dinners/briefings.</w:t>
      </w:r>
    </w:p>
    <w:p>
      <w:pPr>
        <w:pStyle w:val="ListBullet"/>
      </w:pPr>
      <w:r>
        <w:rPr>
          <w:b w:val="0"/>
        </w:rPr>
      </w:r>
      <w:r>
        <w:rPr>
          <w:b/>
        </w:rPr>
        <w:t>Account-specific value briefs:</w:t>
      </w:r>
      <w:r>
        <w:rPr>
          <w:b w:val="0"/>
        </w:rPr>
        <w:t xml:space="preserve"> one-page “where we see opportunity” briefs for top 20 OPOs, using only appropriate and permissioned data.</w:t>
      </w:r>
    </w:p>
    <w:p>
      <w:pPr>
        <w:pStyle w:val="Heading2"/>
      </w:pPr>
      <w:r>
        <w:t>Middle of funnel — nurture and qualify</w:t>
      </w:r>
    </w:p>
    <w:p>
      <w:pPr>
        <w:pStyle w:val="ListBullet"/>
      </w:pPr>
      <w:r>
        <w:rPr>
          <w:b w:val="0"/>
        </w:rPr>
      </w:r>
      <w:r>
        <w:rPr>
          <w:b/>
        </w:rPr>
        <w:t>ABM plays by tier:</w:t>
      </w:r>
      <w:r>
        <w:rPr>
          <w:b w:val="0"/>
        </w:rPr>
        <w:t xml:space="preserve"> tailored journeys for Tier 1, Tier 2, and diagnostic accounts.</w:t>
      </w:r>
    </w:p>
    <w:p>
      <w:pPr>
        <w:pStyle w:val="ListBullet"/>
      </w:pPr>
      <w:r>
        <w:rPr>
          <w:b w:val="0"/>
        </w:rPr>
      </w:r>
      <w:r>
        <w:rPr>
          <w:b/>
        </w:rPr>
        <w:t>HubSpot nurture streams:</w:t>
      </w:r>
      <w:r>
        <w:rPr>
          <w:b w:val="0"/>
        </w:rPr>
        <w:t xml:space="preserve"> triggered by report downloads, self-assessment completion, webinar attendance, and roundtable participation.</w:t>
      </w:r>
    </w:p>
    <w:p>
      <w:pPr>
        <w:pStyle w:val="ListBullet"/>
      </w:pPr>
      <w:r>
        <w:rPr>
          <w:b w:val="0"/>
        </w:rPr>
      </w:r>
      <w:r>
        <w:rPr>
          <w:b/>
        </w:rPr>
        <w:t>Peer proof:</w:t>
      </w:r>
      <w:r>
        <w:rPr>
          <w:b w:val="0"/>
        </w:rPr>
        <w:t xml:space="preserve"> pilot case studies, customer panels, and reference calls brokered between OPO leaders.</w:t>
      </w:r>
    </w:p>
    <w:p>
      <w:pPr>
        <w:pStyle w:val="ListBullet"/>
      </w:pPr>
      <w:r>
        <w:rPr>
          <w:b w:val="0"/>
        </w:rPr>
      </w:r>
      <w:r>
        <w:rPr>
          <w:b/>
        </w:rPr>
        <w:t>Role-specific messaging:</w:t>
      </w:r>
      <w:r>
        <w:rPr>
          <w:b w:val="0"/>
        </w:rPr>
        <w:t xml:space="preserve"> CEO, COO, quality/PI director, medical director, procurement leader, data/technology leader, board/stakeholder audience.</w:t>
      </w:r>
    </w:p>
    <w:p>
      <w:pPr>
        <w:pStyle w:val="ListBullet"/>
      </w:pPr>
      <w:r>
        <w:rPr>
          <w:b w:val="0"/>
        </w:rPr>
      </w:r>
      <w:r>
        <w:rPr>
          <w:b/>
        </w:rPr>
        <w:t>Compliance-by-design:</w:t>
      </w:r>
      <w:r>
        <w:rPr>
          <w:b w:val="0"/>
        </w:rPr>
        <w:t xml:space="preserve"> every content asset uses mission, quality, accreditation, burden reduction, and data governance language — not extractive commercialization language.</w:t>
      </w:r>
    </w:p>
    <w:p>
      <w:pPr>
        <w:pStyle w:val="Heading2"/>
      </w:pPr>
      <w:r>
        <w:t>Bottom of funnel — convert</w:t>
      </w:r>
    </w:p>
    <w:p>
      <w:pPr>
        <w:pStyle w:val="ListBullet"/>
      </w:pPr>
      <w:r>
        <w:rPr>
          <w:b w:val="0"/>
        </w:rPr>
      </w:r>
      <w:r>
        <w:rPr>
          <w:b/>
        </w:rPr>
        <w:t>Conversion offer:</w:t>
      </w:r>
      <w:r>
        <w:rPr>
          <w:b w:val="0"/>
        </w:rPr>
        <w:t xml:space="preserve"> accreditation-risk / performance diagnostic that naturally scopes a paid pilot or subscription.</w:t>
      </w:r>
    </w:p>
    <w:p>
      <w:pPr>
        <w:pStyle w:val="ListBullet"/>
      </w:pPr>
      <w:r>
        <w:rPr>
          <w:b w:val="0"/>
        </w:rPr>
      </w:r>
      <w:r>
        <w:rPr>
          <w:b/>
        </w:rPr>
        <w:t>Proposal kit:</w:t>
      </w:r>
      <w:r>
        <w:rPr>
          <w:b w:val="0"/>
        </w:rPr>
        <w:t xml:space="preserve"> ROI model, accreditation-risk framing, implementation plan, data-governance guardrails, delivery plan, expansion map.</w:t>
      </w:r>
    </w:p>
    <w:p>
      <w:pPr>
        <w:pStyle w:val="ListBullet"/>
      </w:pPr>
      <w:r>
        <w:rPr>
          <w:b w:val="0"/>
        </w:rPr>
      </w:r>
      <w:r>
        <w:rPr>
          <w:b/>
        </w:rPr>
        <w:t>Executive sponsor program:</w:t>
      </w:r>
      <w:r>
        <w:rPr>
          <w:b w:val="0"/>
        </w:rPr>
        <w:t xml:space="preserve"> CGO/CEO engagement on every late-stage Tier 1 or Tier 2 opportunity.</w:t>
      </w:r>
    </w:p>
    <w:p>
      <w:pPr>
        <w:pStyle w:val="ListBullet"/>
      </w:pPr>
      <w:r>
        <w:rPr>
          <w:b w:val="0"/>
        </w:rPr>
      </w:r>
      <w:r>
        <w:rPr>
          <w:b/>
        </w:rPr>
        <w:t>Deal desk:</w:t>
      </w:r>
      <w:r>
        <w:rPr>
          <w:b w:val="0"/>
        </w:rPr>
        <w:t xml:space="preserve"> weekly pricing, margin, deliverability, compliance, and legal review for proposals above threshold.</w:t>
      </w:r>
    </w:p>
    <w:p>
      <w:pPr>
        <w:pStyle w:val="Heading1"/>
      </w:pPr>
      <w:r>
        <w:t>8. Sales tactics — pipeline and conversion</w:t>
      </w:r>
    </w:p>
    <w:p>
      <w:pPr>
        <w:pStyle w:val="ListBullet"/>
      </w:pPr>
      <w:r>
        <w:rPr>
          <w:b w:val="0"/>
        </w:rPr>
      </w:r>
      <w:r>
        <w:rPr>
          <w:b/>
        </w:rPr>
        <w:t>Named-account coverage:</w:t>
      </w:r>
      <w:r>
        <w:rPr>
          <w:b w:val="0"/>
        </w:rPr>
        <w:t xml:space="preserve"> every OPO owned; top 20 highest-risk/highest-readiness accounts receive CGO-led executive engagement.</w:t>
      </w:r>
    </w:p>
    <w:p>
      <w:pPr>
        <w:pStyle w:val="ListBullet"/>
      </w:pPr>
      <w:r>
        <w:rPr>
          <w:b w:val="0"/>
        </w:rPr>
      </w:r>
      <w:r>
        <w:rPr>
          <w:b/>
        </w:rPr>
        <w:t>Whale discipline:</w:t>
      </w:r>
      <w:r>
        <w:rPr>
          <w:b w:val="0"/>
        </w:rPr>
        <w:t xml:space="preserve"> focus senior human time on the largest, most mission-aligned opportunities; automate lower-value nurture where possible.</w:t>
      </w:r>
    </w:p>
    <w:p>
      <w:pPr>
        <w:pStyle w:val="ListBullet"/>
      </w:pPr>
      <w:r>
        <w:rPr>
          <w:b w:val="0"/>
        </w:rPr>
      </w:r>
      <w:r>
        <w:rPr>
          <w:b/>
        </w:rPr>
        <w:t>Pipeline operating system:</w:t>
      </w:r>
      <w:r>
        <w:rPr>
          <w:b w:val="0"/>
        </w:rPr>
        <w:t xml:space="preserve"> single Salesforce pipeline with exit criteria: Target → Engaged → Diagnostic Accepted → Qualified Opportunity → Proposal → Negotiation → Closed / Deferred / No-Chase.</w:t>
      </w:r>
    </w:p>
    <w:p>
      <w:pPr>
        <w:pStyle w:val="ListBullet"/>
      </w:pPr>
      <w:r>
        <w:rPr>
          <w:b w:val="0"/>
        </w:rPr>
      </w:r>
      <w:r>
        <w:rPr>
          <w:b/>
        </w:rPr>
        <w:t>Multi-threading:</w:t>
      </w:r>
      <w:r>
        <w:rPr>
          <w:b w:val="0"/>
        </w:rPr>
        <w:t xml:space="preserve"> minimum 3 contacts per active account; Tier 1 accounts require 5+ contacts across CEO, operations, quality, medical, and data/technology leadership.</w:t>
      </w:r>
    </w:p>
    <w:p>
      <w:pPr>
        <w:pStyle w:val="ListBullet"/>
      </w:pPr>
      <w:r>
        <w:rPr>
          <w:b w:val="0"/>
        </w:rPr>
      </w:r>
      <w:r>
        <w:rPr>
          <w:b/>
        </w:rPr>
        <w:t>Land-and-expand:</w:t>
      </w:r>
      <w:r>
        <w:rPr>
          <w:b w:val="0"/>
        </w:rPr>
        <w:t xml:space="preserve"> diagnostic → pilot → subscription/advisory → command center → partner-funded expansion.</w:t>
      </w:r>
    </w:p>
    <w:p>
      <w:pPr>
        <w:pStyle w:val="ListBullet"/>
      </w:pPr>
      <w:r>
        <w:rPr>
          <w:b w:val="0"/>
        </w:rPr>
      </w:r>
      <w:r>
        <w:rPr>
          <w:b/>
        </w:rPr>
        <w:t>Sell-deliver alignment:</w:t>
      </w:r>
      <w:r>
        <w:rPr>
          <w:b w:val="0"/>
        </w:rPr>
        <w:t xml:space="preserve"> delivery lead joins late-stage calls; cost-to-deliver and margin agreed before proposal submission.</w:t>
      </w:r>
    </w:p>
    <w:p>
      <w:pPr>
        <w:pStyle w:val="ListBullet"/>
      </w:pPr>
      <w:r>
        <w:rPr>
          <w:b w:val="0"/>
        </w:rPr>
      </w:r>
      <w:r>
        <w:rPr>
          <w:b/>
        </w:rPr>
        <w:t>90-day sprint:</w:t>
      </w:r>
      <w:r>
        <w:rPr>
          <w:b w:val="0"/>
        </w:rPr>
        <w:t xml:space="preserve"> first signed OPO diagnostic-to-pilot conversion is the sales proof point; first marketing-sourced opportunity is the marketing proof point.</w:t>
      </w:r>
    </w:p>
    <w:p>
      <w:pPr>
        <w:pStyle w:val="Heading1"/>
      </w:pPr>
      <w:r>
        <w:t>9. Funnel KPIs and metrics</w:t>
      </w:r>
    </w:p>
    <w:p>
      <w:pPr>
        <w:pStyle w:val="Heading2"/>
      </w:pPr>
      <w:r>
        <w:t>Top of funnel: awareness → engagement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DE5D8"/>
          </w:tcPr>
          <w:p>
            <w:r/>
            <w:r>
              <w:rPr>
                <w:b/>
                <w:sz w:val="17"/>
              </w:rPr>
              <w:t>KPI</w:t>
            </w:r>
          </w:p>
        </w:tc>
        <w:tc>
          <w:tcPr>
            <w:tcW w:type="dxa" w:w="3456"/>
            <w:vAlign w:val="top"/>
            <w:shd w:fill="EDE5D8"/>
          </w:tcPr>
          <w:p>
            <w:r/>
            <w:r>
              <w:rPr>
                <w:b/>
                <w:sz w:val="17"/>
              </w:rPr>
              <w:t>H2 2026 target</w:t>
            </w:r>
          </w:p>
        </w:tc>
        <w:tc>
          <w:tcPr>
            <w:tcW w:type="dxa" w:w="3456"/>
            <w:vAlign w:val="top"/>
            <w:shd w:fill="EDE5D8"/>
          </w:tcPr>
          <w:p>
            <w:r/>
            <w:r>
              <w:rPr>
                <w:b/>
                <w:sz w:val="17"/>
              </w:rPr>
              <w:t>Cadence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Target-account coverage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55/55 by Aug. 31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Monthly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Accounts tiered by risk/readiness/value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55/55 by Aug. 31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Monthly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Account engagement rate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80%+ of OPOs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Monthly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Benchmark report downloads / self-assessment completions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40 accounts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Monthly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Webinar / roundtable attendance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35 unique OPO accounts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Per event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Marketing-qualified accounts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30–35 accounts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Monthly</w:t>
            </w:r>
          </w:p>
        </w:tc>
      </w:tr>
    </w:tbl>
    <w:p/>
    <w:p>
      <w:pPr>
        <w:pStyle w:val="Heading2"/>
      </w:pPr>
      <w:r>
        <w:t>Middle of funnel: qualification → opportunity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DE5D8"/>
          </w:tcPr>
          <w:p>
            <w:r/>
            <w:r>
              <w:rPr>
                <w:b/>
                <w:sz w:val="17"/>
              </w:rPr>
              <w:t>KPI</w:t>
            </w:r>
          </w:p>
        </w:tc>
        <w:tc>
          <w:tcPr>
            <w:tcW w:type="dxa" w:w="3456"/>
            <w:vAlign w:val="top"/>
            <w:shd w:fill="EDE5D8"/>
          </w:tcPr>
          <w:p>
            <w:r/>
            <w:r>
              <w:rPr>
                <w:b/>
                <w:sz w:val="17"/>
              </w:rPr>
              <w:t>H2 2026 target</w:t>
            </w:r>
          </w:p>
        </w:tc>
        <w:tc>
          <w:tcPr>
            <w:tcW w:type="dxa" w:w="3456"/>
            <w:vAlign w:val="top"/>
            <w:shd w:fill="EDE5D8"/>
          </w:tcPr>
          <w:p>
            <w:r/>
            <w:r>
              <w:rPr>
                <w:b/>
                <w:sz w:val="17"/>
              </w:rPr>
              <w:t>Cadence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Discovery / executive meetings booked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40+ meetings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Weekly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MQA → meeting conversion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65%+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Monthly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Diagnostics accepted / started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18–22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Weekly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Sales-qualified opportunities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25–30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Weekly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Qualified pipeline value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$10M+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Weekly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Multi-threading depth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3+ average; 5+ for Tier 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Monthly</w:t>
            </w:r>
          </w:p>
        </w:tc>
      </w:tr>
    </w:tbl>
    <w:p/>
    <w:p>
      <w:pPr>
        <w:pStyle w:val="Heading2"/>
      </w:pPr>
      <w:r>
        <w:t>Bottom of funnel: proposal → value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DE5D8"/>
          </w:tcPr>
          <w:p>
            <w:r/>
            <w:r>
              <w:rPr>
                <w:b/>
                <w:sz w:val="17"/>
              </w:rPr>
              <w:t>KPI</w:t>
            </w:r>
          </w:p>
        </w:tc>
        <w:tc>
          <w:tcPr>
            <w:tcW w:type="dxa" w:w="3456"/>
            <w:vAlign w:val="top"/>
            <w:shd w:fill="EDE5D8"/>
          </w:tcPr>
          <w:p>
            <w:r/>
            <w:r>
              <w:rPr>
                <w:b/>
                <w:sz w:val="17"/>
              </w:rPr>
              <w:t>H2 2026 target</w:t>
            </w:r>
          </w:p>
        </w:tc>
        <w:tc>
          <w:tcPr>
            <w:tcW w:type="dxa" w:w="3456"/>
            <w:vAlign w:val="top"/>
            <w:shd w:fill="EDE5D8"/>
          </w:tcPr>
          <w:p>
            <w:r/>
            <w:r>
              <w:rPr>
                <w:b/>
                <w:sz w:val="17"/>
              </w:rPr>
              <w:t>Cadence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Proposals submitted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12–15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Weekly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Proposal-stage pipeline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$6M–$8M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Weekly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Weighted pipeline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$2.5M–$3.5M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Weekly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Proposal → close win rate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30%–40%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Monthly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Paying OPO pilots/diagnostics signed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4–6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Weekly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Average pilot/diagnostic contract value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$75K–$200K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Monthly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Average command-center opportunity value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$500K–$750K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Monthly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Sales cycle length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&lt;120 days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Monthly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Time to first value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&lt;30 days from signature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Per deal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Referenceable customers / case studies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2–3 by Q4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Quarterly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Delivery margin per engagement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45%+ gross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Monthly</w:t>
            </w:r>
          </w:p>
        </w:tc>
      </w:tr>
    </w:tbl>
    <w:p/>
    <w:p>
      <w:pPr>
        <w:pStyle w:val="Heading1"/>
      </w:pPr>
      <w:r>
        <w:t>10. Pipeline governance and forecast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DE5D8"/>
          </w:tcPr>
          <w:p>
            <w:r/>
            <w:r>
              <w:rPr>
                <w:b/>
                <w:sz w:val="17"/>
              </w:rPr>
              <w:t>Stage</w:t>
            </w:r>
          </w:p>
        </w:tc>
        <w:tc>
          <w:tcPr>
            <w:tcW w:type="dxa" w:w="3456"/>
            <w:vAlign w:val="top"/>
            <w:shd w:fill="EDE5D8"/>
          </w:tcPr>
          <w:p>
            <w:r/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3456"/>
            <w:vAlign w:val="top"/>
            <w:shd w:fill="EDE5D8"/>
          </w:tcPr>
          <w:p>
            <w:r/>
            <w:r>
              <w:rPr>
                <w:b/>
                <w:sz w:val="17"/>
              </w:rPr>
              <w:t>Included in $10M?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Target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Account mapped, tiered, and assigned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Engaged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Meaningful interaction with role-fit stakeholder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Diagnostic accepted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Account agrees to diagnostic/self-assessment/workshop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Partially, if scoped and value hypothesis exists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Qualified opportunity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Need, authority, mission fit, compliance fit, deliverability, estimated value, and timeline confirmed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Proposal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Written proposal or SOW submitted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Negotiation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Scope, price, terms, procurement, or legal review underway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Closed won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Signed agreement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No longer pipeline; becomes bookings/revenue forecast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Deferred/no-chase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Not active or not mission/compliance/delivery fit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</w:tbl>
    <w:p/>
    <w:p>
      <w:pPr>
        <w:pStyle w:val="Heading1"/>
      </w:pPr>
      <w:r>
        <w:t>11. Operating cadence</w:t>
      </w:r>
    </w:p>
    <w:p>
      <w:pPr>
        <w:pStyle w:val="ListBullet"/>
      </w:pPr>
      <w:r>
        <w:rPr>
          <w:b w:val="0"/>
        </w:rPr>
      </w:r>
      <w:r>
        <w:rPr>
          <w:b/>
        </w:rPr>
        <w:t>Weekly growth stand-up:</w:t>
      </w:r>
      <w:r>
        <w:rPr>
          <w:b w:val="0"/>
        </w:rPr>
        <w:t xml:space="preserve"> funnel movement by stage, blockers, deal strategy, top 10 opportunities, and next actions.</w:t>
      </w:r>
    </w:p>
    <w:p>
      <w:pPr>
        <w:pStyle w:val="ListBullet"/>
      </w:pPr>
      <w:r>
        <w:rPr>
          <w:b w:val="0"/>
        </w:rPr>
      </w:r>
      <w:r>
        <w:rPr>
          <w:b/>
        </w:rPr>
        <w:t>Weekly deal desk:</w:t>
      </w:r>
      <w:r>
        <w:rPr>
          <w:b w:val="0"/>
        </w:rPr>
        <w:t xml:space="preserve"> pricing, deliverability, gross margin, data-use/compliance, and proposal quality review.</w:t>
      </w:r>
    </w:p>
    <w:p>
      <w:pPr>
        <w:pStyle w:val="ListBullet"/>
      </w:pPr>
      <w:r>
        <w:rPr>
          <w:b w:val="0"/>
        </w:rPr>
      </w:r>
      <w:r>
        <w:rPr>
          <w:b/>
        </w:rPr>
        <w:t>Monthly executive review:</w:t>
      </w:r>
      <w:r>
        <w:rPr>
          <w:b w:val="0"/>
        </w:rPr>
        <w:t xml:space="preserve"> full-funnel KPI dashboard, conversion rates, weighted forecast, pipeline health, pricing decisions, and deals-not-to-chase.</w:t>
      </w:r>
    </w:p>
    <w:p>
      <w:pPr>
        <w:pStyle w:val="ListBullet"/>
      </w:pPr>
      <w:r>
        <w:rPr>
          <w:b w:val="0"/>
        </w:rPr>
      </w:r>
      <w:r>
        <w:rPr>
          <w:b/>
        </w:rPr>
        <w:t>Quarterly board narrative:</w:t>
      </w:r>
      <w:r>
        <w:rPr>
          <w:b w:val="0"/>
        </w:rPr>
        <w:t xml:space="preserve"> proof points, pipeline value, weighted forecast, unit economics, mission outcomes, and expansion plan to transplant centers and beyond.</w:t>
      </w:r>
    </w:p>
    <w:p>
      <w:pPr>
        <w:pStyle w:val="Heading1"/>
      </w:pPr>
      <w:r>
        <w:t>12. Board / leadership headline</w:t>
      </w:r>
    </w:p>
    <w:p>
      <w:pPr>
        <w:ind w:left="288" w:right="144"/>
      </w:pPr>
      <w:r>
        <w:rPr>
          <w:i/>
          <w:color w:val="0F6E56"/>
          <w:sz w:val="20"/>
        </w:rPr>
        <w:t>**H2 2026 target: build a $10M qualified OPO pipeline that proves UNOS can convert its trusted data, expertise, and customer relationships into mission-aligned performance products — while protecting public trust and creating the commercial operating discipline required for 2027 growth.**</w:t>
      </w:r>
    </w:p>
    <w:p>
      <w:pPr>
        <w:pStyle w:val="Heading1"/>
      </w:pPr>
      <w:r>
        <w:t>13. Language to use externally</w:t>
      </w:r>
    </w:p>
    <w:p>
      <w:pPr>
        <w:pStyle w:val="ListBullet"/>
      </w:pPr>
      <w:r>
        <w:rPr>
          <w:b w:val="0"/>
        </w:rPr>
        <w:t>“Performance improvement”</w:t>
      </w:r>
    </w:p>
    <w:p>
      <w:pPr>
        <w:pStyle w:val="ListBullet"/>
      </w:pPr>
      <w:r>
        <w:rPr>
          <w:b w:val="0"/>
        </w:rPr>
        <w:t>“Accreditation readiness”</w:t>
      </w:r>
    </w:p>
    <w:p>
      <w:pPr>
        <w:pStyle w:val="ListBullet"/>
      </w:pPr>
      <w:r>
        <w:rPr>
          <w:b w:val="0"/>
        </w:rPr>
        <w:t>“Quality and operational excellence”</w:t>
      </w:r>
    </w:p>
    <w:p>
      <w:pPr>
        <w:pStyle w:val="ListBullet"/>
      </w:pPr>
      <w:r>
        <w:rPr>
          <w:b w:val="0"/>
        </w:rPr>
        <w:t>“Burden reduction”</w:t>
      </w:r>
    </w:p>
    <w:p>
      <w:pPr>
        <w:pStyle w:val="ListBullet"/>
      </w:pPr>
      <w:r>
        <w:rPr>
          <w:b w:val="0"/>
        </w:rPr>
        <w:t>“Permissioned and governed analytics”</w:t>
      </w:r>
    </w:p>
    <w:p>
      <w:pPr>
        <w:pStyle w:val="ListBullet"/>
      </w:pPr>
      <w:r>
        <w:rPr>
          <w:b w:val="0"/>
        </w:rPr>
        <w:t>“Human-governed decision support”</w:t>
      </w:r>
    </w:p>
    <w:p>
      <w:pPr>
        <w:pStyle w:val="ListBullet"/>
      </w:pPr>
      <w:r>
        <w:rPr>
          <w:b w:val="0"/>
        </w:rPr>
        <w:t>“Turning data into action”</w:t>
      </w:r>
    </w:p>
    <w:p>
      <w:pPr>
        <w:pStyle w:val="ListBullet"/>
      </w:pPr>
      <w:r>
        <w:rPr>
          <w:b w:val="0"/>
        </w:rPr>
        <w:t>“Helping OPOs become more AI-ready and performance-driven”</w:t>
      </w:r>
    </w:p>
    <w:p>
      <w:pPr>
        <w:pStyle w:val="Heading1"/>
      </w:pPr>
      <w:r>
        <w:t>14. Language to avoid</w:t>
      </w:r>
    </w:p>
    <w:p>
      <w:pPr>
        <w:pStyle w:val="ListBullet"/>
      </w:pPr>
      <w:r>
        <w:rPr>
          <w:b w:val="0"/>
        </w:rPr>
        <w:t>“Selling the data”</w:t>
      </w:r>
    </w:p>
    <w:p>
      <w:pPr>
        <w:pStyle w:val="ListBullet"/>
      </w:pPr>
      <w:r>
        <w:rPr>
          <w:b w:val="0"/>
        </w:rPr>
        <w:t>“Monetizing patient data”</w:t>
      </w:r>
    </w:p>
    <w:p>
      <w:pPr>
        <w:pStyle w:val="ListBullet"/>
      </w:pPr>
      <w:r>
        <w:rPr>
          <w:b w:val="0"/>
        </w:rPr>
        <w:t>“Replacing clinical judgment”</w:t>
      </w:r>
    </w:p>
    <w:p>
      <w:pPr>
        <w:pStyle w:val="ListBullet"/>
      </w:pPr>
      <w:r>
        <w:rPr>
          <w:b w:val="0"/>
        </w:rPr>
        <w:t>“AI will solve matching”</w:t>
      </w:r>
    </w:p>
    <w:p>
      <w:pPr>
        <w:pStyle w:val="ListBullet"/>
      </w:pPr>
      <w:r>
        <w:rPr>
          <w:b w:val="0"/>
        </w:rPr>
        <w:t>“Guaranteed outcome improvement”</w:t>
      </w:r>
    </w:p>
    <w:p>
      <w:pPr>
        <w:pStyle w:val="ListBullet"/>
      </w:pPr>
      <w:r>
        <w:rPr>
          <w:b w:val="0"/>
        </w:rPr>
        <w:t>“Move fast and break things”</w:t>
      </w:r>
    </w:p>
    <w:p>
      <w:pPr>
        <w:pStyle w:val="ListBullet"/>
      </w:pPr>
      <w:r>
        <w:rPr>
          <w:b w:val="0"/>
        </w:rPr>
        <w:t>Any claim that implies use of restricted data without permission, governance, or validation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6E5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D0D0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6E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