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D0D0B"/>
          <w:sz w:val="42"/>
        </w:rPr>
        <w:t>What If: Future Use Case Exploratory</w:t>
      </w:r>
    </w:p>
    <w:p>
      <w:r>
        <w:rPr>
          <w:rFonts w:ascii="Aptos" w:hAnsi="Aptos"/>
          <w:b w:val="0"/>
          <w:sz w:val="18"/>
        </w:rPr>
        <w:t>UNOS / OPTN Data-to-Product Growth Concepts | Croom Lawrence / PredictCare.ai | July 2026 | Confidential draft for discussion</w:t>
      </w:r>
    </w:p>
    <w:p>
      <w:pPr>
        <w:pStyle w:val="Heading1"/>
      </w:pPr>
      <w:r>
        <w:t>1. Executive thesis</w:t>
      </w:r>
    </w:p>
    <w:p>
      <w:r>
        <w:rPr>
          <w:rFonts w:ascii="Aptos" w:hAnsi="Aptos"/>
          <w:b w:val="0"/>
          <w:sz w:val="18"/>
        </w:rPr>
        <w:t xml:space="preserve">The UNOS / OPTN data ecosystem can support a new generation of mission-aligned commercial solutions — not by “selling data,” but by packaging </w:t>
      </w:r>
      <w:r>
        <w:rPr>
          <w:rFonts w:ascii="Aptos" w:hAnsi="Aptos"/>
          <w:b/>
          <w:sz w:val="18"/>
        </w:rPr>
        <w:t>permissioned, de-identified, aggregated, human-governed transplant intelligence</w:t>
      </w:r>
      <w:r>
        <w:rPr>
          <w:rFonts w:ascii="Aptos" w:hAnsi="Aptos"/>
          <w:b w:val="0"/>
          <w:sz w:val="18"/>
        </w:rPr>
        <w:t xml:space="preserve"> into tools that help customers make better operational decisions.</w:t>
      </w:r>
    </w:p>
    <w:p>
      <w:r>
        <w:rPr>
          <w:rFonts w:ascii="Aptos" w:hAnsi="Aptos"/>
          <w:b w:val="0"/>
          <w:sz w:val="18"/>
        </w:rPr>
        <w:t>This exploratory abstracts the future use cases identified in the database audit into customer-facing solution concepts. The purpose is not to claim these products exist today or that all required data is immediately available. The purpose is to show how UNOS could translate its unique data, workflow, policy, and trust position into responsible growth products for OPOs, transplant centers, labs, device/logistics partners, payers, researchers, philanthropies, and public-interest stakeholders.</w:t>
      </w:r>
    </w:p>
    <w:p>
      <w:pPr>
        <w:pStyle w:val="Heading1"/>
      </w:pPr>
      <w:r>
        <w:t>2. Strategic frame: from data stewardship to performance infrastructure</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EDE5D8"/>
          </w:tcPr>
          <w:p>
            <w:r/>
            <w:r>
              <w:rPr>
                <w:rFonts w:ascii="Aptos" w:hAnsi="Aptos"/>
                <w:b/>
                <w:sz w:val="15"/>
              </w:rPr>
              <w:t>Current asset</w:t>
            </w:r>
          </w:p>
        </w:tc>
        <w:tc>
          <w:tcPr>
            <w:tcW w:type="dxa" w:w="3552"/>
            <w:vAlign w:val="top"/>
            <w:shd w:fill="EDE5D8"/>
          </w:tcPr>
          <w:p>
            <w:r/>
            <w:r>
              <w:rPr>
                <w:rFonts w:ascii="Aptos" w:hAnsi="Aptos"/>
                <w:b/>
                <w:sz w:val="15"/>
              </w:rPr>
              <w:t>Future product abstraction</w:t>
            </w:r>
          </w:p>
        </w:tc>
        <w:tc>
          <w:tcPr>
            <w:tcW w:type="dxa" w:w="3552"/>
            <w:vAlign w:val="top"/>
            <w:shd w:fill="EDE5D8"/>
          </w:tcPr>
          <w:p>
            <w:r/>
            <w:r>
              <w:rPr>
                <w:rFonts w:ascii="Aptos" w:hAnsi="Aptos"/>
                <w:b/>
                <w:sz w:val="15"/>
              </w:rPr>
              <w:t>Customer value</w:t>
            </w:r>
          </w:p>
        </w:tc>
      </w:tr>
      <w:tr>
        <w:tc>
          <w:tcPr>
            <w:tcW w:type="dxa" w:w="3552"/>
            <w:vAlign w:val="top"/>
          </w:tcPr>
          <w:p>
            <w:r/>
            <w:r>
              <w:rPr>
                <w:rFonts w:ascii="Aptos" w:hAnsi="Aptos"/>
                <w:b w:val="0"/>
                <w:sz w:val="15"/>
              </w:rPr>
              <w:t>Candidate, donor, offer, transplant, follow-up, OPO, center, API, and outcomes data</w:t>
            </w:r>
          </w:p>
        </w:tc>
        <w:tc>
          <w:tcPr>
            <w:tcW w:type="dxa" w:w="3552"/>
            <w:vAlign w:val="top"/>
          </w:tcPr>
          <w:p>
            <w:r/>
            <w:r>
              <w:rPr>
                <w:rFonts w:ascii="Aptos" w:hAnsi="Aptos"/>
                <w:b w:val="0"/>
                <w:sz w:val="15"/>
              </w:rPr>
              <w:t>Transplant performance intelligence layer</w:t>
            </w:r>
          </w:p>
        </w:tc>
        <w:tc>
          <w:tcPr>
            <w:tcW w:type="dxa" w:w="3552"/>
            <w:vAlign w:val="top"/>
          </w:tcPr>
          <w:p>
            <w:r/>
            <w:r>
              <w:rPr>
                <w:rFonts w:ascii="Aptos" w:hAnsi="Aptos"/>
                <w:b w:val="0"/>
                <w:sz w:val="15"/>
              </w:rPr>
              <w:t>Better decisions, fewer blind spots, less administrative burden</w:t>
            </w:r>
          </w:p>
        </w:tc>
      </w:tr>
      <w:tr>
        <w:tc>
          <w:tcPr>
            <w:tcW w:type="dxa" w:w="3552"/>
            <w:vAlign w:val="top"/>
          </w:tcPr>
          <w:p>
            <w:r/>
            <w:r>
              <w:rPr>
                <w:rFonts w:ascii="Aptos" w:hAnsi="Aptos"/>
                <w:b w:val="0"/>
                <w:sz w:val="15"/>
              </w:rPr>
              <w:t>DonorNet / UNet operational exhaust</w:t>
            </w:r>
          </w:p>
        </w:tc>
        <w:tc>
          <w:tcPr>
            <w:tcW w:type="dxa" w:w="3552"/>
            <w:vAlign w:val="top"/>
          </w:tcPr>
          <w:p>
            <w:r/>
            <w:r>
              <w:rPr>
                <w:rFonts w:ascii="Aptos" w:hAnsi="Aptos"/>
                <w:b w:val="0"/>
                <w:sz w:val="15"/>
              </w:rPr>
              <w:t>Workflow-native decision support</w:t>
            </w:r>
          </w:p>
        </w:tc>
        <w:tc>
          <w:tcPr>
            <w:tcW w:type="dxa" w:w="3552"/>
            <w:vAlign w:val="top"/>
          </w:tcPr>
          <w:p>
            <w:r/>
            <w:r>
              <w:rPr>
                <w:rFonts w:ascii="Aptos" w:hAnsi="Aptos"/>
                <w:b w:val="0"/>
                <w:sz w:val="15"/>
              </w:rPr>
              <w:t>Faster responses, safer acceptance opportunities, reduced nonuse</w:t>
            </w:r>
          </w:p>
        </w:tc>
      </w:tr>
      <w:tr>
        <w:tc>
          <w:tcPr>
            <w:tcW w:type="dxa" w:w="3552"/>
            <w:vAlign w:val="top"/>
          </w:tcPr>
          <w:p>
            <w:r/>
            <w:r>
              <w:rPr>
                <w:rFonts w:ascii="Aptos" w:hAnsi="Aptos"/>
                <w:b w:val="0"/>
                <w:sz w:val="15"/>
              </w:rPr>
              <w:t>TIEDI and reporting workflows</w:t>
            </w:r>
          </w:p>
        </w:tc>
        <w:tc>
          <w:tcPr>
            <w:tcW w:type="dxa" w:w="3552"/>
            <w:vAlign w:val="top"/>
          </w:tcPr>
          <w:p>
            <w:r/>
            <w:r>
              <w:rPr>
                <w:rFonts w:ascii="Aptos" w:hAnsi="Aptos"/>
                <w:b w:val="0"/>
                <w:sz w:val="15"/>
              </w:rPr>
              <w:t>Data-quality and audit-readiness automation</w:t>
            </w:r>
          </w:p>
        </w:tc>
        <w:tc>
          <w:tcPr>
            <w:tcW w:type="dxa" w:w="3552"/>
            <w:vAlign w:val="top"/>
          </w:tcPr>
          <w:p>
            <w:r/>
            <w:r>
              <w:rPr>
                <w:rFonts w:ascii="Aptos" w:hAnsi="Aptos"/>
                <w:b w:val="0"/>
                <w:sz w:val="15"/>
              </w:rPr>
              <w:t>Fewer errors, lower staff burden, improved readiness</w:t>
            </w:r>
          </w:p>
        </w:tc>
      </w:tr>
      <w:tr>
        <w:tc>
          <w:tcPr>
            <w:tcW w:type="dxa" w:w="3552"/>
            <w:vAlign w:val="top"/>
          </w:tcPr>
          <w:p>
            <w:r/>
            <w:r>
              <w:rPr>
                <w:rFonts w:ascii="Aptos" w:hAnsi="Aptos"/>
                <w:b w:val="0"/>
                <w:sz w:val="15"/>
              </w:rPr>
              <w:t>TransNet / logistics timestamps</w:t>
            </w:r>
          </w:p>
        </w:tc>
        <w:tc>
          <w:tcPr>
            <w:tcW w:type="dxa" w:w="3552"/>
            <w:vAlign w:val="top"/>
          </w:tcPr>
          <w:p>
            <w:r/>
            <w:r>
              <w:rPr>
                <w:rFonts w:ascii="Aptos" w:hAnsi="Aptos"/>
                <w:b w:val="0"/>
                <w:sz w:val="15"/>
              </w:rPr>
              <w:t>Organ logistics intelligence</w:t>
            </w:r>
          </w:p>
        </w:tc>
        <w:tc>
          <w:tcPr>
            <w:tcW w:type="dxa" w:w="3552"/>
            <w:vAlign w:val="top"/>
          </w:tcPr>
          <w:p>
            <w:r/>
            <w:r>
              <w:rPr>
                <w:rFonts w:ascii="Aptos" w:hAnsi="Aptos"/>
                <w:b w:val="0"/>
                <w:sz w:val="15"/>
              </w:rPr>
              <w:t>Reduced delay risk, better handoffs, cold ischemia visibility</w:t>
            </w:r>
          </w:p>
        </w:tc>
      </w:tr>
      <w:tr>
        <w:tc>
          <w:tcPr>
            <w:tcW w:type="dxa" w:w="3552"/>
            <w:vAlign w:val="top"/>
          </w:tcPr>
          <w:p>
            <w:r/>
            <w:r>
              <w:rPr>
                <w:rFonts w:ascii="Aptos" w:hAnsi="Aptos"/>
                <w:b w:val="0"/>
                <w:sz w:val="15"/>
              </w:rPr>
              <w:t>Benchmarking and SRTR-style reporting</w:t>
            </w:r>
          </w:p>
        </w:tc>
        <w:tc>
          <w:tcPr>
            <w:tcW w:type="dxa" w:w="3552"/>
            <w:vAlign w:val="top"/>
          </w:tcPr>
          <w:p>
            <w:r/>
            <w:r>
              <w:rPr>
                <w:rFonts w:ascii="Aptos" w:hAnsi="Aptos"/>
                <w:b w:val="0"/>
                <w:sz w:val="15"/>
              </w:rPr>
              <w:t>Executive performance command centers</w:t>
            </w:r>
          </w:p>
        </w:tc>
        <w:tc>
          <w:tcPr>
            <w:tcW w:type="dxa" w:w="3552"/>
            <w:vAlign w:val="top"/>
          </w:tcPr>
          <w:p>
            <w:r/>
            <w:r>
              <w:rPr>
                <w:rFonts w:ascii="Aptos" w:hAnsi="Aptos"/>
                <w:b w:val="0"/>
                <w:sz w:val="15"/>
              </w:rPr>
              <w:t>Board-ready insights and earlier intervention</w:t>
            </w:r>
          </w:p>
        </w:tc>
      </w:tr>
      <w:tr>
        <w:tc>
          <w:tcPr>
            <w:tcW w:type="dxa" w:w="3552"/>
            <w:vAlign w:val="top"/>
          </w:tcPr>
          <w:p>
            <w:r/>
            <w:r>
              <w:rPr>
                <w:rFonts w:ascii="Aptos" w:hAnsi="Aptos"/>
                <w:b w:val="0"/>
                <w:sz w:val="15"/>
              </w:rPr>
              <w:t>UNOS trust + national role</w:t>
            </w:r>
          </w:p>
        </w:tc>
        <w:tc>
          <w:tcPr>
            <w:tcW w:type="dxa" w:w="3552"/>
            <w:vAlign w:val="top"/>
          </w:tcPr>
          <w:p>
            <w:r/>
            <w:r>
              <w:rPr>
                <w:rFonts w:ascii="Aptos" w:hAnsi="Aptos"/>
                <w:b w:val="0"/>
                <w:sz w:val="15"/>
              </w:rPr>
              <w:t>AI-readiness and transformation advisory</w:t>
            </w:r>
          </w:p>
        </w:tc>
        <w:tc>
          <w:tcPr>
            <w:tcW w:type="dxa" w:w="3552"/>
            <w:vAlign w:val="top"/>
          </w:tcPr>
          <w:p>
            <w:r/>
            <w:r>
              <w:rPr>
                <w:rFonts w:ascii="Aptos" w:hAnsi="Aptos"/>
                <w:b w:val="0"/>
                <w:sz w:val="15"/>
              </w:rPr>
              <w:t>Customers modernize responsibly without compromising mission</w:t>
            </w:r>
          </w:p>
        </w:tc>
      </w:tr>
    </w:tbl>
    <w:p/>
    <w:p>
      <w:pPr>
        <w:pStyle w:val="Heading1"/>
      </w:pPr>
      <w:r>
        <w:t>3. “What If” use case portfolio</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vAlign w:val="top"/>
            <w:shd w:fill="EDE5D8"/>
          </w:tcPr>
          <w:p>
            <w:r/>
            <w:r>
              <w:rPr>
                <w:rFonts w:ascii="Aptos" w:hAnsi="Aptos"/>
                <w:b/>
                <w:sz w:val="14"/>
              </w:rPr>
              <w:t>#</w:t>
            </w:r>
          </w:p>
        </w:tc>
        <w:tc>
          <w:tcPr>
            <w:tcW w:type="dxa" w:w="1522"/>
            <w:vAlign w:val="top"/>
            <w:shd w:fill="EDE5D8"/>
          </w:tcPr>
          <w:p>
            <w:r/>
            <w:r>
              <w:rPr>
                <w:rFonts w:ascii="Aptos" w:hAnsi="Aptos"/>
                <w:b/>
                <w:sz w:val="14"/>
              </w:rPr>
              <w:t>What if UNOS could…</w:t>
            </w:r>
          </w:p>
        </w:tc>
        <w:tc>
          <w:tcPr>
            <w:tcW w:type="dxa" w:w="1522"/>
            <w:vAlign w:val="top"/>
            <w:shd w:fill="EDE5D8"/>
          </w:tcPr>
          <w:p>
            <w:r/>
            <w:r>
              <w:rPr>
                <w:rFonts w:ascii="Aptos" w:hAnsi="Aptos"/>
                <w:b/>
                <w:sz w:val="14"/>
              </w:rPr>
              <w:t>Product concept</w:t>
            </w:r>
          </w:p>
        </w:tc>
        <w:tc>
          <w:tcPr>
            <w:tcW w:type="dxa" w:w="1522"/>
            <w:vAlign w:val="top"/>
            <w:shd w:fill="EDE5D8"/>
          </w:tcPr>
          <w:p>
            <w:r/>
            <w:r>
              <w:rPr>
                <w:rFonts w:ascii="Aptos" w:hAnsi="Aptos"/>
                <w:b/>
                <w:sz w:val="14"/>
              </w:rPr>
              <w:t>Primary buyer</w:t>
            </w:r>
          </w:p>
        </w:tc>
        <w:tc>
          <w:tcPr>
            <w:tcW w:type="dxa" w:w="1522"/>
            <w:vAlign w:val="top"/>
            <w:shd w:fill="EDE5D8"/>
          </w:tcPr>
          <w:p>
            <w:r/>
            <w:r>
              <w:rPr>
                <w:rFonts w:ascii="Aptos" w:hAnsi="Aptos"/>
                <w:b/>
                <w:sz w:val="14"/>
              </w:rPr>
              <w:t>Data/asset basis</w:t>
            </w:r>
          </w:p>
        </w:tc>
        <w:tc>
          <w:tcPr>
            <w:tcW w:type="dxa" w:w="1522"/>
            <w:vAlign w:val="top"/>
            <w:shd w:fill="EDE5D8"/>
          </w:tcPr>
          <w:p>
            <w:r/>
            <w:r>
              <w:rPr>
                <w:rFonts w:ascii="Aptos" w:hAnsi="Aptos"/>
                <w:b/>
                <w:sz w:val="14"/>
              </w:rPr>
              <w:t>Value created</w:t>
            </w:r>
          </w:p>
        </w:tc>
        <w:tc>
          <w:tcPr>
            <w:tcW w:type="dxa" w:w="1522"/>
            <w:vAlign w:val="top"/>
            <w:shd w:fill="EDE5D8"/>
          </w:tcPr>
          <w:p>
            <w:r/>
            <w:r>
              <w:rPr>
                <w:rFonts w:ascii="Aptos" w:hAnsi="Aptos"/>
                <w:b/>
                <w:sz w:val="14"/>
              </w:rPr>
              <w:t>Commercial package</w:t>
            </w:r>
          </w:p>
        </w:tc>
      </w:tr>
      <w:tr>
        <w:tc>
          <w:tcPr>
            <w:tcW w:type="dxa" w:w="1522"/>
            <w:vAlign w:val="top"/>
          </w:tcPr>
          <w:p>
            <w:r/>
            <w:r>
              <w:rPr>
                <w:rFonts w:ascii="Aptos" w:hAnsi="Aptos"/>
                <w:b w:val="0"/>
                <w:sz w:val="14"/>
              </w:rPr>
              <w:t>1</w:t>
            </w:r>
          </w:p>
        </w:tc>
        <w:tc>
          <w:tcPr>
            <w:tcW w:type="dxa" w:w="1522"/>
            <w:vAlign w:val="top"/>
          </w:tcPr>
          <w:p>
            <w:r/>
            <w:r>
              <w:rPr>
                <w:rFonts w:ascii="Aptos" w:hAnsi="Aptos"/>
                <w:b w:val="0"/>
                <w:sz w:val="14"/>
              </w:rPr>
              <w:t>Show each transplant center where it may be declining organs more conservatively than comparable peers?</w:t>
            </w:r>
          </w:p>
        </w:tc>
        <w:tc>
          <w:tcPr>
            <w:tcW w:type="dxa" w:w="1522"/>
            <w:vAlign w:val="top"/>
          </w:tcPr>
          <w:p>
            <w:r/>
            <w:r>
              <w:rPr>
                <w:rFonts w:ascii="Aptos" w:hAnsi="Aptos"/>
                <w:b w:val="0"/>
                <w:sz w:val="14"/>
              </w:rPr>
              <w:t>Offer Acceptance Optimizer</w:t>
            </w:r>
          </w:p>
        </w:tc>
        <w:tc>
          <w:tcPr>
            <w:tcW w:type="dxa" w:w="1522"/>
            <w:vAlign w:val="top"/>
          </w:tcPr>
          <w:p>
            <w:r/>
            <w:r>
              <w:rPr>
                <w:rFonts w:ascii="Aptos" w:hAnsi="Aptos"/>
                <w:b w:val="0"/>
                <w:sz w:val="14"/>
              </w:rPr>
              <w:t>Transplant center administrator, medical director, quality leader</w:t>
            </w:r>
          </w:p>
        </w:tc>
        <w:tc>
          <w:tcPr>
            <w:tcW w:type="dxa" w:w="1522"/>
            <w:vAlign w:val="top"/>
          </w:tcPr>
          <w:p>
            <w:r/>
            <w:r>
              <w:rPr>
                <w:rFonts w:ascii="Aptos" w:hAnsi="Aptos"/>
                <w:b w:val="0"/>
                <w:sz w:val="14"/>
              </w:rPr>
              <w:t>Donor profiles, offers, accept/decline patterns, outcomes, peer benchmarks</w:t>
            </w:r>
          </w:p>
        </w:tc>
        <w:tc>
          <w:tcPr>
            <w:tcW w:type="dxa" w:w="1522"/>
            <w:vAlign w:val="top"/>
          </w:tcPr>
          <w:p>
            <w:r/>
            <w:r>
              <w:rPr>
                <w:rFonts w:ascii="Aptos" w:hAnsi="Aptos"/>
                <w:b w:val="0"/>
                <w:sz w:val="14"/>
              </w:rPr>
              <w:t>Increase safe acceptance, identify growth opportunities, reduce missed transplants</w:t>
            </w:r>
          </w:p>
        </w:tc>
        <w:tc>
          <w:tcPr>
            <w:tcW w:type="dxa" w:w="1522"/>
            <w:vAlign w:val="top"/>
          </w:tcPr>
          <w:p>
            <w:r/>
            <w:r>
              <w:rPr>
                <w:rFonts w:ascii="Aptos" w:hAnsi="Aptos"/>
                <w:b w:val="0"/>
                <w:sz w:val="14"/>
              </w:rPr>
              <w:t>Analytics subscription + advisory</w:t>
            </w:r>
          </w:p>
        </w:tc>
      </w:tr>
      <w:tr>
        <w:tc>
          <w:tcPr>
            <w:tcW w:type="dxa" w:w="1522"/>
            <w:vAlign w:val="top"/>
          </w:tcPr>
          <w:p>
            <w:r/>
            <w:r>
              <w:rPr>
                <w:rFonts w:ascii="Aptos" w:hAnsi="Aptos"/>
                <w:b w:val="0"/>
                <w:sz w:val="14"/>
              </w:rPr>
              <w:t>2</w:t>
            </w:r>
          </w:p>
        </w:tc>
        <w:tc>
          <w:tcPr>
            <w:tcW w:type="dxa" w:w="1522"/>
            <w:vAlign w:val="top"/>
          </w:tcPr>
          <w:p>
            <w:r/>
            <w:r>
              <w:rPr>
                <w:rFonts w:ascii="Aptos" w:hAnsi="Aptos"/>
                <w:b w:val="0"/>
                <w:sz w:val="14"/>
              </w:rPr>
              <w:t>Help clinicians understand whether accepting now may be better than waiting for a future offer?</w:t>
            </w:r>
          </w:p>
        </w:tc>
        <w:tc>
          <w:tcPr>
            <w:tcW w:type="dxa" w:w="1522"/>
            <w:vAlign w:val="top"/>
          </w:tcPr>
          <w:p>
            <w:r/>
            <w:r>
              <w:rPr>
                <w:rFonts w:ascii="Aptos" w:hAnsi="Aptos"/>
                <w:b w:val="0"/>
                <w:sz w:val="14"/>
              </w:rPr>
              <w:t>Next-Best-Offer Advisor</w:t>
            </w:r>
          </w:p>
        </w:tc>
        <w:tc>
          <w:tcPr>
            <w:tcW w:type="dxa" w:w="1522"/>
            <w:vAlign w:val="top"/>
          </w:tcPr>
          <w:p>
            <w:r/>
            <w:r>
              <w:rPr>
                <w:rFonts w:ascii="Aptos" w:hAnsi="Aptos"/>
                <w:b w:val="0"/>
                <w:sz w:val="14"/>
              </w:rPr>
              <w:t>Transplant physicians, program leaders</w:t>
            </w:r>
          </w:p>
        </w:tc>
        <w:tc>
          <w:tcPr>
            <w:tcW w:type="dxa" w:w="1522"/>
            <w:vAlign w:val="top"/>
          </w:tcPr>
          <w:p>
            <w:r/>
            <w:r>
              <w:rPr>
                <w:rFonts w:ascii="Aptos" w:hAnsi="Aptos"/>
                <w:b w:val="0"/>
                <w:sz w:val="14"/>
              </w:rPr>
              <w:t>DonorNet offer history, candidate risk, time-to-next-offer, mortality/graft outcomes</w:t>
            </w:r>
          </w:p>
        </w:tc>
        <w:tc>
          <w:tcPr>
            <w:tcW w:type="dxa" w:w="1522"/>
            <w:vAlign w:val="top"/>
          </w:tcPr>
          <w:p>
            <w:r/>
            <w:r>
              <w:rPr>
                <w:rFonts w:ascii="Aptos" w:hAnsi="Aptos"/>
                <w:b w:val="0"/>
                <w:sz w:val="14"/>
              </w:rPr>
              <w:t>Human-governed decision support at point of offer</w:t>
            </w:r>
          </w:p>
        </w:tc>
        <w:tc>
          <w:tcPr>
            <w:tcW w:type="dxa" w:w="1522"/>
            <w:vAlign w:val="top"/>
          </w:tcPr>
          <w:p>
            <w:r/>
            <w:r>
              <w:rPr>
                <w:rFonts w:ascii="Aptos" w:hAnsi="Aptos"/>
                <w:b w:val="0"/>
                <w:sz w:val="14"/>
              </w:rPr>
              <w:t>Workflow-native decision support pilot</w:t>
            </w:r>
          </w:p>
        </w:tc>
      </w:tr>
      <w:tr>
        <w:tc>
          <w:tcPr>
            <w:tcW w:type="dxa" w:w="1522"/>
            <w:vAlign w:val="top"/>
          </w:tcPr>
          <w:p>
            <w:r/>
            <w:r>
              <w:rPr>
                <w:rFonts w:ascii="Aptos" w:hAnsi="Aptos"/>
                <w:b w:val="0"/>
                <w:sz w:val="14"/>
              </w:rPr>
              <w:t>3</w:t>
            </w:r>
          </w:p>
        </w:tc>
        <w:tc>
          <w:tcPr>
            <w:tcW w:type="dxa" w:w="1522"/>
            <w:vAlign w:val="top"/>
          </w:tcPr>
          <w:p>
            <w:r/>
            <w:r>
              <w:rPr>
                <w:rFonts w:ascii="Aptos" w:hAnsi="Aptos"/>
                <w:b w:val="0"/>
                <w:sz w:val="14"/>
              </w:rPr>
              <w:t>Help OPOs see exactly where donor/organs are lost from referral through placement?</w:t>
            </w:r>
          </w:p>
        </w:tc>
        <w:tc>
          <w:tcPr>
            <w:tcW w:type="dxa" w:w="1522"/>
            <w:vAlign w:val="top"/>
          </w:tcPr>
          <w:p>
            <w:r/>
            <w:r>
              <w:rPr>
                <w:rFonts w:ascii="Aptos" w:hAnsi="Aptos"/>
                <w:b w:val="0"/>
                <w:sz w:val="14"/>
              </w:rPr>
              <w:t>OPO Yield Intelligence</w:t>
            </w:r>
          </w:p>
        </w:tc>
        <w:tc>
          <w:tcPr>
            <w:tcW w:type="dxa" w:w="1522"/>
            <w:vAlign w:val="top"/>
          </w:tcPr>
          <w:p>
            <w:r/>
            <w:r>
              <w:rPr>
                <w:rFonts w:ascii="Aptos" w:hAnsi="Aptos"/>
                <w:b w:val="0"/>
                <w:sz w:val="14"/>
              </w:rPr>
              <w:t>OPO CEO/COO/quality leader</w:t>
            </w:r>
          </w:p>
        </w:tc>
        <w:tc>
          <w:tcPr>
            <w:tcW w:type="dxa" w:w="1522"/>
            <w:vAlign w:val="top"/>
          </w:tcPr>
          <w:p>
            <w:r/>
            <w:r>
              <w:rPr>
                <w:rFonts w:ascii="Aptos" w:hAnsi="Aptos"/>
                <w:b w:val="0"/>
                <w:sz w:val="14"/>
              </w:rPr>
              <w:t>Referral, authorization, donor management, recovery, placement, disposition</w:t>
            </w:r>
          </w:p>
        </w:tc>
        <w:tc>
          <w:tcPr>
            <w:tcW w:type="dxa" w:w="1522"/>
            <w:vAlign w:val="top"/>
          </w:tcPr>
          <w:p>
            <w:r/>
            <w:r>
              <w:rPr>
                <w:rFonts w:ascii="Aptos" w:hAnsi="Aptos"/>
                <w:b w:val="0"/>
                <w:sz w:val="14"/>
              </w:rPr>
              <w:t>Higher yield, fewer process leaks, better quality improvement</w:t>
            </w:r>
          </w:p>
        </w:tc>
        <w:tc>
          <w:tcPr>
            <w:tcW w:type="dxa" w:w="1522"/>
            <w:vAlign w:val="top"/>
          </w:tcPr>
          <w:p>
            <w:r/>
            <w:r>
              <w:rPr>
                <w:rFonts w:ascii="Aptos" w:hAnsi="Aptos"/>
                <w:b w:val="0"/>
                <w:sz w:val="14"/>
              </w:rPr>
              <w:t>OPO Performance Command Center</w:t>
            </w:r>
          </w:p>
        </w:tc>
      </w:tr>
      <w:tr>
        <w:tc>
          <w:tcPr>
            <w:tcW w:type="dxa" w:w="1522"/>
            <w:vAlign w:val="top"/>
          </w:tcPr>
          <w:p>
            <w:r/>
            <w:r>
              <w:rPr>
                <w:rFonts w:ascii="Aptos" w:hAnsi="Aptos"/>
                <w:b w:val="0"/>
                <w:sz w:val="14"/>
              </w:rPr>
              <w:t>4</w:t>
            </w:r>
          </w:p>
        </w:tc>
        <w:tc>
          <w:tcPr>
            <w:tcW w:type="dxa" w:w="1522"/>
            <w:vAlign w:val="top"/>
          </w:tcPr>
          <w:p>
            <w:r/>
            <w:r>
              <w:rPr>
                <w:rFonts w:ascii="Aptos" w:hAnsi="Aptos"/>
                <w:b w:val="0"/>
                <w:sz w:val="14"/>
              </w:rPr>
              <w:t>Break organ nonuse into donor quality, center behavior, logistics, data quality, or process factors?</w:t>
            </w:r>
          </w:p>
        </w:tc>
        <w:tc>
          <w:tcPr>
            <w:tcW w:type="dxa" w:w="1522"/>
            <w:vAlign w:val="top"/>
          </w:tcPr>
          <w:p>
            <w:r/>
            <w:r>
              <w:rPr>
                <w:rFonts w:ascii="Aptos" w:hAnsi="Aptos"/>
                <w:b w:val="0"/>
                <w:sz w:val="14"/>
              </w:rPr>
              <w:t>Nonuse Root-Cause Dashboard</w:t>
            </w:r>
          </w:p>
        </w:tc>
        <w:tc>
          <w:tcPr>
            <w:tcW w:type="dxa" w:w="1522"/>
            <w:vAlign w:val="top"/>
          </w:tcPr>
          <w:p>
            <w:r/>
            <w:r>
              <w:rPr>
                <w:rFonts w:ascii="Aptos" w:hAnsi="Aptos"/>
                <w:b w:val="0"/>
                <w:sz w:val="14"/>
              </w:rPr>
              <w:t>OPOs, centers, HRSA/policy stakeholders</w:t>
            </w:r>
          </w:p>
        </w:tc>
        <w:tc>
          <w:tcPr>
            <w:tcW w:type="dxa" w:w="1522"/>
            <w:vAlign w:val="top"/>
          </w:tcPr>
          <w:p>
            <w:r/>
            <w:r>
              <w:rPr>
                <w:rFonts w:ascii="Aptos" w:hAnsi="Aptos"/>
                <w:b w:val="0"/>
                <w:sz w:val="14"/>
              </w:rPr>
              <w:t>Donor disposition, decline reasons, logistics, acceptance patterns, outcomes</w:t>
            </w:r>
          </w:p>
        </w:tc>
        <w:tc>
          <w:tcPr>
            <w:tcW w:type="dxa" w:w="1522"/>
            <w:vAlign w:val="top"/>
          </w:tcPr>
          <w:p>
            <w:r/>
            <w:r>
              <w:rPr>
                <w:rFonts w:ascii="Aptos" w:hAnsi="Aptos"/>
                <w:b w:val="0"/>
                <w:sz w:val="14"/>
              </w:rPr>
              <w:t>Focus interventions on actual bottlenecks rather than generic discard narratives</w:t>
            </w:r>
          </w:p>
        </w:tc>
        <w:tc>
          <w:tcPr>
            <w:tcW w:type="dxa" w:w="1522"/>
            <w:vAlign w:val="top"/>
          </w:tcPr>
          <w:p>
            <w:r/>
            <w:r>
              <w:rPr>
                <w:rFonts w:ascii="Aptos" w:hAnsi="Aptos"/>
                <w:b w:val="0"/>
                <w:sz w:val="14"/>
              </w:rPr>
              <w:t>Diagnostic + subscription</w:t>
            </w:r>
          </w:p>
        </w:tc>
      </w:tr>
      <w:tr>
        <w:tc>
          <w:tcPr>
            <w:tcW w:type="dxa" w:w="1522"/>
            <w:vAlign w:val="top"/>
          </w:tcPr>
          <w:p>
            <w:r/>
            <w:r>
              <w:rPr>
                <w:rFonts w:ascii="Aptos" w:hAnsi="Aptos"/>
                <w:b w:val="0"/>
                <w:sz w:val="14"/>
              </w:rPr>
              <w:t>5</w:t>
            </w:r>
          </w:p>
        </w:tc>
        <w:tc>
          <w:tcPr>
            <w:tcW w:type="dxa" w:w="1522"/>
            <w:vAlign w:val="top"/>
          </w:tcPr>
          <w:p>
            <w:r/>
            <w:r>
              <w:rPr>
                <w:rFonts w:ascii="Aptos" w:hAnsi="Aptos"/>
                <w:b w:val="0"/>
                <w:sz w:val="14"/>
              </w:rPr>
              <w:t>Warn transplant programs before SRTR/MPSC performance risk becomes public or regulatory?</w:t>
            </w:r>
          </w:p>
        </w:tc>
        <w:tc>
          <w:tcPr>
            <w:tcW w:type="dxa" w:w="1522"/>
            <w:vAlign w:val="top"/>
          </w:tcPr>
          <w:p>
            <w:r/>
            <w:r>
              <w:rPr>
                <w:rFonts w:ascii="Aptos" w:hAnsi="Aptos"/>
                <w:b w:val="0"/>
                <w:sz w:val="14"/>
              </w:rPr>
              <w:t>SRTR/MPSC Early Warning</w:t>
            </w:r>
          </w:p>
        </w:tc>
        <w:tc>
          <w:tcPr>
            <w:tcW w:type="dxa" w:w="1522"/>
            <w:vAlign w:val="top"/>
          </w:tcPr>
          <w:p>
            <w:r/>
            <w:r>
              <w:rPr>
                <w:rFonts w:ascii="Aptos" w:hAnsi="Aptos"/>
                <w:b w:val="0"/>
                <w:sz w:val="14"/>
              </w:rPr>
              <w:t>Center leadership, quality, board</w:t>
            </w:r>
          </w:p>
        </w:tc>
        <w:tc>
          <w:tcPr>
            <w:tcW w:type="dxa" w:w="1522"/>
            <w:vAlign w:val="top"/>
          </w:tcPr>
          <w:p>
            <w:r/>
            <w:r>
              <w:rPr>
                <w:rFonts w:ascii="Aptos" w:hAnsi="Aptos"/>
                <w:b w:val="0"/>
                <w:sz w:val="14"/>
              </w:rPr>
              <w:t>Outcomes, volume, expected-risk models, follow-up data, peer benchmarks</w:t>
            </w:r>
          </w:p>
        </w:tc>
        <w:tc>
          <w:tcPr>
            <w:tcW w:type="dxa" w:w="1522"/>
            <w:vAlign w:val="top"/>
          </w:tcPr>
          <w:p>
            <w:r/>
            <w:r>
              <w:rPr>
                <w:rFonts w:ascii="Aptos" w:hAnsi="Aptos"/>
                <w:b w:val="0"/>
                <w:sz w:val="14"/>
              </w:rPr>
              <w:t>Earlier remediation, reduced regulatory/reputation risk</w:t>
            </w:r>
          </w:p>
        </w:tc>
        <w:tc>
          <w:tcPr>
            <w:tcW w:type="dxa" w:w="1522"/>
            <w:vAlign w:val="top"/>
          </w:tcPr>
          <w:p>
            <w:r/>
            <w:r>
              <w:rPr>
                <w:rFonts w:ascii="Aptos" w:hAnsi="Aptos"/>
                <w:b w:val="0"/>
                <w:sz w:val="14"/>
              </w:rPr>
              <w:t>Quality-risk subscription</w:t>
            </w:r>
          </w:p>
        </w:tc>
      </w:tr>
      <w:tr>
        <w:tc>
          <w:tcPr>
            <w:tcW w:type="dxa" w:w="1522"/>
            <w:vAlign w:val="top"/>
          </w:tcPr>
          <w:p>
            <w:r/>
            <w:r>
              <w:rPr>
                <w:rFonts w:ascii="Aptos" w:hAnsi="Aptos"/>
                <w:b w:val="0"/>
                <w:sz w:val="14"/>
              </w:rPr>
              <w:t>6</w:t>
            </w:r>
          </w:p>
        </w:tc>
        <w:tc>
          <w:tcPr>
            <w:tcW w:type="dxa" w:w="1522"/>
            <w:vAlign w:val="top"/>
          </w:tcPr>
          <w:p>
            <w:r/>
            <w:r>
              <w:rPr>
                <w:rFonts w:ascii="Aptos" w:hAnsi="Aptos"/>
                <w:b w:val="0"/>
                <w:sz w:val="14"/>
              </w:rPr>
              <w:t>Detect missing, late, contradictory, or audit-risk OPTN/TIEDI data before submission or review?</w:t>
            </w:r>
          </w:p>
        </w:tc>
        <w:tc>
          <w:tcPr>
            <w:tcW w:type="dxa" w:w="1522"/>
            <w:vAlign w:val="top"/>
          </w:tcPr>
          <w:p>
            <w:r/>
            <w:r>
              <w:rPr>
                <w:rFonts w:ascii="Aptos" w:hAnsi="Aptos"/>
                <w:b w:val="0"/>
                <w:sz w:val="14"/>
              </w:rPr>
              <w:t>Data Quality Copilot</w:t>
            </w:r>
          </w:p>
        </w:tc>
        <w:tc>
          <w:tcPr>
            <w:tcW w:type="dxa" w:w="1522"/>
            <w:vAlign w:val="top"/>
          </w:tcPr>
          <w:p>
            <w:r/>
            <w:r>
              <w:rPr>
                <w:rFonts w:ascii="Aptos" w:hAnsi="Aptos"/>
                <w:b w:val="0"/>
                <w:sz w:val="14"/>
              </w:rPr>
              <w:t>OPO and center data teams</w:t>
            </w:r>
          </w:p>
        </w:tc>
        <w:tc>
          <w:tcPr>
            <w:tcW w:type="dxa" w:w="1522"/>
            <w:vAlign w:val="top"/>
          </w:tcPr>
          <w:p>
            <w:r/>
            <w:r>
              <w:rPr>
                <w:rFonts w:ascii="Aptos" w:hAnsi="Aptos"/>
                <w:b w:val="0"/>
                <w:sz w:val="14"/>
              </w:rPr>
              <w:t>TIEDI forms, submission history, validation rules, audit patterns</w:t>
            </w:r>
          </w:p>
        </w:tc>
        <w:tc>
          <w:tcPr>
            <w:tcW w:type="dxa" w:w="1522"/>
            <w:vAlign w:val="top"/>
          </w:tcPr>
          <w:p>
            <w:r/>
            <w:r>
              <w:rPr>
                <w:rFonts w:ascii="Aptos" w:hAnsi="Aptos"/>
                <w:b w:val="0"/>
                <w:sz w:val="14"/>
              </w:rPr>
              <w:t>Lower administrative burden, better data integrity, fewer audit surprises</w:t>
            </w:r>
          </w:p>
        </w:tc>
        <w:tc>
          <w:tcPr>
            <w:tcW w:type="dxa" w:w="1522"/>
            <w:vAlign w:val="top"/>
          </w:tcPr>
          <w:p>
            <w:r/>
            <w:r>
              <w:rPr>
                <w:rFonts w:ascii="Aptos" w:hAnsi="Aptos"/>
                <w:b w:val="0"/>
                <w:sz w:val="14"/>
              </w:rPr>
              <w:t>SaaS + implementation support</w:t>
            </w:r>
          </w:p>
        </w:tc>
      </w:tr>
      <w:tr>
        <w:tc>
          <w:tcPr>
            <w:tcW w:type="dxa" w:w="1522"/>
            <w:vAlign w:val="top"/>
          </w:tcPr>
          <w:p>
            <w:r/>
            <w:r>
              <w:rPr>
                <w:rFonts w:ascii="Aptos" w:hAnsi="Aptos"/>
                <w:b w:val="0"/>
                <w:sz w:val="14"/>
              </w:rPr>
              <w:t>7</w:t>
            </w:r>
          </w:p>
        </w:tc>
        <w:tc>
          <w:tcPr>
            <w:tcW w:type="dxa" w:w="1522"/>
            <w:vAlign w:val="top"/>
          </w:tcPr>
          <w:p>
            <w:r/>
            <w:r>
              <w:rPr>
                <w:rFonts w:ascii="Aptos" w:hAnsi="Aptos"/>
                <w:b w:val="0"/>
                <w:sz w:val="14"/>
              </w:rPr>
              <w:t>Map national transplant demand, access gaps, disease burden, and center/OPO archetypes for partners?</w:t>
            </w:r>
          </w:p>
        </w:tc>
        <w:tc>
          <w:tcPr>
            <w:tcW w:type="dxa" w:w="1522"/>
            <w:vAlign w:val="top"/>
          </w:tcPr>
          <w:p>
            <w:r/>
            <w:r>
              <w:rPr>
                <w:rFonts w:ascii="Aptos" w:hAnsi="Aptos"/>
                <w:b w:val="0"/>
                <w:sz w:val="14"/>
              </w:rPr>
              <w:t>Transplant Market Access Atlas</w:t>
            </w:r>
          </w:p>
        </w:tc>
        <w:tc>
          <w:tcPr>
            <w:tcW w:type="dxa" w:w="1522"/>
            <w:vAlign w:val="top"/>
          </w:tcPr>
          <w:p>
            <w:r/>
            <w:r>
              <w:rPr>
                <w:rFonts w:ascii="Aptos" w:hAnsi="Aptos"/>
                <w:b w:val="0"/>
                <w:sz w:val="14"/>
              </w:rPr>
              <w:t>Device, diagnostic, pharma, payer, policy partners</w:t>
            </w:r>
          </w:p>
        </w:tc>
        <w:tc>
          <w:tcPr>
            <w:tcW w:type="dxa" w:w="1522"/>
            <w:vAlign w:val="top"/>
          </w:tcPr>
          <w:p>
            <w:r/>
            <w:r>
              <w:rPr>
                <w:rFonts w:ascii="Aptos" w:hAnsi="Aptos"/>
                <w:b w:val="0"/>
                <w:sz w:val="14"/>
              </w:rPr>
              <w:t>De-identified volume, geography, organ, disease, waitlist, transplant, outcomes</w:t>
            </w:r>
          </w:p>
        </w:tc>
        <w:tc>
          <w:tcPr>
            <w:tcW w:type="dxa" w:w="1522"/>
            <w:vAlign w:val="top"/>
          </w:tcPr>
          <w:p>
            <w:r/>
            <w:r>
              <w:rPr>
                <w:rFonts w:ascii="Aptos" w:hAnsi="Aptos"/>
                <w:b w:val="0"/>
                <w:sz w:val="14"/>
              </w:rPr>
              <w:t>Better market planning and mission-aligned partnerships</w:t>
            </w:r>
          </w:p>
        </w:tc>
        <w:tc>
          <w:tcPr>
            <w:tcW w:type="dxa" w:w="1522"/>
            <w:vAlign w:val="top"/>
          </w:tcPr>
          <w:p>
            <w:r/>
            <w:r>
              <w:rPr>
                <w:rFonts w:ascii="Aptos" w:hAnsi="Aptos"/>
                <w:b w:val="0"/>
                <w:sz w:val="14"/>
              </w:rPr>
              <w:t>Partner intelligence product</w:t>
            </w:r>
          </w:p>
        </w:tc>
      </w:tr>
      <w:tr>
        <w:tc>
          <w:tcPr>
            <w:tcW w:type="dxa" w:w="1522"/>
            <w:vAlign w:val="top"/>
          </w:tcPr>
          <w:p>
            <w:r/>
            <w:r>
              <w:rPr>
                <w:rFonts w:ascii="Aptos" w:hAnsi="Aptos"/>
                <w:b w:val="0"/>
                <w:sz w:val="14"/>
              </w:rPr>
              <w:t>8</w:t>
            </w:r>
          </w:p>
        </w:tc>
        <w:tc>
          <w:tcPr>
            <w:tcW w:type="dxa" w:w="1522"/>
            <w:vAlign w:val="top"/>
          </w:tcPr>
          <w:p>
            <w:r/>
            <w:r>
              <w:rPr>
                <w:rFonts w:ascii="Aptos" w:hAnsi="Aptos"/>
                <w:b w:val="0"/>
                <w:sz w:val="14"/>
              </w:rPr>
              <w:t>Link machine perfusion/device data with transplant outcomes and adoption patterns?</w:t>
            </w:r>
          </w:p>
        </w:tc>
        <w:tc>
          <w:tcPr>
            <w:tcW w:type="dxa" w:w="1522"/>
            <w:vAlign w:val="top"/>
          </w:tcPr>
          <w:p>
            <w:r/>
            <w:r>
              <w:rPr>
                <w:rFonts w:ascii="Aptos" w:hAnsi="Aptos"/>
                <w:b w:val="0"/>
                <w:sz w:val="14"/>
              </w:rPr>
              <w:t>Perfusion Device Outcomes Registry</w:t>
            </w:r>
          </w:p>
        </w:tc>
        <w:tc>
          <w:tcPr>
            <w:tcW w:type="dxa" w:w="1522"/>
            <w:vAlign w:val="top"/>
          </w:tcPr>
          <w:p>
            <w:r/>
            <w:r>
              <w:rPr>
                <w:rFonts w:ascii="Aptos" w:hAnsi="Aptos"/>
                <w:b w:val="0"/>
                <w:sz w:val="14"/>
              </w:rPr>
              <w:t>Device companies, centers, OPOs</w:t>
            </w:r>
          </w:p>
        </w:tc>
        <w:tc>
          <w:tcPr>
            <w:tcW w:type="dxa" w:w="1522"/>
            <w:vAlign w:val="top"/>
          </w:tcPr>
          <w:p>
            <w:r/>
            <w:r>
              <w:rPr>
                <w:rFonts w:ascii="Aptos" w:hAnsi="Aptos"/>
                <w:b w:val="0"/>
                <w:sz w:val="14"/>
              </w:rPr>
              <w:t>Device data, donor characteristics, perfusion variables, transplant outcomes</w:t>
            </w:r>
          </w:p>
        </w:tc>
        <w:tc>
          <w:tcPr>
            <w:tcW w:type="dxa" w:w="1522"/>
            <w:vAlign w:val="top"/>
          </w:tcPr>
          <w:p>
            <w:r/>
            <w:r>
              <w:rPr>
                <w:rFonts w:ascii="Aptos" w:hAnsi="Aptos"/>
                <w:b w:val="0"/>
                <w:sz w:val="14"/>
              </w:rPr>
              <w:t>Evidence generation, adoption support, device benchmarking</w:t>
            </w:r>
          </w:p>
        </w:tc>
        <w:tc>
          <w:tcPr>
            <w:tcW w:type="dxa" w:w="1522"/>
            <w:vAlign w:val="top"/>
          </w:tcPr>
          <w:p>
            <w:r/>
            <w:r>
              <w:rPr>
                <w:rFonts w:ascii="Aptos" w:hAnsi="Aptos"/>
                <w:b w:val="0"/>
                <w:sz w:val="14"/>
              </w:rPr>
              <w:t>Registry + analytics agreement</w:t>
            </w:r>
          </w:p>
        </w:tc>
      </w:tr>
      <w:tr>
        <w:tc>
          <w:tcPr>
            <w:tcW w:type="dxa" w:w="1522"/>
            <w:vAlign w:val="top"/>
          </w:tcPr>
          <w:p>
            <w:r/>
            <w:r>
              <w:rPr>
                <w:rFonts w:ascii="Aptos" w:hAnsi="Aptos"/>
                <w:b w:val="0"/>
                <w:sz w:val="14"/>
              </w:rPr>
              <w:t>9</w:t>
            </w:r>
          </w:p>
        </w:tc>
        <w:tc>
          <w:tcPr>
            <w:tcW w:type="dxa" w:w="1522"/>
            <w:vAlign w:val="top"/>
          </w:tcPr>
          <w:p>
            <w:r/>
            <w:r>
              <w:rPr>
                <w:rFonts w:ascii="Aptos" w:hAnsi="Aptos"/>
                <w:b w:val="0"/>
                <w:sz w:val="14"/>
              </w:rPr>
              <w:t>Help OPOs and centers expand DCD/NRP/DPP safely with process and outcome intelligence?</w:t>
            </w:r>
          </w:p>
        </w:tc>
        <w:tc>
          <w:tcPr>
            <w:tcW w:type="dxa" w:w="1522"/>
            <w:vAlign w:val="top"/>
          </w:tcPr>
          <w:p>
            <w:r/>
            <w:r>
              <w:rPr>
                <w:rFonts w:ascii="Aptos" w:hAnsi="Aptos"/>
                <w:b w:val="0"/>
                <w:sz w:val="14"/>
              </w:rPr>
              <w:t>DCD Expansion Intelligence</w:t>
            </w:r>
          </w:p>
        </w:tc>
        <w:tc>
          <w:tcPr>
            <w:tcW w:type="dxa" w:w="1522"/>
            <w:vAlign w:val="top"/>
          </w:tcPr>
          <w:p>
            <w:r/>
            <w:r>
              <w:rPr>
                <w:rFonts w:ascii="Aptos" w:hAnsi="Aptos"/>
                <w:b w:val="0"/>
                <w:sz w:val="14"/>
              </w:rPr>
              <w:t>OPOs, transplant centers, device partners</w:t>
            </w:r>
          </w:p>
        </w:tc>
        <w:tc>
          <w:tcPr>
            <w:tcW w:type="dxa" w:w="1522"/>
            <w:vAlign w:val="top"/>
          </w:tcPr>
          <w:p>
            <w:r/>
            <w:r>
              <w:rPr>
                <w:rFonts w:ascii="Aptos" w:hAnsi="Aptos"/>
                <w:b w:val="0"/>
                <w:sz w:val="14"/>
              </w:rPr>
              <w:t>DCD timing, agonal phase, recovery process, perfusion, outcomes</w:t>
            </w:r>
          </w:p>
        </w:tc>
        <w:tc>
          <w:tcPr>
            <w:tcW w:type="dxa" w:w="1522"/>
            <w:vAlign w:val="top"/>
          </w:tcPr>
          <w:p>
            <w:r/>
            <w:r>
              <w:rPr>
                <w:rFonts w:ascii="Aptos" w:hAnsi="Aptos"/>
                <w:b w:val="0"/>
                <w:sz w:val="14"/>
              </w:rPr>
              <w:t>Increase usable organs, standardize best practices</w:t>
            </w:r>
          </w:p>
        </w:tc>
        <w:tc>
          <w:tcPr>
            <w:tcW w:type="dxa" w:w="1522"/>
            <w:vAlign w:val="top"/>
          </w:tcPr>
          <w:p>
            <w:r/>
            <w:r>
              <w:rPr>
                <w:rFonts w:ascii="Aptos" w:hAnsi="Aptos"/>
                <w:b w:val="0"/>
                <w:sz w:val="14"/>
              </w:rPr>
              <w:t>Transformation program</w:t>
            </w:r>
          </w:p>
        </w:tc>
      </w:tr>
      <w:tr>
        <w:tc>
          <w:tcPr>
            <w:tcW w:type="dxa" w:w="1522"/>
            <w:vAlign w:val="top"/>
          </w:tcPr>
          <w:p>
            <w:r/>
            <w:r>
              <w:rPr>
                <w:rFonts w:ascii="Aptos" w:hAnsi="Aptos"/>
                <w:b w:val="0"/>
                <w:sz w:val="14"/>
              </w:rPr>
              <w:t>10</w:t>
            </w:r>
          </w:p>
        </w:tc>
        <w:tc>
          <w:tcPr>
            <w:tcW w:type="dxa" w:w="1522"/>
            <w:vAlign w:val="top"/>
          </w:tcPr>
          <w:p>
            <w:r/>
            <w:r>
              <w:rPr>
                <w:rFonts w:ascii="Aptos" w:hAnsi="Aptos"/>
                <w:b w:val="0"/>
                <w:sz w:val="14"/>
              </w:rPr>
              <w:t>Help HLA labs and kidney programs better manage sensitized candidates and compatibility pathways?</w:t>
            </w:r>
          </w:p>
        </w:tc>
        <w:tc>
          <w:tcPr>
            <w:tcW w:type="dxa" w:w="1522"/>
            <w:vAlign w:val="top"/>
          </w:tcPr>
          <w:p>
            <w:r/>
            <w:r>
              <w:rPr>
                <w:rFonts w:ascii="Aptos" w:hAnsi="Aptos"/>
                <w:b w:val="0"/>
                <w:sz w:val="14"/>
              </w:rPr>
              <w:t>Histocompatibility Intelligence</w:t>
            </w:r>
          </w:p>
        </w:tc>
        <w:tc>
          <w:tcPr>
            <w:tcW w:type="dxa" w:w="1522"/>
            <w:vAlign w:val="top"/>
          </w:tcPr>
          <w:p>
            <w:r/>
            <w:r>
              <w:rPr>
                <w:rFonts w:ascii="Aptos" w:hAnsi="Aptos"/>
                <w:b w:val="0"/>
                <w:sz w:val="14"/>
              </w:rPr>
              <w:t>HLA labs, kidney programs</w:t>
            </w:r>
          </w:p>
        </w:tc>
        <w:tc>
          <w:tcPr>
            <w:tcW w:type="dxa" w:w="1522"/>
            <w:vAlign w:val="top"/>
          </w:tcPr>
          <w:p>
            <w:r/>
            <w:r>
              <w:rPr>
                <w:rFonts w:ascii="Aptos" w:hAnsi="Aptos"/>
                <w:b w:val="0"/>
                <w:sz w:val="14"/>
              </w:rPr>
              <w:t>HLA, CPRA/PRA, unacceptable antigens, crossmatch, outcomes</w:t>
            </w:r>
          </w:p>
        </w:tc>
        <w:tc>
          <w:tcPr>
            <w:tcW w:type="dxa" w:w="1522"/>
            <w:vAlign w:val="top"/>
          </w:tcPr>
          <w:p>
            <w:r/>
            <w:r>
              <w:rPr>
                <w:rFonts w:ascii="Aptos" w:hAnsi="Aptos"/>
                <w:b w:val="0"/>
                <w:sz w:val="14"/>
              </w:rPr>
              <w:t>Improve strategy for hard-to-match candidates</w:t>
            </w:r>
          </w:p>
        </w:tc>
        <w:tc>
          <w:tcPr>
            <w:tcW w:type="dxa" w:w="1522"/>
            <w:vAlign w:val="top"/>
          </w:tcPr>
          <w:p>
            <w:r/>
            <w:r>
              <w:rPr>
                <w:rFonts w:ascii="Aptos" w:hAnsi="Aptos"/>
                <w:b w:val="0"/>
                <w:sz w:val="14"/>
              </w:rPr>
              <w:t>Specialist analytics module</w:t>
            </w:r>
          </w:p>
        </w:tc>
      </w:tr>
      <w:tr>
        <w:tc>
          <w:tcPr>
            <w:tcW w:type="dxa" w:w="1522"/>
            <w:vAlign w:val="top"/>
          </w:tcPr>
          <w:p>
            <w:r/>
            <w:r>
              <w:rPr>
                <w:rFonts w:ascii="Aptos" w:hAnsi="Aptos"/>
                <w:b w:val="0"/>
                <w:sz w:val="14"/>
              </w:rPr>
              <w:t>11</w:t>
            </w:r>
          </w:p>
        </w:tc>
        <w:tc>
          <w:tcPr>
            <w:tcW w:type="dxa" w:w="1522"/>
            <w:vAlign w:val="top"/>
          </w:tcPr>
          <w:p>
            <w:r/>
            <w:r>
              <w:rPr>
                <w:rFonts w:ascii="Aptos" w:hAnsi="Aptos"/>
                <w:b w:val="0"/>
                <w:sz w:val="14"/>
              </w:rPr>
              <w:t>Predict logistics delay risk and identify transport/courier handoff bottlenecks?</w:t>
            </w:r>
          </w:p>
        </w:tc>
        <w:tc>
          <w:tcPr>
            <w:tcW w:type="dxa" w:w="1522"/>
            <w:vAlign w:val="top"/>
          </w:tcPr>
          <w:p>
            <w:r/>
            <w:r>
              <w:rPr>
                <w:rFonts w:ascii="Aptos" w:hAnsi="Aptos"/>
                <w:b w:val="0"/>
                <w:sz w:val="14"/>
              </w:rPr>
              <w:t>Organ Logistics Optimization Platform</w:t>
            </w:r>
          </w:p>
        </w:tc>
        <w:tc>
          <w:tcPr>
            <w:tcW w:type="dxa" w:w="1522"/>
            <w:vAlign w:val="top"/>
          </w:tcPr>
          <w:p>
            <w:r/>
            <w:r>
              <w:rPr>
                <w:rFonts w:ascii="Aptos" w:hAnsi="Aptos"/>
                <w:b w:val="0"/>
                <w:sz w:val="14"/>
              </w:rPr>
              <w:t>OPOs, logistics partners, centers</w:t>
            </w:r>
          </w:p>
        </w:tc>
        <w:tc>
          <w:tcPr>
            <w:tcW w:type="dxa" w:w="1522"/>
            <w:vAlign w:val="top"/>
          </w:tcPr>
          <w:p>
            <w:r/>
            <w:r>
              <w:rPr>
                <w:rFonts w:ascii="Aptos" w:hAnsi="Aptos"/>
                <w:b w:val="0"/>
                <w:sz w:val="14"/>
              </w:rPr>
              <w:t>TransNet events, timestamps, distance, transport mode, exceptions, ischemic time</w:t>
            </w:r>
          </w:p>
        </w:tc>
        <w:tc>
          <w:tcPr>
            <w:tcW w:type="dxa" w:w="1522"/>
            <w:vAlign w:val="top"/>
          </w:tcPr>
          <w:p>
            <w:r/>
            <w:r>
              <w:rPr>
                <w:rFonts w:ascii="Aptos" w:hAnsi="Aptos"/>
                <w:b w:val="0"/>
                <w:sz w:val="14"/>
              </w:rPr>
              <w:t>Reduce delay, improve chain-of-custody visibility, protect organ quality</w:t>
            </w:r>
          </w:p>
        </w:tc>
        <w:tc>
          <w:tcPr>
            <w:tcW w:type="dxa" w:w="1522"/>
            <w:vAlign w:val="top"/>
          </w:tcPr>
          <w:p>
            <w:r/>
            <w:r>
              <w:rPr>
                <w:rFonts w:ascii="Aptos" w:hAnsi="Aptos"/>
                <w:b w:val="0"/>
                <w:sz w:val="14"/>
              </w:rPr>
              <w:t>Logistics analytics + partner platform</w:t>
            </w:r>
          </w:p>
        </w:tc>
      </w:tr>
      <w:tr>
        <w:tc>
          <w:tcPr>
            <w:tcW w:type="dxa" w:w="1522"/>
            <w:vAlign w:val="top"/>
          </w:tcPr>
          <w:p>
            <w:r/>
            <w:r>
              <w:rPr>
                <w:rFonts w:ascii="Aptos" w:hAnsi="Aptos"/>
                <w:b w:val="0"/>
                <w:sz w:val="14"/>
              </w:rPr>
              <w:t>12</w:t>
            </w:r>
          </w:p>
        </w:tc>
        <w:tc>
          <w:tcPr>
            <w:tcW w:type="dxa" w:w="1522"/>
            <w:vAlign w:val="top"/>
          </w:tcPr>
          <w:p>
            <w:r/>
            <w:r>
              <w:rPr>
                <w:rFonts w:ascii="Aptos" w:hAnsi="Aptos"/>
                <w:b w:val="0"/>
                <w:sz w:val="14"/>
              </w:rPr>
              <w:t>Identify inequities across listing, offers, wait time, acceptance, transplant rate, and outcomes?</w:t>
            </w:r>
          </w:p>
        </w:tc>
        <w:tc>
          <w:tcPr>
            <w:tcW w:type="dxa" w:w="1522"/>
            <w:vAlign w:val="top"/>
          </w:tcPr>
          <w:p>
            <w:r/>
            <w:r>
              <w:rPr>
                <w:rFonts w:ascii="Aptos" w:hAnsi="Aptos"/>
                <w:b w:val="0"/>
                <w:sz w:val="14"/>
              </w:rPr>
              <w:t>Equity / Access Analytics</w:t>
            </w:r>
          </w:p>
        </w:tc>
        <w:tc>
          <w:tcPr>
            <w:tcW w:type="dxa" w:w="1522"/>
            <w:vAlign w:val="top"/>
          </w:tcPr>
          <w:p>
            <w:r/>
            <w:r>
              <w:rPr>
                <w:rFonts w:ascii="Aptos" w:hAnsi="Aptos"/>
                <w:b w:val="0"/>
                <w:sz w:val="14"/>
              </w:rPr>
              <w:t>HRSA, centers, foundations, policy stakeholders</w:t>
            </w:r>
          </w:p>
        </w:tc>
        <w:tc>
          <w:tcPr>
            <w:tcW w:type="dxa" w:w="1522"/>
            <w:vAlign w:val="top"/>
          </w:tcPr>
          <w:p>
            <w:r/>
            <w:r>
              <w:rPr>
                <w:rFonts w:ascii="Aptos" w:hAnsi="Aptos"/>
                <w:b w:val="0"/>
                <w:sz w:val="14"/>
              </w:rPr>
              <w:t>Demographics, geography, waitlist, offers, transplant, outcomes</w:t>
            </w:r>
          </w:p>
        </w:tc>
        <w:tc>
          <w:tcPr>
            <w:tcW w:type="dxa" w:w="1522"/>
            <w:vAlign w:val="top"/>
          </w:tcPr>
          <w:p>
            <w:r/>
            <w:r>
              <w:rPr>
                <w:rFonts w:ascii="Aptos" w:hAnsi="Aptos"/>
                <w:b w:val="0"/>
                <w:sz w:val="14"/>
              </w:rPr>
              <w:t>Mission-aligned transparency and targeted interventions</w:t>
            </w:r>
          </w:p>
        </w:tc>
        <w:tc>
          <w:tcPr>
            <w:tcW w:type="dxa" w:w="1522"/>
            <w:vAlign w:val="top"/>
          </w:tcPr>
          <w:p>
            <w:r/>
            <w:r>
              <w:rPr>
                <w:rFonts w:ascii="Aptos" w:hAnsi="Aptos"/>
                <w:b w:val="0"/>
                <w:sz w:val="14"/>
              </w:rPr>
              <w:t>Sponsored initiative / philanthropy-backed product</w:t>
            </w:r>
          </w:p>
        </w:tc>
      </w:tr>
      <w:tr>
        <w:tc>
          <w:tcPr>
            <w:tcW w:type="dxa" w:w="1522"/>
            <w:vAlign w:val="top"/>
          </w:tcPr>
          <w:p>
            <w:r/>
            <w:r>
              <w:rPr>
                <w:rFonts w:ascii="Aptos" w:hAnsi="Aptos"/>
                <w:b w:val="0"/>
                <w:sz w:val="14"/>
              </w:rPr>
              <w:t>13</w:t>
            </w:r>
          </w:p>
        </w:tc>
        <w:tc>
          <w:tcPr>
            <w:tcW w:type="dxa" w:w="1522"/>
            <w:vAlign w:val="top"/>
          </w:tcPr>
          <w:p>
            <w:r/>
            <w:r>
              <w:rPr>
                <w:rFonts w:ascii="Aptos" w:hAnsi="Aptos"/>
                <w:b w:val="0"/>
                <w:sz w:val="14"/>
              </w:rPr>
              <w:t>Create a board-ready command center for every OPO or transplant center executive team?</w:t>
            </w:r>
          </w:p>
        </w:tc>
        <w:tc>
          <w:tcPr>
            <w:tcW w:type="dxa" w:w="1522"/>
            <w:vAlign w:val="top"/>
          </w:tcPr>
          <w:p>
            <w:r/>
            <w:r>
              <w:rPr>
                <w:rFonts w:ascii="Aptos" w:hAnsi="Aptos"/>
                <w:b w:val="0"/>
                <w:sz w:val="14"/>
              </w:rPr>
              <w:t>Transplant Performance Command Center</w:t>
            </w:r>
          </w:p>
        </w:tc>
        <w:tc>
          <w:tcPr>
            <w:tcW w:type="dxa" w:w="1522"/>
            <w:vAlign w:val="top"/>
          </w:tcPr>
          <w:p>
            <w:r/>
            <w:r>
              <w:rPr>
                <w:rFonts w:ascii="Aptos" w:hAnsi="Aptos"/>
                <w:b w:val="0"/>
                <w:sz w:val="14"/>
              </w:rPr>
              <w:t>OPO and center executives</w:t>
            </w:r>
          </w:p>
        </w:tc>
        <w:tc>
          <w:tcPr>
            <w:tcW w:type="dxa" w:w="1522"/>
            <w:vAlign w:val="top"/>
          </w:tcPr>
          <w:p>
            <w:r/>
            <w:r>
              <w:rPr>
                <w:rFonts w:ascii="Aptos" w:hAnsi="Aptos"/>
                <w:b w:val="0"/>
                <w:sz w:val="14"/>
              </w:rPr>
              <w:t>Benchmarks, KPIs, quality risk, utilization, pipeline of interventions</w:t>
            </w:r>
          </w:p>
        </w:tc>
        <w:tc>
          <w:tcPr>
            <w:tcW w:type="dxa" w:w="1522"/>
            <w:vAlign w:val="top"/>
          </w:tcPr>
          <w:p>
            <w:r/>
            <w:r>
              <w:rPr>
                <w:rFonts w:ascii="Aptos" w:hAnsi="Aptos"/>
                <w:b w:val="0"/>
                <w:sz w:val="14"/>
              </w:rPr>
              <w:t>Executive alignment, operating cadence, performance improvement</w:t>
            </w:r>
          </w:p>
        </w:tc>
        <w:tc>
          <w:tcPr>
            <w:tcW w:type="dxa" w:w="1522"/>
            <w:vAlign w:val="top"/>
          </w:tcPr>
          <w:p>
            <w:r/>
            <w:r>
              <w:rPr>
                <w:rFonts w:ascii="Aptos" w:hAnsi="Aptos"/>
                <w:b w:val="0"/>
                <w:sz w:val="14"/>
              </w:rPr>
              <w:t>Premium subscription + advisory</w:t>
            </w:r>
          </w:p>
        </w:tc>
      </w:tr>
      <w:tr>
        <w:tc>
          <w:tcPr>
            <w:tcW w:type="dxa" w:w="1522"/>
            <w:vAlign w:val="top"/>
          </w:tcPr>
          <w:p>
            <w:r/>
            <w:r>
              <w:rPr>
                <w:rFonts w:ascii="Aptos" w:hAnsi="Aptos"/>
                <w:b w:val="0"/>
                <w:sz w:val="14"/>
              </w:rPr>
              <w:t>14</w:t>
            </w:r>
          </w:p>
        </w:tc>
        <w:tc>
          <w:tcPr>
            <w:tcW w:type="dxa" w:w="1522"/>
            <w:vAlign w:val="top"/>
          </w:tcPr>
          <w:p>
            <w:r/>
            <w:r>
              <w:rPr>
                <w:rFonts w:ascii="Aptos" w:hAnsi="Aptos"/>
                <w:b w:val="0"/>
                <w:sz w:val="14"/>
              </w:rPr>
              <w:t>Turn every meeting, proposal, diagnostic, and customer interaction into structured product and market intelligence?</w:t>
            </w:r>
          </w:p>
        </w:tc>
        <w:tc>
          <w:tcPr>
            <w:tcW w:type="dxa" w:w="1522"/>
            <w:vAlign w:val="top"/>
          </w:tcPr>
          <w:p>
            <w:r/>
            <w:r>
              <w:rPr>
                <w:rFonts w:ascii="Aptos" w:hAnsi="Aptos"/>
                <w:b w:val="0"/>
                <w:sz w:val="14"/>
              </w:rPr>
              <w:t>Commercial Voice-of-Customer Intelligence</w:t>
            </w:r>
          </w:p>
        </w:tc>
        <w:tc>
          <w:tcPr>
            <w:tcW w:type="dxa" w:w="1522"/>
            <w:vAlign w:val="top"/>
          </w:tcPr>
          <w:p>
            <w:r/>
            <w:r>
              <w:rPr>
                <w:rFonts w:ascii="Aptos" w:hAnsi="Aptos"/>
                <w:b w:val="0"/>
                <w:sz w:val="14"/>
              </w:rPr>
              <w:t>UNOS commercial leadership</w:t>
            </w:r>
          </w:p>
        </w:tc>
        <w:tc>
          <w:tcPr>
            <w:tcW w:type="dxa" w:w="1522"/>
            <w:vAlign w:val="top"/>
          </w:tcPr>
          <w:p>
            <w:r/>
            <w:r>
              <w:rPr>
                <w:rFonts w:ascii="Aptos" w:hAnsi="Aptos"/>
                <w:b w:val="0"/>
                <w:sz w:val="14"/>
              </w:rPr>
              <w:t>Call transcripts, CRM, proposals, objections, customer feedback</w:t>
            </w:r>
          </w:p>
        </w:tc>
        <w:tc>
          <w:tcPr>
            <w:tcW w:type="dxa" w:w="1522"/>
            <w:vAlign w:val="top"/>
          </w:tcPr>
          <w:p>
            <w:r/>
            <w:r>
              <w:rPr>
                <w:rFonts w:ascii="Aptos" w:hAnsi="Aptos"/>
                <w:b w:val="0"/>
                <w:sz w:val="14"/>
              </w:rPr>
              <w:t>Faster product-market fit and better messaging</w:t>
            </w:r>
          </w:p>
        </w:tc>
        <w:tc>
          <w:tcPr>
            <w:tcW w:type="dxa" w:w="1522"/>
            <w:vAlign w:val="top"/>
          </w:tcPr>
          <w:p>
            <w:r/>
            <w:r>
              <w:rPr>
                <w:rFonts w:ascii="Aptos" w:hAnsi="Aptos"/>
                <w:b w:val="0"/>
                <w:sz w:val="14"/>
              </w:rPr>
              <w:t>Internal growth OS / RevOps capability</w:t>
            </w:r>
          </w:p>
        </w:tc>
      </w:tr>
    </w:tbl>
    <w:p/>
    <w:p>
      <w:pPr>
        <w:pStyle w:val="Heading1"/>
      </w:pPr>
      <w:r>
        <w:t>4. Priority use cases for the $10M OPO pipeline</w:t>
      </w:r>
    </w:p>
    <w:p>
      <w:r>
        <w:rPr>
          <w:rFonts w:ascii="Aptos" w:hAnsi="Aptos"/>
          <w:b w:val="0"/>
          <w:sz w:val="18"/>
        </w:rPr>
        <w:t>The OPO Commercial Growth Plan should lead with use cases that are high-value, mission-safe, and credible for H2 2026.</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EDE5D8"/>
          </w:tcPr>
          <w:p>
            <w:r/>
            <w:r>
              <w:rPr>
                <w:rFonts w:ascii="Aptos" w:hAnsi="Aptos"/>
                <w:b/>
                <w:sz w:val="15"/>
              </w:rPr>
              <w:t>Priority</w:t>
            </w:r>
          </w:p>
        </w:tc>
        <w:tc>
          <w:tcPr>
            <w:tcW w:type="dxa" w:w="2664"/>
            <w:vAlign w:val="top"/>
            <w:shd w:fill="EDE5D8"/>
          </w:tcPr>
          <w:p>
            <w:r/>
            <w:r>
              <w:rPr>
                <w:rFonts w:ascii="Aptos" w:hAnsi="Aptos"/>
                <w:b/>
                <w:sz w:val="15"/>
              </w:rPr>
              <w:t>Use case</w:t>
            </w:r>
          </w:p>
        </w:tc>
        <w:tc>
          <w:tcPr>
            <w:tcW w:type="dxa" w:w="2664"/>
            <w:vAlign w:val="top"/>
            <w:shd w:fill="EDE5D8"/>
          </w:tcPr>
          <w:p>
            <w:r/>
            <w:r>
              <w:rPr>
                <w:rFonts w:ascii="Aptos" w:hAnsi="Aptos"/>
                <w:b/>
                <w:sz w:val="15"/>
              </w:rPr>
              <w:t>Why it fits the OPO wedge</w:t>
            </w:r>
          </w:p>
        </w:tc>
        <w:tc>
          <w:tcPr>
            <w:tcW w:type="dxa" w:w="2664"/>
            <w:vAlign w:val="top"/>
            <w:shd w:fill="EDE5D8"/>
          </w:tcPr>
          <w:p>
            <w:r/>
            <w:r>
              <w:rPr>
                <w:rFonts w:ascii="Aptos" w:hAnsi="Aptos"/>
                <w:b/>
                <w:sz w:val="15"/>
              </w:rPr>
              <w:t>Suggested offer</w:t>
            </w:r>
          </w:p>
        </w:tc>
      </w:tr>
      <w:tr>
        <w:tc>
          <w:tcPr>
            <w:tcW w:type="dxa" w:w="2664"/>
            <w:vAlign w:val="top"/>
          </w:tcPr>
          <w:p>
            <w:r/>
            <w:r>
              <w:rPr>
                <w:rFonts w:ascii="Aptos" w:hAnsi="Aptos"/>
                <w:b w:val="0"/>
                <w:sz w:val="15"/>
              </w:rPr>
              <w:t>1</w:t>
            </w:r>
          </w:p>
        </w:tc>
        <w:tc>
          <w:tcPr>
            <w:tcW w:type="dxa" w:w="2664"/>
            <w:vAlign w:val="top"/>
          </w:tcPr>
          <w:p>
            <w:r/>
            <w:r>
              <w:rPr>
                <w:rFonts w:ascii="Aptos" w:hAnsi="Aptos"/>
                <w:b w:val="0"/>
                <w:sz w:val="15"/>
              </w:rPr>
              <w:t>OPO Yield Intelligence</w:t>
            </w:r>
          </w:p>
        </w:tc>
        <w:tc>
          <w:tcPr>
            <w:tcW w:type="dxa" w:w="2664"/>
            <w:vAlign w:val="top"/>
          </w:tcPr>
          <w:p>
            <w:r/>
            <w:r>
              <w:rPr>
                <w:rFonts w:ascii="Aptos" w:hAnsi="Aptos"/>
                <w:b w:val="0"/>
                <w:sz w:val="15"/>
              </w:rPr>
              <w:t>Directly maps to OPO performance, organ utilization, and operational improvement</w:t>
            </w:r>
          </w:p>
        </w:tc>
        <w:tc>
          <w:tcPr>
            <w:tcW w:type="dxa" w:w="2664"/>
            <w:vAlign w:val="top"/>
          </w:tcPr>
          <w:p>
            <w:r/>
            <w:r>
              <w:rPr>
                <w:rFonts w:ascii="Aptos" w:hAnsi="Aptos"/>
                <w:b w:val="0"/>
                <w:sz w:val="15"/>
              </w:rPr>
              <w:t>OPO Performance Command Center</w:t>
            </w:r>
          </w:p>
        </w:tc>
      </w:tr>
      <w:tr>
        <w:tc>
          <w:tcPr>
            <w:tcW w:type="dxa" w:w="2664"/>
            <w:vAlign w:val="top"/>
          </w:tcPr>
          <w:p>
            <w:r/>
            <w:r>
              <w:rPr>
                <w:rFonts w:ascii="Aptos" w:hAnsi="Aptos"/>
                <w:b w:val="0"/>
                <w:sz w:val="15"/>
              </w:rPr>
              <w:t>2</w:t>
            </w:r>
          </w:p>
        </w:tc>
        <w:tc>
          <w:tcPr>
            <w:tcW w:type="dxa" w:w="2664"/>
            <w:vAlign w:val="top"/>
          </w:tcPr>
          <w:p>
            <w:r/>
            <w:r>
              <w:rPr>
                <w:rFonts w:ascii="Aptos" w:hAnsi="Aptos"/>
                <w:b w:val="0"/>
                <w:sz w:val="15"/>
              </w:rPr>
              <w:t>Nonuse Root-Cause Dashboard</w:t>
            </w:r>
          </w:p>
        </w:tc>
        <w:tc>
          <w:tcPr>
            <w:tcW w:type="dxa" w:w="2664"/>
            <w:vAlign w:val="top"/>
          </w:tcPr>
          <w:p>
            <w:r/>
            <w:r>
              <w:rPr>
                <w:rFonts w:ascii="Aptos" w:hAnsi="Aptos"/>
                <w:b w:val="0"/>
                <w:sz w:val="15"/>
              </w:rPr>
              <w:t>Converts discard/nonuse debate into actionable process intelligence</w:t>
            </w:r>
          </w:p>
        </w:tc>
        <w:tc>
          <w:tcPr>
            <w:tcW w:type="dxa" w:w="2664"/>
            <w:vAlign w:val="top"/>
          </w:tcPr>
          <w:p>
            <w:r/>
            <w:r>
              <w:rPr>
                <w:rFonts w:ascii="Aptos" w:hAnsi="Aptos"/>
                <w:b w:val="0"/>
                <w:sz w:val="15"/>
              </w:rPr>
              <w:t>Diagnostic → subscription</w:t>
            </w:r>
          </w:p>
        </w:tc>
      </w:tr>
      <w:tr>
        <w:tc>
          <w:tcPr>
            <w:tcW w:type="dxa" w:w="2664"/>
            <w:vAlign w:val="top"/>
          </w:tcPr>
          <w:p>
            <w:r/>
            <w:r>
              <w:rPr>
                <w:rFonts w:ascii="Aptos" w:hAnsi="Aptos"/>
                <w:b w:val="0"/>
                <w:sz w:val="15"/>
              </w:rPr>
              <w:t>3</w:t>
            </w:r>
          </w:p>
        </w:tc>
        <w:tc>
          <w:tcPr>
            <w:tcW w:type="dxa" w:w="2664"/>
            <w:vAlign w:val="top"/>
          </w:tcPr>
          <w:p>
            <w:r/>
            <w:r>
              <w:rPr>
                <w:rFonts w:ascii="Aptos" w:hAnsi="Aptos"/>
                <w:b w:val="0"/>
                <w:sz w:val="15"/>
              </w:rPr>
              <w:t>Data Quality Copilot</w:t>
            </w:r>
          </w:p>
        </w:tc>
        <w:tc>
          <w:tcPr>
            <w:tcW w:type="dxa" w:w="2664"/>
            <w:vAlign w:val="top"/>
          </w:tcPr>
          <w:p>
            <w:r/>
            <w:r>
              <w:rPr>
                <w:rFonts w:ascii="Aptos" w:hAnsi="Aptos"/>
                <w:b w:val="0"/>
                <w:sz w:val="15"/>
              </w:rPr>
              <w:t>Reduces administrative burden and improves audit/readiness</w:t>
            </w:r>
          </w:p>
        </w:tc>
        <w:tc>
          <w:tcPr>
            <w:tcW w:type="dxa" w:w="2664"/>
            <w:vAlign w:val="top"/>
          </w:tcPr>
          <w:p>
            <w:r/>
            <w:r>
              <w:rPr>
                <w:rFonts w:ascii="Aptos" w:hAnsi="Aptos"/>
                <w:b w:val="0"/>
                <w:sz w:val="15"/>
              </w:rPr>
              <w:t>SaaS + implementation support</w:t>
            </w:r>
          </w:p>
        </w:tc>
      </w:tr>
      <w:tr>
        <w:tc>
          <w:tcPr>
            <w:tcW w:type="dxa" w:w="2664"/>
            <w:vAlign w:val="top"/>
          </w:tcPr>
          <w:p>
            <w:r/>
            <w:r>
              <w:rPr>
                <w:rFonts w:ascii="Aptos" w:hAnsi="Aptos"/>
                <w:b w:val="0"/>
                <w:sz w:val="15"/>
              </w:rPr>
              <w:t>4</w:t>
            </w:r>
          </w:p>
        </w:tc>
        <w:tc>
          <w:tcPr>
            <w:tcW w:type="dxa" w:w="2664"/>
            <w:vAlign w:val="top"/>
          </w:tcPr>
          <w:p>
            <w:r/>
            <w:r>
              <w:rPr>
                <w:rFonts w:ascii="Aptos" w:hAnsi="Aptos"/>
                <w:b w:val="0"/>
                <w:sz w:val="15"/>
              </w:rPr>
              <w:t>DCD Expansion Intelligence</w:t>
            </w:r>
          </w:p>
        </w:tc>
        <w:tc>
          <w:tcPr>
            <w:tcW w:type="dxa" w:w="2664"/>
            <w:vAlign w:val="top"/>
          </w:tcPr>
          <w:p>
            <w:r/>
            <w:r>
              <w:rPr>
                <w:rFonts w:ascii="Aptos" w:hAnsi="Aptos"/>
                <w:b w:val="0"/>
                <w:sz w:val="15"/>
              </w:rPr>
              <w:t>Aligns with future donor-pool growth and device/perfusion innovation</w:t>
            </w:r>
          </w:p>
        </w:tc>
        <w:tc>
          <w:tcPr>
            <w:tcW w:type="dxa" w:w="2664"/>
            <w:vAlign w:val="top"/>
          </w:tcPr>
          <w:p>
            <w:r/>
            <w:r>
              <w:rPr>
                <w:rFonts w:ascii="Aptos" w:hAnsi="Aptos"/>
                <w:b w:val="0"/>
                <w:sz w:val="15"/>
              </w:rPr>
              <w:t>Transformation advisory</w:t>
            </w:r>
          </w:p>
        </w:tc>
      </w:tr>
      <w:tr>
        <w:tc>
          <w:tcPr>
            <w:tcW w:type="dxa" w:w="2664"/>
            <w:vAlign w:val="top"/>
          </w:tcPr>
          <w:p>
            <w:r/>
            <w:r>
              <w:rPr>
                <w:rFonts w:ascii="Aptos" w:hAnsi="Aptos"/>
                <w:b w:val="0"/>
                <w:sz w:val="15"/>
              </w:rPr>
              <w:t>5</w:t>
            </w:r>
          </w:p>
        </w:tc>
        <w:tc>
          <w:tcPr>
            <w:tcW w:type="dxa" w:w="2664"/>
            <w:vAlign w:val="top"/>
          </w:tcPr>
          <w:p>
            <w:r/>
            <w:r>
              <w:rPr>
                <w:rFonts w:ascii="Aptos" w:hAnsi="Aptos"/>
                <w:b w:val="0"/>
                <w:sz w:val="15"/>
              </w:rPr>
              <w:t>Logistics Optimization Platform</w:t>
            </w:r>
          </w:p>
        </w:tc>
        <w:tc>
          <w:tcPr>
            <w:tcW w:type="dxa" w:w="2664"/>
            <w:vAlign w:val="top"/>
          </w:tcPr>
          <w:p>
            <w:r/>
            <w:r>
              <w:rPr>
                <w:rFonts w:ascii="Aptos" w:hAnsi="Aptos"/>
                <w:b w:val="0"/>
                <w:sz w:val="15"/>
              </w:rPr>
              <w:t>Clear operational ROI and partner potential</w:t>
            </w:r>
          </w:p>
        </w:tc>
        <w:tc>
          <w:tcPr>
            <w:tcW w:type="dxa" w:w="2664"/>
            <w:vAlign w:val="top"/>
          </w:tcPr>
          <w:p>
            <w:r/>
            <w:r>
              <w:rPr>
                <w:rFonts w:ascii="Aptos" w:hAnsi="Aptos"/>
                <w:b w:val="0"/>
                <w:sz w:val="15"/>
              </w:rPr>
              <w:t>Analytics pilot with OPO/logistics partner</w:t>
            </w:r>
          </w:p>
        </w:tc>
      </w:tr>
      <w:tr>
        <w:tc>
          <w:tcPr>
            <w:tcW w:type="dxa" w:w="2664"/>
            <w:vAlign w:val="top"/>
          </w:tcPr>
          <w:p>
            <w:r/>
            <w:r>
              <w:rPr>
                <w:rFonts w:ascii="Aptos" w:hAnsi="Aptos"/>
                <w:b w:val="0"/>
                <w:sz w:val="15"/>
              </w:rPr>
              <w:t>6</w:t>
            </w:r>
          </w:p>
        </w:tc>
        <w:tc>
          <w:tcPr>
            <w:tcW w:type="dxa" w:w="2664"/>
            <w:vAlign w:val="top"/>
          </w:tcPr>
          <w:p>
            <w:r/>
            <w:r>
              <w:rPr>
                <w:rFonts w:ascii="Aptos" w:hAnsi="Aptos"/>
                <w:b w:val="0"/>
                <w:sz w:val="15"/>
              </w:rPr>
              <w:t>Equity / Access Analytics</w:t>
            </w:r>
          </w:p>
        </w:tc>
        <w:tc>
          <w:tcPr>
            <w:tcW w:type="dxa" w:w="2664"/>
            <w:vAlign w:val="top"/>
          </w:tcPr>
          <w:p>
            <w:r/>
            <w:r>
              <w:rPr>
                <w:rFonts w:ascii="Aptos" w:hAnsi="Aptos"/>
                <w:b w:val="0"/>
                <w:sz w:val="15"/>
              </w:rPr>
              <w:t>Strong mission and philanthropy alignment</w:t>
            </w:r>
          </w:p>
        </w:tc>
        <w:tc>
          <w:tcPr>
            <w:tcW w:type="dxa" w:w="2664"/>
            <w:vAlign w:val="top"/>
          </w:tcPr>
          <w:p>
            <w:r/>
            <w:r>
              <w:rPr>
                <w:rFonts w:ascii="Aptos" w:hAnsi="Aptos"/>
                <w:b w:val="0"/>
                <w:sz w:val="15"/>
              </w:rPr>
              <w:t>Sponsored initiative / foundation pitch</w:t>
            </w:r>
          </w:p>
        </w:tc>
      </w:tr>
    </w:tbl>
    <w:p/>
    <w:p>
      <w:pPr>
        <w:pStyle w:val="Heading1"/>
      </w:pPr>
      <w:r>
        <w:t>5. Future product families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EDE5D8"/>
          </w:tcPr>
          <w:p>
            <w:r/>
            <w:r>
              <w:rPr>
                <w:rFonts w:ascii="Aptos" w:hAnsi="Aptos"/>
                <w:b/>
                <w:sz w:val="15"/>
              </w:rPr>
              <w:t>Product family</w:t>
            </w:r>
          </w:p>
        </w:tc>
        <w:tc>
          <w:tcPr>
            <w:tcW w:type="dxa" w:w="2664"/>
            <w:vAlign w:val="top"/>
            <w:shd w:fill="EDE5D8"/>
          </w:tcPr>
          <w:p>
            <w:r/>
            <w:r>
              <w:rPr>
                <w:rFonts w:ascii="Aptos" w:hAnsi="Aptos"/>
                <w:b/>
                <w:sz w:val="15"/>
              </w:rPr>
              <w:t>Included use cases</w:t>
            </w:r>
          </w:p>
        </w:tc>
        <w:tc>
          <w:tcPr>
            <w:tcW w:type="dxa" w:w="2664"/>
            <w:vAlign w:val="top"/>
            <w:shd w:fill="EDE5D8"/>
          </w:tcPr>
          <w:p>
            <w:r/>
            <w:r>
              <w:rPr>
                <w:rFonts w:ascii="Aptos" w:hAnsi="Aptos"/>
                <w:b/>
                <w:sz w:val="15"/>
              </w:rPr>
              <w:t>Best initial buyer</w:t>
            </w:r>
          </w:p>
        </w:tc>
        <w:tc>
          <w:tcPr>
            <w:tcW w:type="dxa" w:w="2664"/>
            <w:vAlign w:val="top"/>
            <w:shd w:fill="EDE5D8"/>
          </w:tcPr>
          <w:p>
            <w:r/>
            <w:r>
              <w:rPr>
                <w:rFonts w:ascii="Aptos" w:hAnsi="Aptos"/>
                <w:b/>
                <w:sz w:val="15"/>
              </w:rPr>
              <w:t>Revenue model</w:t>
            </w:r>
          </w:p>
        </w:tc>
      </w:tr>
      <w:tr>
        <w:tc>
          <w:tcPr>
            <w:tcW w:type="dxa" w:w="2664"/>
            <w:vAlign w:val="top"/>
          </w:tcPr>
          <w:p>
            <w:r/>
            <w:r>
              <w:rPr>
                <w:rFonts w:ascii="Aptos" w:hAnsi="Aptos"/>
                <w:b w:val="0"/>
                <w:sz w:val="15"/>
              </w:rPr>
              <w:t>OPO Performance Suite</w:t>
            </w:r>
          </w:p>
        </w:tc>
        <w:tc>
          <w:tcPr>
            <w:tcW w:type="dxa" w:w="2664"/>
            <w:vAlign w:val="top"/>
          </w:tcPr>
          <w:p>
            <w:r/>
            <w:r>
              <w:rPr>
                <w:rFonts w:ascii="Aptos" w:hAnsi="Aptos"/>
                <w:b w:val="0"/>
                <w:sz w:val="15"/>
              </w:rPr>
              <w:t>OPO Yield Intelligence, Nonuse Dashboard, DCD Expansion, Logistics Optimization</w:t>
            </w:r>
          </w:p>
        </w:tc>
        <w:tc>
          <w:tcPr>
            <w:tcW w:type="dxa" w:w="2664"/>
            <w:vAlign w:val="top"/>
          </w:tcPr>
          <w:p>
            <w:r/>
            <w:r>
              <w:rPr>
                <w:rFonts w:ascii="Aptos" w:hAnsi="Aptos"/>
                <w:b w:val="0"/>
                <w:sz w:val="15"/>
              </w:rPr>
              <w:t>OPO CEO/COO/quality leader</w:t>
            </w:r>
          </w:p>
        </w:tc>
        <w:tc>
          <w:tcPr>
            <w:tcW w:type="dxa" w:w="2664"/>
            <w:vAlign w:val="top"/>
          </w:tcPr>
          <w:p>
            <w:r/>
            <w:r>
              <w:rPr>
                <w:rFonts w:ascii="Aptos" w:hAnsi="Aptos"/>
                <w:b w:val="0"/>
                <w:sz w:val="15"/>
              </w:rPr>
              <w:t>Diagnostic + annual subscription + advisory</w:t>
            </w:r>
          </w:p>
        </w:tc>
      </w:tr>
      <w:tr>
        <w:tc>
          <w:tcPr>
            <w:tcW w:type="dxa" w:w="2664"/>
            <w:vAlign w:val="top"/>
          </w:tcPr>
          <w:p>
            <w:r/>
            <w:r>
              <w:rPr>
                <w:rFonts w:ascii="Aptos" w:hAnsi="Aptos"/>
                <w:b w:val="0"/>
                <w:sz w:val="15"/>
              </w:rPr>
              <w:t>Transplant Center Growth &amp; Quality Suite</w:t>
            </w:r>
          </w:p>
        </w:tc>
        <w:tc>
          <w:tcPr>
            <w:tcW w:type="dxa" w:w="2664"/>
            <w:vAlign w:val="top"/>
          </w:tcPr>
          <w:p>
            <w:r/>
            <w:r>
              <w:rPr>
                <w:rFonts w:ascii="Aptos" w:hAnsi="Aptos"/>
                <w:b w:val="0"/>
                <w:sz w:val="15"/>
              </w:rPr>
              <w:t>Offer Acceptance Optimizer, SRTR/MPSC Early Warning, Waitlist Conversion, Data Quality Copilot</w:t>
            </w:r>
          </w:p>
        </w:tc>
        <w:tc>
          <w:tcPr>
            <w:tcW w:type="dxa" w:w="2664"/>
            <w:vAlign w:val="top"/>
          </w:tcPr>
          <w:p>
            <w:r/>
            <w:r>
              <w:rPr>
                <w:rFonts w:ascii="Aptos" w:hAnsi="Aptos"/>
                <w:b w:val="0"/>
                <w:sz w:val="15"/>
              </w:rPr>
              <w:t>Center administrator / medical director</w:t>
            </w:r>
          </w:p>
        </w:tc>
        <w:tc>
          <w:tcPr>
            <w:tcW w:type="dxa" w:w="2664"/>
            <w:vAlign w:val="top"/>
          </w:tcPr>
          <w:p>
            <w:r/>
            <w:r>
              <w:rPr>
                <w:rFonts w:ascii="Aptos" w:hAnsi="Aptos"/>
                <w:b w:val="0"/>
                <w:sz w:val="15"/>
              </w:rPr>
              <w:t>Subscription + implementation</w:t>
            </w:r>
          </w:p>
        </w:tc>
      </w:tr>
      <w:tr>
        <w:tc>
          <w:tcPr>
            <w:tcW w:type="dxa" w:w="2664"/>
            <w:vAlign w:val="top"/>
          </w:tcPr>
          <w:p>
            <w:r/>
            <w:r>
              <w:rPr>
                <w:rFonts w:ascii="Aptos" w:hAnsi="Aptos"/>
                <w:b w:val="0"/>
                <w:sz w:val="15"/>
              </w:rPr>
              <w:t>Partner Intelligence Suite</w:t>
            </w:r>
          </w:p>
        </w:tc>
        <w:tc>
          <w:tcPr>
            <w:tcW w:type="dxa" w:w="2664"/>
            <w:vAlign w:val="top"/>
          </w:tcPr>
          <w:p>
            <w:r/>
            <w:r>
              <w:rPr>
                <w:rFonts w:ascii="Aptos" w:hAnsi="Aptos"/>
                <w:b w:val="0"/>
                <w:sz w:val="15"/>
              </w:rPr>
              <w:t>Market Access Atlas, Perfusion Registry, Device Outcomes, Logistics Benchmarking</w:t>
            </w:r>
          </w:p>
        </w:tc>
        <w:tc>
          <w:tcPr>
            <w:tcW w:type="dxa" w:w="2664"/>
            <w:vAlign w:val="top"/>
          </w:tcPr>
          <w:p>
            <w:r/>
            <w:r>
              <w:rPr>
                <w:rFonts w:ascii="Aptos" w:hAnsi="Aptos"/>
                <w:b w:val="0"/>
                <w:sz w:val="15"/>
              </w:rPr>
              <w:t>Device/logistics/diagnostic/pharma/payer partners</w:t>
            </w:r>
          </w:p>
        </w:tc>
        <w:tc>
          <w:tcPr>
            <w:tcW w:type="dxa" w:w="2664"/>
            <w:vAlign w:val="top"/>
          </w:tcPr>
          <w:p>
            <w:r/>
            <w:r>
              <w:rPr>
                <w:rFonts w:ascii="Aptos" w:hAnsi="Aptos"/>
                <w:b w:val="0"/>
                <w:sz w:val="15"/>
              </w:rPr>
              <w:t>Enterprise data/intelligence agreement</w:t>
            </w:r>
          </w:p>
        </w:tc>
      </w:tr>
      <w:tr>
        <w:tc>
          <w:tcPr>
            <w:tcW w:type="dxa" w:w="2664"/>
            <w:vAlign w:val="top"/>
          </w:tcPr>
          <w:p>
            <w:r/>
            <w:r>
              <w:rPr>
                <w:rFonts w:ascii="Aptos" w:hAnsi="Aptos"/>
                <w:b w:val="0"/>
                <w:sz w:val="15"/>
              </w:rPr>
              <w:t>Responsible AI Readiness Suite</w:t>
            </w:r>
          </w:p>
        </w:tc>
        <w:tc>
          <w:tcPr>
            <w:tcW w:type="dxa" w:w="2664"/>
            <w:vAlign w:val="top"/>
          </w:tcPr>
          <w:p>
            <w:r/>
            <w:r>
              <w:rPr>
                <w:rFonts w:ascii="Aptos" w:hAnsi="Aptos"/>
                <w:b w:val="0"/>
                <w:sz w:val="15"/>
              </w:rPr>
              <w:t>AI maturity assessment, workflow audit, data-quality automation, governance roadmap</w:t>
            </w:r>
          </w:p>
        </w:tc>
        <w:tc>
          <w:tcPr>
            <w:tcW w:type="dxa" w:w="2664"/>
            <w:vAlign w:val="top"/>
          </w:tcPr>
          <w:p>
            <w:r/>
            <w:r>
              <w:rPr>
                <w:rFonts w:ascii="Aptos" w:hAnsi="Aptos"/>
                <w:b w:val="0"/>
                <w:sz w:val="15"/>
              </w:rPr>
              <w:t>OPOs, centers, health systems</w:t>
            </w:r>
          </w:p>
        </w:tc>
        <w:tc>
          <w:tcPr>
            <w:tcW w:type="dxa" w:w="2664"/>
            <w:vAlign w:val="top"/>
          </w:tcPr>
          <w:p>
            <w:r/>
            <w:r>
              <w:rPr>
                <w:rFonts w:ascii="Aptos" w:hAnsi="Aptos"/>
                <w:b w:val="0"/>
                <w:sz w:val="15"/>
              </w:rPr>
              <w:t>Consulting + managed operating cadence</w:t>
            </w:r>
          </w:p>
        </w:tc>
      </w:tr>
      <w:tr>
        <w:tc>
          <w:tcPr>
            <w:tcW w:type="dxa" w:w="2664"/>
            <w:vAlign w:val="top"/>
          </w:tcPr>
          <w:p>
            <w:r/>
            <w:r>
              <w:rPr>
                <w:rFonts w:ascii="Aptos" w:hAnsi="Aptos"/>
                <w:b w:val="0"/>
                <w:sz w:val="15"/>
              </w:rPr>
              <w:t>Mission Impact Suite</w:t>
            </w:r>
          </w:p>
        </w:tc>
        <w:tc>
          <w:tcPr>
            <w:tcW w:type="dxa" w:w="2664"/>
            <w:vAlign w:val="top"/>
          </w:tcPr>
          <w:p>
            <w:r/>
            <w:r>
              <w:rPr>
                <w:rFonts w:ascii="Aptos" w:hAnsi="Aptos"/>
                <w:b w:val="0"/>
                <w:sz w:val="15"/>
              </w:rPr>
              <w:t>Equity/Access Analytics, philanthropy-funded OPO improvement initiatives, public-interest dashboards</w:t>
            </w:r>
          </w:p>
        </w:tc>
        <w:tc>
          <w:tcPr>
            <w:tcW w:type="dxa" w:w="2664"/>
            <w:vAlign w:val="top"/>
          </w:tcPr>
          <w:p>
            <w:r/>
            <w:r>
              <w:rPr>
                <w:rFonts w:ascii="Aptos" w:hAnsi="Aptos"/>
                <w:b w:val="0"/>
                <w:sz w:val="15"/>
              </w:rPr>
              <w:t>Foundations, HRSA/public-interest stakeholders</w:t>
            </w:r>
          </w:p>
        </w:tc>
        <w:tc>
          <w:tcPr>
            <w:tcW w:type="dxa" w:w="2664"/>
            <w:vAlign w:val="top"/>
          </w:tcPr>
          <w:p>
            <w:r/>
            <w:r>
              <w:rPr>
                <w:rFonts w:ascii="Aptos" w:hAnsi="Aptos"/>
                <w:b w:val="0"/>
                <w:sz w:val="15"/>
              </w:rPr>
              <w:t>Grant/partner-funded initiative</w:t>
            </w:r>
          </w:p>
        </w:tc>
      </w:tr>
    </w:tbl>
    <w:p/>
    <w:p>
      <w:pPr>
        <w:pStyle w:val="Heading1"/>
      </w:pPr>
      <w:r>
        <w:t>6. Commercial sequencing</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EDE5D8"/>
          </w:tcPr>
          <w:p>
            <w:r/>
            <w:r>
              <w:rPr>
                <w:rFonts w:ascii="Aptos" w:hAnsi="Aptos"/>
                <w:b/>
                <w:sz w:val="15"/>
              </w:rPr>
              <w:t>Phase</w:t>
            </w:r>
          </w:p>
        </w:tc>
        <w:tc>
          <w:tcPr>
            <w:tcW w:type="dxa" w:w="2664"/>
            <w:vAlign w:val="top"/>
            <w:shd w:fill="EDE5D8"/>
          </w:tcPr>
          <w:p>
            <w:r/>
            <w:r>
              <w:rPr>
                <w:rFonts w:ascii="Aptos" w:hAnsi="Aptos"/>
                <w:b/>
                <w:sz w:val="15"/>
              </w:rPr>
              <w:t>Timeframe</w:t>
            </w:r>
          </w:p>
        </w:tc>
        <w:tc>
          <w:tcPr>
            <w:tcW w:type="dxa" w:w="2664"/>
            <w:vAlign w:val="top"/>
            <w:shd w:fill="EDE5D8"/>
          </w:tcPr>
          <w:p>
            <w:r/>
            <w:r>
              <w:rPr>
                <w:rFonts w:ascii="Aptos" w:hAnsi="Aptos"/>
                <w:b/>
                <w:sz w:val="15"/>
              </w:rPr>
              <w:t>Product motion</w:t>
            </w:r>
          </w:p>
        </w:tc>
        <w:tc>
          <w:tcPr>
            <w:tcW w:type="dxa" w:w="2664"/>
            <w:vAlign w:val="top"/>
            <w:shd w:fill="EDE5D8"/>
          </w:tcPr>
          <w:p>
            <w:r/>
            <w:r>
              <w:rPr>
                <w:rFonts w:ascii="Aptos" w:hAnsi="Aptos"/>
                <w:b/>
                <w:sz w:val="15"/>
              </w:rPr>
              <w:t>Goal</w:t>
            </w:r>
          </w:p>
        </w:tc>
      </w:tr>
      <w:tr>
        <w:tc>
          <w:tcPr>
            <w:tcW w:type="dxa" w:w="2664"/>
            <w:vAlign w:val="top"/>
          </w:tcPr>
          <w:p>
            <w:r/>
            <w:r>
              <w:rPr>
                <w:rFonts w:ascii="Aptos" w:hAnsi="Aptos"/>
                <w:b w:val="0"/>
                <w:sz w:val="15"/>
              </w:rPr>
              <w:t>Now</w:t>
            </w:r>
          </w:p>
        </w:tc>
        <w:tc>
          <w:tcPr>
            <w:tcW w:type="dxa" w:w="2664"/>
            <w:vAlign w:val="top"/>
          </w:tcPr>
          <w:p>
            <w:r/>
            <w:r>
              <w:rPr>
                <w:rFonts w:ascii="Aptos" w:hAnsi="Aptos"/>
                <w:b w:val="0"/>
                <w:sz w:val="15"/>
              </w:rPr>
              <w:t>Aug 2026</w:t>
            </w:r>
          </w:p>
        </w:tc>
        <w:tc>
          <w:tcPr>
            <w:tcW w:type="dxa" w:w="2664"/>
            <w:vAlign w:val="top"/>
          </w:tcPr>
          <w:p>
            <w:r/>
            <w:r>
              <w:rPr>
                <w:rFonts w:ascii="Aptos" w:hAnsi="Aptos"/>
                <w:b w:val="0"/>
                <w:sz w:val="15"/>
              </w:rPr>
              <w:t>Package three exploratory concepts into executive one-pagers: OPO Yield, Nonuse Root Cause, Data Quality Copilot</w:t>
            </w:r>
          </w:p>
        </w:tc>
        <w:tc>
          <w:tcPr>
            <w:tcW w:type="dxa" w:w="2664"/>
            <w:vAlign w:val="top"/>
          </w:tcPr>
          <w:p>
            <w:r/>
            <w:r>
              <w:rPr>
                <w:rFonts w:ascii="Aptos" w:hAnsi="Aptos"/>
                <w:b w:val="0"/>
                <w:sz w:val="15"/>
              </w:rPr>
              <w:t>Create meeting assets for top OPO accounts</w:t>
            </w:r>
          </w:p>
        </w:tc>
      </w:tr>
      <w:tr>
        <w:tc>
          <w:tcPr>
            <w:tcW w:type="dxa" w:w="2664"/>
            <w:vAlign w:val="top"/>
          </w:tcPr>
          <w:p>
            <w:r/>
            <w:r>
              <w:rPr>
                <w:rFonts w:ascii="Aptos" w:hAnsi="Aptos"/>
                <w:b w:val="0"/>
                <w:sz w:val="15"/>
              </w:rPr>
              <w:t>Near</w:t>
            </w:r>
          </w:p>
        </w:tc>
        <w:tc>
          <w:tcPr>
            <w:tcW w:type="dxa" w:w="2664"/>
            <w:vAlign w:val="top"/>
          </w:tcPr>
          <w:p>
            <w:r/>
            <w:r>
              <w:rPr>
                <w:rFonts w:ascii="Aptos" w:hAnsi="Aptos"/>
                <w:b w:val="0"/>
                <w:sz w:val="15"/>
              </w:rPr>
              <w:t>Sep–Oct 2026</w:t>
            </w:r>
          </w:p>
        </w:tc>
        <w:tc>
          <w:tcPr>
            <w:tcW w:type="dxa" w:w="2664"/>
            <w:vAlign w:val="top"/>
          </w:tcPr>
          <w:p>
            <w:r/>
            <w:r>
              <w:rPr>
                <w:rFonts w:ascii="Aptos" w:hAnsi="Aptos"/>
                <w:b w:val="0"/>
                <w:sz w:val="15"/>
              </w:rPr>
              <w:t>Run paid or sponsored diagnostics with 4–6 OPOs</w:t>
            </w:r>
          </w:p>
        </w:tc>
        <w:tc>
          <w:tcPr>
            <w:tcW w:type="dxa" w:w="2664"/>
            <w:vAlign w:val="top"/>
          </w:tcPr>
          <w:p>
            <w:r/>
            <w:r>
              <w:rPr>
                <w:rFonts w:ascii="Aptos" w:hAnsi="Aptos"/>
                <w:b w:val="0"/>
                <w:sz w:val="15"/>
              </w:rPr>
              <w:t>Generate referenceable proof and qualified pipeline</w:t>
            </w:r>
          </w:p>
        </w:tc>
      </w:tr>
      <w:tr>
        <w:tc>
          <w:tcPr>
            <w:tcW w:type="dxa" w:w="2664"/>
            <w:vAlign w:val="top"/>
          </w:tcPr>
          <w:p>
            <w:r/>
            <w:r>
              <w:rPr>
                <w:rFonts w:ascii="Aptos" w:hAnsi="Aptos"/>
                <w:b w:val="0"/>
                <w:sz w:val="15"/>
              </w:rPr>
              <w:t>Far</w:t>
            </w:r>
          </w:p>
        </w:tc>
        <w:tc>
          <w:tcPr>
            <w:tcW w:type="dxa" w:w="2664"/>
            <w:vAlign w:val="top"/>
          </w:tcPr>
          <w:p>
            <w:r/>
            <w:r>
              <w:rPr>
                <w:rFonts w:ascii="Aptos" w:hAnsi="Aptos"/>
                <w:b w:val="0"/>
                <w:sz w:val="15"/>
              </w:rPr>
              <w:t>Nov–Dec 2026</w:t>
            </w:r>
          </w:p>
        </w:tc>
        <w:tc>
          <w:tcPr>
            <w:tcW w:type="dxa" w:w="2664"/>
            <w:vAlign w:val="top"/>
          </w:tcPr>
          <w:p>
            <w:r/>
            <w:r>
              <w:rPr>
                <w:rFonts w:ascii="Aptos" w:hAnsi="Aptos"/>
                <w:b w:val="0"/>
                <w:sz w:val="15"/>
              </w:rPr>
              <w:t>Convert diagnostics into command-center subscriptions and partner-funded initiatives</w:t>
            </w:r>
          </w:p>
        </w:tc>
        <w:tc>
          <w:tcPr>
            <w:tcW w:type="dxa" w:w="2664"/>
            <w:vAlign w:val="top"/>
          </w:tcPr>
          <w:p>
            <w:r/>
            <w:r>
              <w:rPr>
                <w:rFonts w:ascii="Aptos" w:hAnsi="Aptos"/>
                <w:b w:val="0"/>
                <w:sz w:val="15"/>
              </w:rPr>
              <w:t>Build $10M+ qualified pipeline and 2027 expansion base</w:t>
            </w:r>
          </w:p>
        </w:tc>
      </w:tr>
      <w:tr>
        <w:tc>
          <w:tcPr>
            <w:tcW w:type="dxa" w:w="2664"/>
            <w:vAlign w:val="top"/>
          </w:tcPr>
          <w:p>
            <w:r/>
            <w:r>
              <w:rPr>
                <w:rFonts w:ascii="Aptos" w:hAnsi="Aptos"/>
                <w:b w:val="0"/>
                <w:sz w:val="15"/>
              </w:rPr>
              <w:t>2027</w:t>
            </w:r>
          </w:p>
        </w:tc>
        <w:tc>
          <w:tcPr>
            <w:tcW w:type="dxa" w:w="2664"/>
            <w:vAlign w:val="top"/>
          </w:tcPr>
          <w:p>
            <w:r/>
            <w:r>
              <w:rPr>
                <w:rFonts w:ascii="Aptos" w:hAnsi="Aptos"/>
                <w:b w:val="0"/>
                <w:sz w:val="15"/>
              </w:rPr>
              <w:t>Jan+</w:t>
            </w:r>
          </w:p>
        </w:tc>
        <w:tc>
          <w:tcPr>
            <w:tcW w:type="dxa" w:w="2664"/>
            <w:vAlign w:val="top"/>
          </w:tcPr>
          <w:p>
            <w:r/>
            <w:r>
              <w:rPr>
                <w:rFonts w:ascii="Aptos" w:hAnsi="Aptos"/>
                <w:b w:val="0"/>
                <w:sz w:val="15"/>
              </w:rPr>
              <w:t>Expand to transplant centers, partner intelligence, philanthropy-funded programs, and responsible AI readiness</w:t>
            </w:r>
          </w:p>
        </w:tc>
        <w:tc>
          <w:tcPr>
            <w:tcW w:type="dxa" w:w="2664"/>
            <w:vAlign w:val="top"/>
          </w:tcPr>
          <w:p>
            <w:r/>
            <w:r>
              <w:rPr>
                <w:rFonts w:ascii="Aptos" w:hAnsi="Aptos"/>
                <w:b w:val="0"/>
                <w:sz w:val="15"/>
              </w:rPr>
              <w:t>Build recurring revenue products</w:t>
            </w:r>
          </w:p>
        </w:tc>
      </w:tr>
    </w:tbl>
    <w:p/>
    <w:p>
      <w:pPr>
        <w:pStyle w:val="Heading1"/>
      </w:pPr>
      <w:r>
        <w:t>7. Compliance and trust guardrails</w:t>
      </w:r>
    </w:p>
    <w:p>
      <w:r>
        <w:rPr>
          <w:rFonts w:ascii="Aptos" w:hAnsi="Aptos"/>
          <w:b w:val="0"/>
          <w:sz w:val="18"/>
        </w:rPr>
        <w:t xml:space="preserve">These concepts should be presented as </w:t>
      </w:r>
      <w:r>
        <w:rPr>
          <w:rFonts w:ascii="Aptos" w:hAnsi="Aptos"/>
          <w:b/>
          <w:sz w:val="18"/>
        </w:rPr>
        <w:t>exploratory, governed, and mission-aligned</w:t>
      </w:r>
      <w:r>
        <w:rPr>
          <w:rFonts w:ascii="Aptos" w:hAnsi="Aptos"/>
          <w:b w:val="0"/>
          <w:sz w:val="18"/>
        </w:rPr>
        <w:t>. They should not imply unrestricted commercial access to patient-level data or operational systems.</w:t>
      </w:r>
    </w:p>
    <w:p>
      <w:pPr>
        <w:pStyle w:val="Heading2"/>
      </w:pPr>
      <w:r>
        <w:t>Safe language</w:t>
      </w:r>
    </w:p>
    <w:p>
      <w:pPr>
        <w:pStyle w:val="ListBullet"/>
      </w:pPr>
      <w:r>
        <w:rPr>
          <w:rFonts w:ascii="Aptos" w:hAnsi="Aptos"/>
          <w:b w:val="0"/>
          <w:sz w:val="18"/>
        </w:rPr>
        <w:t>“What if UNOS could responsibly package de-identified, aggregated transplant intelligence…”</w:t>
      </w:r>
    </w:p>
    <w:p>
      <w:pPr>
        <w:pStyle w:val="ListBullet"/>
      </w:pPr>
      <w:r>
        <w:rPr>
          <w:rFonts w:ascii="Aptos" w:hAnsi="Aptos"/>
          <w:b w:val="0"/>
          <w:sz w:val="18"/>
        </w:rPr>
        <w:t>“Permissioned analytics under appropriate data-use, privacy, and governance controls”</w:t>
      </w:r>
    </w:p>
    <w:p>
      <w:pPr>
        <w:pStyle w:val="ListBullet"/>
      </w:pPr>
      <w:r>
        <w:rPr>
          <w:rFonts w:ascii="Aptos" w:hAnsi="Aptos"/>
          <w:b w:val="0"/>
          <w:sz w:val="18"/>
        </w:rPr>
        <w:t>“Human-governed decision support, not automated clinical decision-making”</w:t>
      </w:r>
    </w:p>
    <w:p>
      <w:pPr>
        <w:pStyle w:val="ListBullet"/>
      </w:pPr>
      <w:r>
        <w:rPr>
          <w:rFonts w:ascii="Aptos" w:hAnsi="Aptos"/>
          <w:b w:val="0"/>
          <w:sz w:val="18"/>
        </w:rPr>
        <w:t>“Operational benchmarking and performance improvement”</w:t>
      </w:r>
    </w:p>
    <w:p>
      <w:pPr>
        <w:pStyle w:val="ListBullet"/>
      </w:pPr>
      <w:r>
        <w:rPr>
          <w:rFonts w:ascii="Aptos" w:hAnsi="Aptos"/>
          <w:b w:val="0"/>
          <w:sz w:val="18"/>
        </w:rPr>
        <w:t>“Mission-aligned growth that helps customers improve quality, utilization, equity, and readiness”</w:t>
      </w:r>
    </w:p>
    <w:p>
      <w:pPr>
        <w:pStyle w:val="Heading2"/>
      </w:pPr>
      <w:r>
        <w:t>Avoid</w:t>
      </w:r>
    </w:p>
    <w:p>
      <w:pPr>
        <w:pStyle w:val="ListBullet"/>
      </w:pPr>
      <w:r>
        <w:rPr>
          <w:rFonts w:ascii="Aptos" w:hAnsi="Aptos"/>
          <w:b w:val="0"/>
          <w:sz w:val="18"/>
        </w:rPr>
        <w:t>“Sell the database”</w:t>
      </w:r>
    </w:p>
    <w:p>
      <w:pPr>
        <w:pStyle w:val="ListBullet"/>
      </w:pPr>
      <w:r>
        <w:rPr>
          <w:rFonts w:ascii="Aptos" w:hAnsi="Aptos"/>
          <w:b w:val="0"/>
          <w:sz w:val="18"/>
        </w:rPr>
        <w:t>“Monetize patient data”</w:t>
      </w:r>
    </w:p>
    <w:p>
      <w:pPr>
        <w:pStyle w:val="ListBullet"/>
      </w:pPr>
      <w:r>
        <w:rPr>
          <w:rFonts w:ascii="Aptos" w:hAnsi="Aptos"/>
          <w:b w:val="0"/>
          <w:sz w:val="18"/>
        </w:rPr>
        <w:t>“Replace clinician judgment”</w:t>
      </w:r>
    </w:p>
    <w:p>
      <w:pPr>
        <w:pStyle w:val="ListBullet"/>
      </w:pPr>
      <w:r>
        <w:rPr>
          <w:rFonts w:ascii="Aptos" w:hAnsi="Aptos"/>
          <w:b w:val="0"/>
          <w:sz w:val="18"/>
        </w:rPr>
        <w:t>“Guarantee more transplants or better survival” without validation</w:t>
      </w:r>
    </w:p>
    <w:p>
      <w:pPr>
        <w:pStyle w:val="ListBullet"/>
      </w:pPr>
      <w:r>
        <w:rPr>
          <w:rFonts w:ascii="Aptos" w:hAnsi="Aptos"/>
          <w:b w:val="0"/>
          <w:sz w:val="18"/>
        </w:rPr>
        <w:t>“Use restricted data commercially” without specifying permission, governance, and compliance</w:t>
      </w:r>
    </w:p>
    <w:p>
      <w:pPr>
        <w:pStyle w:val="Heading1"/>
      </w:pPr>
      <w:r>
        <w:t>8. Leadership narrative</w:t>
      </w:r>
    </w:p>
    <w:p>
      <w:pPr>
        <w:ind w:left="259" w:right="173"/>
      </w:pPr>
      <w:r>
        <w:rPr>
          <w:i/>
          <w:color w:val="0F6E56"/>
          <w:sz w:val="20"/>
        </w:rPr>
        <w:t>What if UNOS became the trusted productization layer for the transplant ecosystem — converting nearly four decades of national transplant data, workflow expertise, and customer trust into governed intelligence products that help OPOs, centers, and partners make better decisions, improve performance, reduce burden, and advance the mission?</w:t>
      </w:r>
    </w:p>
    <w:p>
      <w:r>
        <w:rPr>
          <w:rFonts w:ascii="Aptos" w:hAnsi="Aptos"/>
          <w:b w:val="0"/>
          <w:sz w:val="18"/>
        </w:rPr>
        <w:t>The strongest near-term message is not “new software.” It is:</w:t>
      </w:r>
    </w:p>
    <w:p>
      <w:pPr>
        <w:ind w:left="259" w:right="173"/>
      </w:pPr>
      <w:r>
        <w:rPr>
          <w:i/>
          <w:color w:val="0F6E56"/>
          <w:sz w:val="20"/>
        </w:rPr>
        <w:t>UNOS can help every transplant stakeholder move from retrospective reporting to proactive, governed, workflow-native intelligence — starting with OPO performance and organ utilization.</w:t>
      </w:r>
    </w:p>
    <w:p>
      <w:pPr>
        <w:pStyle w:val="Heading1"/>
      </w:pPr>
      <w:r>
        <w:t>9. Recommended next step</w:t>
      </w:r>
    </w:p>
    <w:p>
      <w:r>
        <w:rPr>
          <w:rFonts w:ascii="Aptos" w:hAnsi="Aptos"/>
          <w:b w:val="0"/>
          <w:sz w:val="18"/>
        </w:rPr>
        <w:t>Build three customer-facing concept sheets for the top OPO sales motion:</w:t>
      </w:r>
    </w:p>
    <w:p>
      <w:r>
        <w:rPr>
          <w:rFonts w:ascii="Aptos" w:hAnsi="Aptos"/>
          <w:b w:val="0"/>
          <w:sz w:val="18"/>
        </w:rPr>
        <w:t xml:space="preserve">1. </w:t>
      </w:r>
      <w:r>
        <w:rPr>
          <w:rFonts w:ascii="Aptos" w:hAnsi="Aptos"/>
          <w:b/>
          <w:sz w:val="18"/>
        </w:rPr>
        <w:t>OPO Yield Intelligence</w:t>
      </w:r>
      <w:r>
        <w:rPr>
          <w:rFonts w:ascii="Aptos" w:hAnsi="Aptos"/>
          <w:b w:val="0"/>
          <w:sz w:val="18"/>
        </w:rPr>
        <w:t xml:space="preserve"> — where donor/organs are lost and what to do next.</w:t>
      </w:r>
    </w:p>
    <w:p>
      <w:r>
        <w:rPr>
          <w:rFonts w:ascii="Aptos" w:hAnsi="Aptos"/>
          <w:b w:val="0"/>
          <w:sz w:val="18"/>
        </w:rPr>
        <w:t xml:space="preserve">2. </w:t>
      </w:r>
      <w:r>
        <w:rPr>
          <w:rFonts w:ascii="Aptos" w:hAnsi="Aptos"/>
          <w:b/>
          <w:sz w:val="18"/>
        </w:rPr>
        <w:t>Organ Nonuse Root-Cause Dashboard</w:t>
      </w:r>
      <w:r>
        <w:rPr>
          <w:rFonts w:ascii="Aptos" w:hAnsi="Aptos"/>
          <w:b w:val="0"/>
          <w:sz w:val="18"/>
        </w:rPr>
        <w:t xml:space="preserve"> — why organs are not used and which levers are actionable.</w:t>
      </w:r>
    </w:p>
    <w:p>
      <w:r>
        <w:rPr>
          <w:rFonts w:ascii="Aptos" w:hAnsi="Aptos"/>
          <w:b w:val="0"/>
          <w:sz w:val="18"/>
        </w:rPr>
        <w:t xml:space="preserve">3. </w:t>
      </w:r>
      <w:r>
        <w:rPr>
          <w:rFonts w:ascii="Aptos" w:hAnsi="Aptos"/>
          <w:b/>
          <w:sz w:val="18"/>
        </w:rPr>
        <w:t>Data Quality Copilot</w:t>
      </w:r>
      <w:r>
        <w:rPr>
          <w:rFonts w:ascii="Aptos" w:hAnsi="Aptos"/>
          <w:b w:val="0"/>
          <w:sz w:val="18"/>
        </w:rPr>
        <w:t xml:space="preserve"> — how OPOs/centers reduce reporting burden and improve audit readiness.</w:t>
      </w:r>
    </w:p>
    <w:p>
      <w:r>
        <w:rPr>
          <w:rFonts w:ascii="Aptos" w:hAnsi="Aptos"/>
          <w:b w:val="0"/>
          <w:sz w:val="18"/>
        </w:rPr>
        <w:t>Each concept sheet should include buyer, pain point, data basis, mock dashboard, implementation path, pricing range, compliance note, and 90-day pilot design.</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6E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D0D0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F6E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