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922D" w14:textId="77777777" w:rsidR="002600CB" w:rsidRDefault="002600CB" w:rsidP="00D347DB">
      <w:pPr>
        <w:autoSpaceDE w:val="0"/>
        <w:autoSpaceDN w:val="0"/>
        <w:adjustRightInd w:val="0"/>
        <w:spacing w:after="0" w:line="240" w:lineRule="auto"/>
        <w:jc w:val="both"/>
        <w:rPr>
          <w:rFonts w:ascii="Arial" w:eastAsia="ArialMT" w:hAnsi="Arial" w:cs="Arial"/>
          <w:sz w:val="24"/>
          <w:szCs w:val="24"/>
        </w:rPr>
      </w:pPr>
    </w:p>
    <w:p w14:paraId="10253B54" w14:textId="68623329" w:rsidR="002600CB" w:rsidRPr="00BE3B46" w:rsidRDefault="002600CB" w:rsidP="00D347DB">
      <w:pPr>
        <w:autoSpaceDE w:val="0"/>
        <w:autoSpaceDN w:val="0"/>
        <w:adjustRightInd w:val="0"/>
        <w:spacing w:after="0" w:line="240" w:lineRule="auto"/>
        <w:jc w:val="both"/>
        <w:rPr>
          <w:rFonts w:ascii="Arial" w:eastAsia="ArialMT" w:hAnsi="Arial" w:cs="Arial"/>
          <w:sz w:val="24"/>
          <w:szCs w:val="24"/>
          <w:lang w:val="en-US"/>
        </w:rPr>
      </w:pPr>
      <w:r w:rsidRPr="00BE3B46">
        <w:rPr>
          <w:rFonts w:ascii="Arial" w:eastAsia="ArialMT" w:hAnsi="Arial" w:cs="Arial"/>
          <w:sz w:val="24"/>
          <w:szCs w:val="24"/>
          <w:lang w:val="en-US"/>
        </w:rPr>
        <w:t>Data information</w:t>
      </w:r>
    </w:p>
    <w:p w14:paraId="2A4F1B19" w14:textId="770FFAFC" w:rsidR="004225AC" w:rsidRPr="00BE3B46" w:rsidRDefault="004225AC" w:rsidP="00D347DB">
      <w:pPr>
        <w:autoSpaceDE w:val="0"/>
        <w:autoSpaceDN w:val="0"/>
        <w:adjustRightInd w:val="0"/>
        <w:spacing w:after="0" w:line="240" w:lineRule="auto"/>
        <w:jc w:val="both"/>
        <w:rPr>
          <w:rFonts w:ascii="Arial" w:eastAsia="ArialMT" w:hAnsi="Arial" w:cs="Arial"/>
          <w:sz w:val="24"/>
          <w:szCs w:val="24"/>
          <w:lang w:val="en-US"/>
        </w:rPr>
      </w:pPr>
    </w:p>
    <w:p w14:paraId="14A51247"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 xml:space="preserve">The production units are considered similar or homogeneous units </w:t>
      </w:r>
      <w:proofErr w:type="gramStart"/>
      <w:r w:rsidRPr="00517BE1">
        <w:rPr>
          <w:rFonts w:ascii="Arial" w:eastAsia="ArialMT" w:hAnsi="Arial" w:cs="Arial"/>
          <w:sz w:val="24"/>
          <w:szCs w:val="24"/>
          <w:lang w:val="en-US"/>
        </w:rPr>
        <w:t>in order to</w:t>
      </w:r>
      <w:proofErr w:type="gramEnd"/>
      <w:r w:rsidRPr="00517BE1">
        <w:rPr>
          <w:rFonts w:ascii="Arial" w:eastAsia="ArialMT" w:hAnsi="Arial" w:cs="Arial"/>
          <w:sz w:val="24"/>
          <w:szCs w:val="24"/>
          <w:lang w:val="en-US"/>
        </w:rPr>
        <w:t xml:space="preserve"> be comparable for the respective eco-efficiency analysis.</w:t>
      </w:r>
    </w:p>
    <w:p w14:paraId="1BBAFBB9"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p>
    <w:p w14:paraId="4BA1A3ED" w14:textId="5CC329FB" w:rsidR="006C6EF0" w:rsidRDefault="006C6EF0" w:rsidP="00517BE1">
      <w:pPr>
        <w:autoSpaceDE w:val="0"/>
        <w:autoSpaceDN w:val="0"/>
        <w:adjustRightInd w:val="0"/>
        <w:spacing w:after="0" w:line="240" w:lineRule="auto"/>
        <w:jc w:val="both"/>
        <w:rPr>
          <w:rFonts w:ascii="Arial" w:eastAsia="ArialMT" w:hAnsi="Arial" w:cs="Arial"/>
          <w:sz w:val="24"/>
          <w:szCs w:val="24"/>
          <w:lang w:val="en-US"/>
        </w:rPr>
      </w:pPr>
      <w:r w:rsidRPr="006C6EF0">
        <w:rPr>
          <w:rFonts w:ascii="Arial" w:eastAsia="ArialMT" w:hAnsi="Arial" w:cs="Arial"/>
          <w:sz w:val="24"/>
          <w:szCs w:val="24"/>
          <w:lang w:val="en-US"/>
        </w:rPr>
        <w:t>Endogenous variables. The study consists of two types of variables: two input</w:t>
      </w:r>
      <w:r>
        <w:rPr>
          <w:rFonts w:ascii="Arial" w:eastAsia="ArialMT" w:hAnsi="Arial" w:cs="Arial"/>
          <w:sz w:val="24"/>
          <w:szCs w:val="24"/>
          <w:lang w:val="en-US"/>
        </w:rPr>
        <w:t>s</w:t>
      </w:r>
      <w:r w:rsidRPr="006C6EF0">
        <w:rPr>
          <w:rFonts w:ascii="Arial" w:eastAsia="ArialMT" w:hAnsi="Arial" w:cs="Arial"/>
          <w:sz w:val="24"/>
          <w:szCs w:val="24"/>
          <w:lang w:val="en-US"/>
        </w:rPr>
        <w:t xml:space="preserve"> (x), three output</w:t>
      </w:r>
      <w:r>
        <w:rPr>
          <w:rFonts w:ascii="Arial" w:eastAsia="ArialMT" w:hAnsi="Arial" w:cs="Arial"/>
          <w:sz w:val="24"/>
          <w:szCs w:val="24"/>
          <w:lang w:val="en-US"/>
        </w:rPr>
        <w:t>s</w:t>
      </w:r>
      <w:r w:rsidRPr="006C6EF0">
        <w:rPr>
          <w:rFonts w:ascii="Arial" w:eastAsia="ArialMT" w:hAnsi="Arial" w:cs="Arial"/>
          <w:sz w:val="24"/>
          <w:szCs w:val="24"/>
          <w:lang w:val="en-US"/>
        </w:rPr>
        <w:t xml:space="preserve"> (y), of which two are desirable and one is undesirable (b).</w:t>
      </w:r>
    </w:p>
    <w:p w14:paraId="7F041F05" w14:textId="77777777" w:rsidR="006C6EF0" w:rsidRDefault="006C6EF0" w:rsidP="00517BE1">
      <w:pPr>
        <w:autoSpaceDE w:val="0"/>
        <w:autoSpaceDN w:val="0"/>
        <w:adjustRightInd w:val="0"/>
        <w:spacing w:after="0" w:line="240" w:lineRule="auto"/>
        <w:jc w:val="both"/>
        <w:rPr>
          <w:rFonts w:ascii="Arial" w:eastAsia="ArialMT" w:hAnsi="Arial" w:cs="Arial"/>
          <w:sz w:val="24"/>
          <w:szCs w:val="24"/>
          <w:lang w:val="en-US"/>
        </w:rPr>
      </w:pPr>
    </w:p>
    <w:p w14:paraId="54EB21AC" w14:textId="462E7B1E"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Input</w:t>
      </w:r>
      <w:r w:rsidR="006C6EF0">
        <w:rPr>
          <w:rFonts w:ascii="Arial" w:eastAsia="ArialMT" w:hAnsi="Arial" w:cs="Arial"/>
          <w:sz w:val="24"/>
          <w:szCs w:val="24"/>
          <w:lang w:val="en-US"/>
        </w:rPr>
        <w:t>s</w:t>
      </w:r>
    </w:p>
    <w:p w14:paraId="5B77B406"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x</w:t>
      </w:r>
      <w:r w:rsidRPr="008305CC">
        <w:rPr>
          <w:rFonts w:ascii="Arial" w:eastAsia="ArialMT" w:hAnsi="Arial" w:cs="Arial"/>
          <w:sz w:val="24"/>
          <w:szCs w:val="24"/>
          <w:vertAlign w:val="subscript"/>
          <w:lang w:val="en-US"/>
        </w:rPr>
        <w:t>1</w:t>
      </w:r>
      <w:r w:rsidRPr="00517BE1">
        <w:rPr>
          <w:rFonts w:ascii="Arial" w:eastAsia="ArialMT" w:hAnsi="Arial" w:cs="Arial"/>
          <w:sz w:val="24"/>
          <w:szCs w:val="24"/>
          <w:lang w:val="en-US"/>
        </w:rPr>
        <w:t xml:space="preserve"> - persons employed in the primary sector</w:t>
      </w:r>
    </w:p>
    <w:p w14:paraId="1A4243A4" w14:textId="65B10A1D" w:rsid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x</w:t>
      </w:r>
      <w:r w:rsidRPr="008305CC">
        <w:rPr>
          <w:rFonts w:ascii="Arial" w:eastAsia="ArialMT" w:hAnsi="Arial" w:cs="Arial"/>
          <w:sz w:val="24"/>
          <w:szCs w:val="24"/>
          <w:vertAlign w:val="subscript"/>
          <w:lang w:val="en-US"/>
        </w:rPr>
        <w:t>2</w:t>
      </w:r>
      <w:r w:rsidRPr="00517BE1">
        <w:rPr>
          <w:rFonts w:ascii="Arial" w:eastAsia="ArialMT" w:hAnsi="Arial" w:cs="Arial"/>
          <w:sz w:val="24"/>
          <w:szCs w:val="24"/>
          <w:lang w:val="en-US"/>
        </w:rPr>
        <w:t xml:space="preserve"> - area of agricultural use in hectares</w:t>
      </w:r>
    </w:p>
    <w:p w14:paraId="53DDEBE7" w14:textId="03AFCFF1" w:rsidR="006C6EF0" w:rsidRDefault="006C6EF0" w:rsidP="00517BE1">
      <w:pPr>
        <w:autoSpaceDE w:val="0"/>
        <w:autoSpaceDN w:val="0"/>
        <w:adjustRightInd w:val="0"/>
        <w:spacing w:after="0" w:line="240" w:lineRule="auto"/>
        <w:jc w:val="both"/>
        <w:rPr>
          <w:rFonts w:ascii="Arial" w:eastAsia="ArialMT" w:hAnsi="Arial" w:cs="Arial"/>
          <w:sz w:val="24"/>
          <w:szCs w:val="24"/>
          <w:lang w:val="en-US"/>
        </w:rPr>
      </w:pPr>
    </w:p>
    <w:p w14:paraId="5E27C124" w14:textId="77777777" w:rsidR="006C6EF0" w:rsidRPr="00517BE1" w:rsidRDefault="006C6EF0" w:rsidP="006C6EF0">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Output</w:t>
      </w:r>
      <w:r>
        <w:rPr>
          <w:rFonts w:ascii="Arial" w:eastAsia="ArialMT" w:hAnsi="Arial" w:cs="Arial"/>
          <w:sz w:val="24"/>
          <w:szCs w:val="24"/>
          <w:lang w:val="en-US"/>
        </w:rPr>
        <w:t>s</w:t>
      </w:r>
    </w:p>
    <w:p w14:paraId="0AC90DEC" w14:textId="219FA456" w:rsidR="006C6EF0" w:rsidRPr="00517BE1" w:rsidRDefault="006C6EF0" w:rsidP="00517BE1">
      <w:pPr>
        <w:autoSpaceDE w:val="0"/>
        <w:autoSpaceDN w:val="0"/>
        <w:adjustRightInd w:val="0"/>
        <w:spacing w:after="0" w:line="240" w:lineRule="auto"/>
        <w:jc w:val="both"/>
        <w:rPr>
          <w:rFonts w:ascii="Arial" w:eastAsia="ArialMT" w:hAnsi="Arial" w:cs="Arial"/>
          <w:sz w:val="24"/>
          <w:szCs w:val="24"/>
          <w:lang w:val="en-US"/>
        </w:rPr>
      </w:pPr>
      <w:r>
        <w:rPr>
          <w:rFonts w:ascii="Arial" w:eastAsia="ArialMT" w:hAnsi="Arial" w:cs="Arial"/>
          <w:sz w:val="24"/>
          <w:szCs w:val="24"/>
          <w:lang w:val="en-US"/>
        </w:rPr>
        <w:t>U</w:t>
      </w:r>
      <w:r w:rsidRPr="006C6EF0">
        <w:rPr>
          <w:rFonts w:ascii="Arial" w:eastAsia="ArialMT" w:hAnsi="Arial" w:cs="Arial"/>
          <w:sz w:val="24"/>
          <w:szCs w:val="24"/>
          <w:lang w:val="en-US"/>
        </w:rPr>
        <w:t>ndesirable (b)</w:t>
      </w:r>
    </w:p>
    <w:p w14:paraId="7B29AEE9" w14:textId="16D6F280"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x</w:t>
      </w:r>
      <w:r w:rsidRPr="00517BE1">
        <w:rPr>
          <w:rFonts w:ascii="Cambria Math" w:eastAsia="ArialMT" w:hAnsi="Cambria Math" w:cs="Cambria Math"/>
          <w:sz w:val="24"/>
          <w:szCs w:val="24"/>
          <w:lang w:val="en-US"/>
        </w:rPr>
        <w:t>₃</w:t>
      </w:r>
      <w:r w:rsidRPr="00517BE1">
        <w:rPr>
          <w:rFonts w:ascii="Arial" w:eastAsia="ArialMT" w:hAnsi="Arial" w:cs="Arial"/>
          <w:sz w:val="24"/>
          <w:szCs w:val="24"/>
          <w:lang w:val="en-US"/>
        </w:rPr>
        <w:t xml:space="preserve"> - GHG emissions in </w:t>
      </w:r>
      <w:proofErr w:type="spellStart"/>
      <w:r w:rsidRPr="00517BE1">
        <w:rPr>
          <w:rFonts w:ascii="Arial" w:eastAsia="ArialMT" w:hAnsi="Arial" w:cs="Arial"/>
          <w:sz w:val="24"/>
          <w:szCs w:val="24"/>
          <w:lang w:val="en-US"/>
        </w:rPr>
        <w:t>tonnes</w:t>
      </w:r>
      <w:proofErr w:type="spellEnd"/>
      <w:r w:rsidRPr="00517BE1">
        <w:rPr>
          <w:rFonts w:ascii="Arial" w:eastAsia="ArialMT" w:hAnsi="Arial" w:cs="Arial"/>
          <w:sz w:val="24"/>
          <w:szCs w:val="24"/>
          <w:lang w:val="en-US"/>
        </w:rPr>
        <w:t xml:space="preserve"> of CO</w:t>
      </w:r>
      <w:r w:rsidRPr="00517BE1">
        <w:rPr>
          <w:rFonts w:ascii="Cambria Math" w:eastAsia="ArialMT" w:hAnsi="Cambria Math" w:cs="Cambria Math"/>
          <w:sz w:val="24"/>
          <w:szCs w:val="24"/>
          <w:lang w:val="en-US"/>
        </w:rPr>
        <w:t>₂</w:t>
      </w:r>
      <w:r w:rsidRPr="00517BE1">
        <w:rPr>
          <w:rFonts w:ascii="Arial" w:eastAsia="ArialMT" w:hAnsi="Arial" w:cs="Arial"/>
          <w:sz w:val="24"/>
          <w:szCs w:val="24"/>
          <w:lang w:val="en-US"/>
        </w:rPr>
        <w:t xml:space="preserve"> equivalent</w:t>
      </w:r>
      <w:r w:rsidR="006C6EF0">
        <w:rPr>
          <w:rFonts w:ascii="Arial" w:eastAsia="ArialMT" w:hAnsi="Arial" w:cs="Arial"/>
          <w:sz w:val="24"/>
          <w:szCs w:val="24"/>
          <w:lang w:val="en-US"/>
        </w:rPr>
        <w:t xml:space="preserve"> (b)</w:t>
      </w:r>
    </w:p>
    <w:p w14:paraId="092813AA"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p>
    <w:p w14:paraId="61870D57" w14:textId="00360E2F"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Output</w:t>
      </w:r>
      <w:r w:rsidR="006C6EF0">
        <w:rPr>
          <w:rFonts w:ascii="Arial" w:eastAsia="ArialMT" w:hAnsi="Arial" w:cs="Arial"/>
          <w:sz w:val="24"/>
          <w:szCs w:val="24"/>
          <w:lang w:val="en-US"/>
        </w:rPr>
        <w:t>s</w:t>
      </w:r>
    </w:p>
    <w:p w14:paraId="15179F5F"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Desirable</w:t>
      </w:r>
    </w:p>
    <w:p w14:paraId="4649AE0B"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y</w:t>
      </w:r>
      <w:r w:rsidRPr="008305CC">
        <w:rPr>
          <w:rFonts w:ascii="Arial" w:eastAsia="ArialMT" w:hAnsi="Arial" w:cs="Arial"/>
          <w:sz w:val="24"/>
          <w:szCs w:val="24"/>
          <w:vertAlign w:val="subscript"/>
          <w:lang w:val="en-US"/>
        </w:rPr>
        <w:t>1</w:t>
      </w:r>
      <w:r w:rsidRPr="00517BE1">
        <w:rPr>
          <w:rFonts w:ascii="Arial" w:eastAsia="ArialMT" w:hAnsi="Arial" w:cs="Arial"/>
          <w:sz w:val="24"/>
          <w:szCs w:val="24"/>
          <w:lang w:val="en-US"/>
        </w:rPr>
        <w:t>- total value of production in thousands of pesos (MXN)</w:t>
      </w:r>
    </w:p>
    <w:p w14:paraId="13A6AE1F"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y</w:t>
      </w:r>
      <w:r w:rsidRPr="008305CC">
        <w:rPr>
          <w:rFonts w:ascii="Arial" w:eastAsia="ArialMT" w:hAnsi="Arial" w:cs="Arial"/>
          <w:sz w:val="24"/>
          <w:szCs w:val="24"/>
          <w:vertAlign w:val="subscript"/>
          <w:lang w:val="en-US"/>
        </w:rPr>
        <w:t>2</w:t>
      </w:r>
      <w:r w:rsidRPr="00517BE1">
        <w:rPr>
          <w:rFonts w:ascii="Arial" w:eastAsia="ArialMT" w:hAnsi="Arial" w:cs="Arial"/>
          <w:sz w:val="24"/>
          <w:szCs w:val="24"/>
          <w:lang w:val="en-US"/>
        </w:rPr>
        <w:t>- preserved area in hectares that includes forest and jungle.</w:t>
      </w:r>
    </w:p>
    <w:p w14:paraId="7C7291BB"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p>
    <w:p w14:paraId="5F12F40B" w14:textId="172F1EA7" w:rsidR="00960C30"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The endogenous variables x</w:t>
      </w:r>
      <w:r w:rsidRPr="008305CC">
        <w:rPr>
          <w:rFonts w:ascii="Arial" w:eastAsia="ArialMT" w:hAnsi="Arial" w:cs="Arial"/>
          <w:sz w:val="24"/>
          <w:szCs w:val="24"/>
          <w:vertAlign w:val="subscript"/>
          <w:lang w:val="en-US"/>
        </w:rPr>
        <w:t>1</w:t>
      </w:r>
      <w:r w:rsidRPr="00517BE1">
        <w:rPr>
          <w:rFonts w:ascii="Arial" w:eastAsia="ArialMT" w:hAnsi="Arial" w:cs="Arial"/>
          <w:sz w:val="24"/>
          <w:szCs w:val="24"/>
          <w:lang w:val="en-US"/>
        </w:rPr>
        <w:t>, x</w:t>
      </w:r>
      <w:r w:rsidRPr="008305CC">
        <w:rPr>
          <w:rFonts w:ascii="Arial" w:eastAsia="ArialMT" w:hAnsi="Arial" w:cs="Arial"/>
          <w:sz w:val="24"/>
          <w:szCs w:val="24"/>
          <w:vertAlign w:val="subscript"/>
          <w:lang w:val="en-US"/>
        </w:rPr>
        <w:t>2</w:t>
      </w:r>
      <w:r w:rsidRPr="00517BE1">
        <w:rPr>
          <w:rFonts w:ascii="Arial" w:eastAsia="ArialMT" w:hAnsi="Arial" w:cs="Arial"/>
          <w:sz w:val="24"/>
          <w:szCs w:val="24"/>
          <w:lang w:val="en-US"/>
        </w:rPr>
        <w:t xml:space="preserve"> and y</w:t>
      </w:r>
      <w:r w:rsidRPr="008305CC">
        <w:rPr>
          <w:rFonts w:ascii="Arial" w:eastAsia="ArialMT" w:hAnsi="Arial" w:cs="Arial"/>
          <w:sz w:val="24"/>
          <w:szCs w:val="24"/>
          <w:vertAlign w:val="subscript"/>
          <w:lang w:val="en-US"/>
        </w:rPr>
        <w:t>2</w:t>
      </w:r>
      <w:r w:rsidRPr="00517BE1">
        <w:rPr>
          <w:rFonts w:ascii="Arial" w:eastAsia="ArialMT" w:hAnsi="Arial" w:cs="Arial"/>
          <w:sz w:val="24"/>
          <w:szCs w:val="24"/>
          <w:lang w:val="en-US"/>
        </w:rPr>
        <w:t xml:space="preserve"> were obtained from different official databases, from the National Institute of Statistics and Geography (INEGI). </w:t>
      </w:r>
      <w:r w:rsidR="00960C30" w:rsidRPr="00960C30">
        <w:rPr>
          <w:rFonts w:ascii="Arial" w:eastAsia="ArialMT" w:hAnsi="Arial" w:cs="Arial"/>
          <w:sz w:val="24"/>
          <w:szCs w:val="24"/>
          <w:lang w:val="en-US"/>
        </w:rPr>
        <w:t xml:space="preserve">From INEGI, 2017, </w:t>
      </w:r>
      <w:proofErr w:type="spellStart"/>
      <w:r w:rsidR="00960C30" w:rsidRPr="00960C30">
        <w:rPr>
          <w:rFonts w:ascii="Arial" w:eastAsia="ArialMT" w:hAnsi="Arial" w:cs="Arial"/>
          <w:sz w:val="24"/>
          <w:szCs w:val="24"/>
          <w:lang w:val="en-US"/>
        </w:rPr>
        <w:t>Anuario</w:t>
      </w:r>
      <w:proofErr w:type="spellEnd"/>
      <w:r w:rsidR="00960C30" w:rsidRPr="00960C30">
        <w:rPr>
          <w:rFonts w:ascii="Arial" w:eastAsia="ArialMT" w:hAnsi="Arial" w:cs="Arial"/>
          <w:sz w:val="24"/>
          <w:szCs w:val="24"/>
          <w:lang w:val="en-US"/>
        </w:rPr>
        <w:t xml:space="preserve"> </w:t>
      </w:r>
      <w:proofErr w:type="spellStart"/>
      <w:r w:rsidR="00960C30" w:rsidRPr="00960C30">
        <w:rPr>
          <w:rFonts w:ascii="Arial" w:eastAsia="ArialMT" w:hAnsi="Arial" w:cs="Arial"/>
          <w:sz w:val="24"/>
          <w:szCs w:val="24"/>
          <w:lang w:val="en-US"/>
        </w:rPr>
        <w:t>estadístico</w:t>
      </w:r>
      <w:proofErr w:type="spellEnd"/>
      <w:r w:rsidR="00960C30" w:rsidRPr="00960C30">
        <w:rPr>
          <w:rFonts w:ascii="Arial" w:eastAsia="ArialMT" w:hAnsi="Arial" w:cs="Arial"/>
          <w:sz w:val="24"/>
          <w:szCs w:val="24"/>
          <w:lang w:val="en-US"/>
        </w:rPr>
        <w:t xml:space="preserve"> </w:t>
      </w:r>
      <w:proofErr w:type="spellStart"/>
      <w:r w:rsidR="00960C30" w:rsidRPr="00960C30">
        <w:rPr>
          <w:rFonts w:ascii="Arial" w:eastAsia="ArialMT" w:hAnsi="Arial" w:cs="Arial"/>
          <w:sz w:val="24"/>
          <w:szCs w:val="24"/>
          <w:lang w:val="en-US"/>
        </w:rPr>
        <w:t>estatal</w:t>
      </w:r>
      <w:proofErr w:type="spellEnd"/>
      <w:r w:rsidR="00960C30" w:rsidRPr="00960C30">
        <w:rPr>
          <w:rFonts w:ascii="Arial" w:eastAsia="ArialMT" w:hAnsi="Arial" w:cs="Arial"/>
          <w:sz w:val="24"/>
          <w:szCs w:val="24"/>
          <w:lang w:val="en-US"/>
        </w:rPr>
        <w:t xml:space="preserve"> de Puebla, which contains data at the municipal level.</w:t>
      </w:r>
    </w:p>
    <w:p w14:paraId="47C92979" w14:textId="77777777" w:rsidR="00960C30" w:rsidRDefault="00960C30" w:rsidP="00517BE1">
      <w:pPr>
        <w:autoSpaceDE w:val="0"/>
        <w:autoSpaceDN w:val="0"/>
        <w:adjustRightInd w:val="0"/>
        <w:spacing w:after="0" w:line="240" w:lineRule="auto"/>
        <w:jc w:val="both"/>
        <w:rPr>
          <w:rFonts w:ascii="Arial" w:eastAsia="ArialMT" w:hAnsi="Arial" w:cs="Arial"/>
          <w:sz w:val="24"/>
          <w:szCs w:val="24"/>
          <w:lang w:val="en-US"/>
        </w:rPr>
      </w:pPr>
    </w:p>
    <w:p w14:paraId="0A2BB40C" w14:textId="2C8002F0"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 xml:space="preserve">Since the last database of the Population and Housing Census dates from 2010, the variables mentioned were estimated for the years 2016 and 2017 under the calculation of population growth </w:t>
      </w:r>
      <w:proofErr w:type="spellStart"/>
      <w:proofErr w:type="gramStart"/>
      <w:r w:rsidRPr="00517BE1">
        <w:rPr>
          <w:rFonts w:ascii="Arial" w:eastAsia="ArialMT" w:hAnsi="Arial" w:cs="Arial"/>
          <w:sz w:val="24"/>
          <w:szCs w:val="24"/>
          <w:lang w:val="en-US"/>
        </w:rPr>
        <w:t>rate,deforestation</w:t>
      </w:r>
      <w:proofErr w:type="spellEnd"/>
      <w:proofErr w:type="gramEnd"/>
      <w:r w:rsidRPr="00517BE1">
        <w:rPr>
          <w:rFonts w:ascii="Arial" w:eastAsia="ArialMT" w:hAnsi="Arial" w:cs="Arial"/>
          <w:sz w:val="24"/>
          <w:szCs w:val="24"/>
          <w:lang w:val="en-US"/>
        </w:rPr>
        <w:t xml:space="preserve"> rate and land use change for the region.</w:t>
      </w:r>
    </w:p>
    <w:p w14:paraId="49A6F525"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p>
    <w:p w14:paraId="25175C8B" w14:textId="77777777" w:rsidR="00517BE1" w:rsidRPr="008305CC" w:rsidRDefault="00517BE1" w:rsidP="00517BE1">
      <w:pPr>
        <w:autoSpaceDE w:val="0"/>
        <w:autoSpaceDN w:val="0"/>
        <w:adjustRightInd w:val="0"/>
        <w:spacing w:after="0" w:line="240" w:lineRule="auto"/>
        <w:jc w:val="both"/>
        <w:rPr>
          <w:rFonts w:ascii="Arial" w:eastAsia="ArialMT" w:hAnsi="Arial" w:cs="Arial"/>
          <w:sz w:val="24"/>
          <w:szCs w:val="24"/>
          <w:lang w:val="en-GB"/>
        </w:rPr>
      </w:pPr>
      <w:r w:rsidRPr="00517BE1">
        <w:rPr>
          <w:rFonts w:ascii="Arial" w:eastAsia="ArialMT" w:hAnsi="Arial" w:cs="Arial"/>
          <w:sz w:val="24"/>
          <w:szCs w:val="24"/>
          <w:lang w:val="en-US"/>
        </w:rPr>
        <w:t>Regarding the variable y</w:t>
      </w:r>
      <w:r w:rsidRPr="008305CC">
        <w:rPr>
          <w:rFonts w:ascii="Arial" w:eastAsia="ArialMT" w:hAnsi="Arial" w:cs="Arial"/>
          <w:sz w:val="24"/>
          <w:szCs w:val="24"/>
          <w:vertAlign w:val="subscript"/>
          <w:lang w:val="en-US"/>
        </w:rPr>
        <w:t>1</w:t>
      </w:r>
      <w:r w:rsidRPr="00517BE1">
        <w:rPr>
          <w:rFonts w:ascii="Arial" w:eastAsia="ArialMT" w:hAnsi="Arial" w:cs="Arial"/>
          <w:sz w:val="24"/>
          <w:szCs w:val="24"/>
          <w:lang w:val="en-US"/>
        </w:rPr>
        <w:t xml:space="preserve">, we used the open database belonging to the agricultural production statistics of the </w:t>
      </w:r>
      <w:proofErr w:type="spellStart"/>
      <w:r w:rsidRPr="00517BE1">
        <w:rPr>
          <w:rFonts w:ascii="Arial" w:eastAsia="ArialMT" w:hAnsi="Arial" w:cs="Arial"/>
          <w:sz w:val="24"/>
          <w:szCs w:val="24"/>
          <w:lang w:val="en-US"/>
        </w:rPr>
        <w:t>Servicio</w:t>
      </w:r>
      <w:proofErr w:type="spellEnd"/>
      <w:r w:rsidRPr="00517BE1">
        <w:rPr>
          <w:rFonts w:ascii="Arial" w:eastAsia="ArialMT" w:hAnsi="Arial" w:cs="Arial"/>
          <w:sz w:val="24"/>
          <w:szCs w:val="24"/>
          <w:lang w:val="en-US"/>
        </w:rPr>
        <w:t xml:space="preserve"> de </w:t>
      </w:r>
      <w:proofErr w:type="spellStart"/>
      <w:r w:rsidRPr="00517BE1">
        <w:rPr>
          <w:rFonts w:ascii="Arial" w:eastAsia="ArialMT" w:hAnsi="Arial" w:cs="Arial"/>
          <w:sz w:val="24"/>
          <w:szCs w:val="24"/>
          <w:lang w:val="en-US"/>
        </w:rPr>
        <w:t>Información</w:t>
      </w:r>
      <w:proofErr w:type="spellEnd"/>
      <w:r w:rsidRPr="00517BE1">
        <w:rPr>
          <w:rFonts w:ascii="Arial" w:eastAsia="ArialMT" w:hAnsi="Arial" w:cs="Arial"/>
          <w:sz w:val="24"/>
          <w:szCs w:val="24"/>
          <w:lang w:val="en-US"/>
        </w:rPr>
        <w:t xml:space="preserve"> </w:t>
      </w:r>
      <w:proofErr w:type="spellStart"/>
      <w:r w:rsidRPr="00517BE1">
        <w:rPr>
          <w:rFonts w:ascii="Arial" w:eastAsia="ArialMT" w:hAnsi="Arial" w:cs="Arial"/>
          <w:sz w:val="24"/>
          <w:szCs w:val="24"/>
          <w:lang w:val="en-US"/>
        </w:rPr>
        <w:t>Agroalimentaria</w:t>
      </w:r>
      <w:proofErr w:type="spellEnd"/>
      <w:r w:rsidRPr="00517BE1">
        <w:rPr>
          <w:rFonts w:ascii="Arial" w:eastAsia="ArialMT" w:hAnsi="Arial" w:cs="Arial"/>
          <w:sz w:val="24"/>
          <w:szCs w:val="24"/>
          <w:lang w:val="en-US"/>
        </w:rPr>
        <w:t xml:space="preserve"> y Pesquera (SIAP), where the basic annual agricultural statistics are registered at national, state, rural development district and municipal levels. </w:t>
      </w:r>
      <w:r w:rsidRPr="008305CC">
        <w:rPr>
          <w:rFonts w:ascii="Arial" w:eastAsia="ArialMT" w:hAnsi="Arial" w:cs="Arial"/>
          <w:sz w:val="24"/>
          <w:szCs w:val="24"/>
          <w:lang w:val="en-GB"/>
        </w:rPr>
        <w:t xml:space="preserve">Information available in the Sistema de </w:t>
      </w:r>
      <w:proofErr w:type="spellStart"/>
      <w:r w:rsidRPr="008305CC">
        <w:rPr>
          <w:rFonts w:ascii="Arial" w:eastAsia="ArialMT" w:hAnsi="Arial" w:cs="Arial"/>
          <w:sz w:val="24"/>
          <w:szCs w:val="24"/>
          <w:lang w:val="en-GB"/>
        </w:rPr>
        <w:t>Información</w:t>
      </w:r>
      <w:proofErr w:type="spellEnd"/>
      <w:r w:rsidRPr="008305CC">
        <w:rPr>
          <w:rFonts w:ascii="Arial" w:eastAsia="ArialMT" w:hAnsi="Arial" w:cs="Arial"/>
          <w:sz w:val="24"/>
          <w:szCs w:val="24"/>
          <w:lang w:val="en-GB"/>
        </w:rPr>
        <w:t xml:space="preserve"> </w:t>
      </w:r>
      <w:proofErr w:type="spellStart"/>
      <w:r w:rsidRPr="008305CC">
        <w:rPr>
          <w:rFonts w:ascii="Arial" w:eastAsia="ArialMT" w:hAnsi="Arial" w:cs="Arial"/>
          <w:sz w:val="24"/>
          <w:szCs w:val="24"/>
          <w:lang w:val="en-GB"/>
        </w:rPr>
        <w:t>Agroalimentaria</w:t>
      </w:r>
      <w:proofErr w:type="spellEnd"/>
      <w:r w:rsidRPr="008305CC">
        <w:rPr>
          <w:rFonts w:ascii="Arial" w:eastAsia="ArialMT" w:hAnsi="Arial" w:cs="Arial"/>
          <w:sz w:val="24"/>
          <w:szCs w:val="24"/>
          <w:lang w:val="en-GB"/>
        </w:rPr>
        <w:t xml:space="preserve"> de Consulta (SIACON) was also used.</w:t>
      </w:r>
    </w:p>
    <w:p w14:paraId="0C45FAA5" w14:textId="77777777" w:rsidR="00517BE1" w:rsidRPr="008305CC" w:rsidRDefault="00517BE1" w:rsidP="00517BE1">
      <w:pPr>
        <w:autoSpaceDE w:val="0"/>
        <w:autoSpaceDN w:val="0"/>
        <w:adjustRightInd w:val="0"/>
        <w:spacing w:after="0" w:line="240" w:lineRule="auto"/>
        <w:jc w:val="both"/>
        <w:rPr>
          <w:rFonts w:ascii="Arial" w:eastAsia="ArialMT" w:hAnsi="Arial" w:cs="Arial"/>
          <w:sz w:val="24"/>
          <w:szCs w:val="24"/>
          <w:lang w:val="en-GB"/>
        </w:rPr>
      </w:pPr>
    </w:p>
    <w:p w14:paraId="73AD3D9E"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The values of the variable x</w:t>
      </w:r>
      <w:r w:rsidRPr="00517BE1">
        <w:rPr>
          <w:rFonts w:ascii="Cambria Math" w:eastAsia="ArialMT" w:hAnsi="Cambria Math" w:cs="Cambria Math"/>
          <w:sz w:val="24"/>
          <w:szCs w:val="24"/>
          <w:lang w:val="en-US"/>
        </w:rPr>
        <w:t>₃</w:t>
      </w:r>
      <w:r w:rsidRPr="00517BE1">
        <w:rPr>
          <w:rFonts w:ascii="Arial" w:eastAsia="ArialMT" w:hAnsi="Arial" w:cs="Arial"/>
          <w:sz w:val="24"/>
          <w:szCs w:val="24"/>
          <w:lang w:val="en-US"/>
        </w:rPr>
        <w:t xml:space="preserve"> correspond to the National Inventory of Greenhouse Gas and Compound Emissions (INEGYCEI) for the period 1990-2015 (INEGYCEI, 2018), They were estimated with the Emissions Calculator of the National Emissions Registry (RENE) version 8.0, the tool is congruent with that published in the Fifth Assessment Report of the IPCC (SEMARNAT, 2016) and yields results of total carbon equivalent emissions at the municipal level.</w:t>
      </w:r>
    </w:p>
    <w:p w14:paraId="5821C0A5"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p>
    <w:p w14:paraId="21E869A9"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t>Exogenous variables</w:t>
      </w:r>
    </w:p>
    <w:p w14:paraId="2DA1C4FB" w14:textId="0547DA2B" w:rsidR="00517BE1" w:rsidRPr="00517BE1" w:rsidRDefault="00517BE1" w:rsidP="00517BE1">
      <w:pPr>
        <w:autoSpaceDE w:val="0"/>
        <w:autoSpaceDN w:val="0"/>
        <w:adjustRightInd w:val="0"/>
        <w:spacing w:after="0" w:line="240" w:lineRule="auto"/>
        <w:jc w:val="both"/>
        <w:rPr>
          <w:rFonts w:ascii="Arial" w:eastAsia="ArialMT" w:hAnsi="Arial" w:cs="Arial"/>
          <w:sz w:val="24"/>
          <w:szCs w:val="24"/>
          <w:lang w:val="en-US"/>
        </w:rPr>
      </w:pPr>
      <w:r w:rsidRPr="00517BE1">
        <w:rPr>
          <w:rFonts w:ascii="Arial" w:eastAsia="ArialMT" w:hAnsi="Arial" w:cs="Arial"/>
          <w:sz w:val="24"/>
          <w:szCs w:val="24"/>
          <w:lang w:val="en-US"/>
        </w:rPr>
        <w:lastRenderedPageBreak/>
        <w:t xml:space="preserve">In the constructed model, climate enters as an exogenous variable and has been accounted for in relation to the average value of the </w:t>
      </w:r>
      <w:proofErr w:type="gramStart"/>
      <w:r w:rsidRPr="00517BE1">
        <w:rPr>
          <w:rFonts w:ascii="Arial" w:eastAsia="ArialMT" w:hAnsi="Arial" w:cs="Arial"/>
          <w:sz w:val="24"/>
          <w:szCs w:val="24"/>
          <w:lang w:val="en-US"/>
        </w:rPr>
        <w:t>variables</w:t>
      </w:r>
      <w:proofErr w:type="gramEnd"/>
      <w:r w:rsidRPr="00517BE1">
        <w:rPr>
          <w:rFonts w:ascii="Arial" w:eastAsia="ArialMT" w:hAnsi="Arial" w:cs="Arial"/>
          <w:sz w:val="24"/>
          <w:szCs w:val="24"/>
          <w:lang w:val="en-US"/>
        </w:rPr>
        <w:t xml:space="preserve"> temperature T and precipitation P for a broad region, and not with specific values. The information of these variables is contained in the database of climatological </w:t>
      </w:r>
      <w:proofErr w:type="spellStart"/>
      <w:r w:rsidRPr="00517BE1">
        <w:rPr>
          <w:rFonts w:ascii="Arial" w:eastAsia="ArialMT" w:hAnsi="Arial" w:cs="Arial"/>
          <w:sz w:val="24"/>
          <w:szCs w:val="24"/>
          <w:lang w:val="en-US"/>
        </w:rPr>
        <w:t>normals</w:t>
      </w:r>
      <w:proofErr w:type="spellEnd"/>
      <w:r w:rsidRPr="00517BE1">
        <w:rPr>
          <w:rFonts w:ascii="Arial" w:eastAsia="ArialMT" w:hAnsi="Arial" w:cs="Arial"/>
          <w:sz w:val="24"/>
          <w:szCs w:val="24"/>
          <w:lang w:val="en-US"/>
        </w:rPr>
        <w:t xml:space="preserve"> by state of the National Meteorological Service (SMN), due to the proximity between them and the availability of updated information by the Basin Organisms and Local Directorates of the National Water Commission (CONAGUA). </w:t>
      </w:r>
    </w:p>
    <w:p w14:paraId="1D9D65C0" w14:textId="77777777" w:rsidR="003E0668" w:rsidRPr="00BE3B46" w:rsidRDefault="003E0668" w:rsidP="00517BE1">
      <w:pPr>
        <w:autoSpaceDE w:val="0"/>
        <w:autoSpaceDN w:val="0"/>
        <w:adjustRightInd w:val="0"/>
        <w:spacing w:after="0" w:line="240" w:lineRule="auto"/>
        <w:jc w:val="both"/>
        <w:rPr>
          <w:rFonts w:ascii="Arial" w:eastAsia="ArialMT" w:hAnsi="Arial" w:cs="Arial"/>
          <w:sz w:val="24"/>
          <w:szCs w:val="24"/>
          <w:lang w:val="en-US"/>
        </w:rPr>
      </w:pPr>
    </w:p>
    <w:p w14:paraId="752EB498" w14:textId="3089480A" w:rsidR="00517BE1" w:rsidRPr="00517BE1" w:rsidRDefault="00517BE1" w:rsidP="00517BE1">
      <w:pPr>
        <w:autoSpaceDE w:val="0"/>
        <w:autoSpaceDN w:val="0"/>
        <w:adjustRightInd w:val="0"/>
        <w:spacing w:after="0" w:line="240" w:lineRule="auto"/>
        <w:jc w:val="both"/>
        <w:rPr>
          <w:rFonts w:ascii="Arial" w:eastAsia="ArialMT" w:hAnsi="Arial" w:cs="Arial"/>
          <w:sz w:val="24"/>
          <w:szCs w:val="24"/>
        </w:rPr>
      </w:pPr>
      <w:proofErr w:type="spellStart"/>
      <w:r w:rsidRPr="00517BE1">
        <w:rPr>
          <w:rFonts w:ascii="Arial" w:eastAsia="ArialMT" w:hAnsi="Arial" w:cs="Arial"/>
          <w:sz w:val="24"/>
          <w:szCs w:val="24"/>
        </w:rPr>
        <w:t>References</w:t>
      </w:r>
      <w:proofErr w:type="spellEnd"/>
    </w:p>
    <w:p w14:paraId="1BD31FBC" w14:textId="77777777" w:rsidR="00517BE1" w:rsidRPr="00517BE1" w:rsidRDefault="00517BE1" w:rsidP="00517BE1">
      <w:pPr>
        <w:autoSpaceDE w:val="0"/>
        <w:autoSpaceDN w:val="0"/>
        <w:adjustRightInd w:val="0"/>
        <w:spacing w:after="0" w:line="240" w:lineRule="auto"/>
        <w:jc w:val="both"/>
        <w:rPr>
          <w:rFonts w:ascii="Arial" w:eastAsia="ArialMT" w:hAnsi="Arial" w:cs="Arial"/>
          <w:sz w:val="24"/>
          <w:szCs w:val="24"/>
        </w:rPr>
      </w:pPr>
    </w:p>
    <w:p w14:paraId="3BD9AFFE" w14:textId="77777777" w:rsidR="003E0668" w:rsidRDefault="003E0668" w:rsidP="00517BE1">
      <w:pPr>
        <w:autoSpaceDE w:val="0"/>
        <w:autoSpaceDN w:val="0"/>
        <w:adjustRightInd w:val="0"/>
        <w:spacing w:after="0" w:line="240" w:lineRule="auto"/>
        <w:jc w:val="both"/>
        <w:rPr>
          <w:rFonts w:ascii="Arial" w:eastAsia="ArialMT" w:hAnsi="Arial" w:cs="Arial"/>
          <w:sz w:val="24"/>
          <w:szCs w:val="24"/>
        </w:rPr>
      </w:pPr>
      <w:r w:rsidRPr="003E0668">
        <w:rPr>
          <w:rFonts w:ascii="Arial" w:eastAsia="ArialMT" w:hAnsi="Arial" w:cs="Arial"/>
          <w:sz w:val="24"/>
          <w:szCs w:val="24"/>
        </w:rPr>
        <w:t>INEGI, 2017, Anuario estadístico estatal de Puebla</w:t>
      </w:r>
      <w:r>
        <w:rPr>
          <w:rFonts w:ascii="Arial" w:eastAsia="ArialMT" w:hAnsi="Arial" w:cs="Arial"/>
          <w:sz w:val="24"/>
          <w:szCs w:val="24"/>
        </w:rPr>
        <w:t>, México.</w:t>
      </w:r>
    </w:p>
    <w:p w14:paraId="5C2B6B1A" w14:textId="2BBA2B3B" w:rsidR="003E0668" w:rsidRDefault="00533E52" w:rsidP="00517BE1">
      <w:pPr>
        <w:autoSpaceDE w:val="0"/>
        <w:autoSpaceDN w:val="0"/>
        <w:adjustRightInd w:val="0"/>
        <w:spacing w:after="0" w:line="240" w:lineRule="auto"/>
        <w:jc w:val="both"/>
        <w:rPr>
          <w:rFonts w:ascii="Arial" w:eastAsia="ArialMT" w:hAnsi="Arial" w:cs="Arial"/>
          <w:sz w:val="24"/>
          <w:szCs w:val="24"/>
        </w:rPr>
      </w:pPr>
      <w:hyperlink r:id="rId4" w:history="1">
        <w:r w:rsidR="002600CB" w:rsidRPr="006E411F">
          <w:rPr>
            <w:rStyle w:val="Hyperlink"/>
            <w:rFonts w:ascii="Arial" w:eastAsia="ArialMT" w:hAnsi="Arial" w:cs="Arial"/>
            <w:sz w:val="24"/>
            <w:szCs w:val="24"/>
          </w:rPr>
          <w:t>https://www.inegi.org.mx/contenidos/productos/prod_serv/contenidos/espanol/bvinegi/productos/nueva_estruc/anuarios_2017/702825094973.pdf</w:t>
        </w:r>
      </w:hyperlink>
    </w:p>
    <w:p w14:paraId="31D317B2" w14:textId="77777777" w:rsidR="003E0668" w:rsidRDefault="003E0668" w:rsidP="00517BE1">
      <w:pPr>
        <w:autoSpaceDE w:val="0"/>
        <w:autoSpaceDN w:val="0"/>
        <w:adjustRightInd w:val="0"/>
        <w:spacing w:after="0" w:line="240" w:lineRule="auto"/>
        <w:jc w:val="both"/>
        <w:rPr>
          <w:rFonts w:ascii="Arial" w:eastAsia="ArialMT" w:hAnsi="Arial" w:cs="Arial"/>
          <w:sz w:val="24"/>
          <w:szCs w:val="24"/>
        </w:rPr>
      </w:pPr>
    </w:p>
    <w:p w14:paraId="10AE2BA8" w14:textId="14165C20" w:rsidR="00BE3B46" w:rsidRDefault="00517BE1" w:rsidP="00D347DB">
      <w:pPr>
        <w:autoSpaceDE w:val="0"/>
        <w:autoSpaceDN w:val="0"/>
        <w:adjustRightInd w:val="0"/>
        <w:spacing w:after="0" w:line="240" w:lineRule="auto"/>
        <w:jc w:val="both"/>
        <w:rPr>
          <w:rFonts w:ascii="Arial" w:eastAsia="ArialMT" w:hAnsi="Arial" w:cs="Arial"/>
          <w:sz w:val="24"/>
          <w:szCs w:val="24"/>
        </w:rPr>
      </w:pPr>
      <w:r w:rsidRPr="00517BE1">
        <w:rPr>
          <w:rFonts w:ascii="Arial" w:eastAsia="ArialMT" w:hAnsi="Arial" w:cs="Arial"/>
          <w:sz w:val="24"/>
          <w:szCs w:val="24"/>
        </w:rPr>
        <w:t xml:space="preserve">SEMARNAT. (2016). Registro Nacional de Emisiones (RENE) | Secretaría de Medio Ambiente y Recursos Naturales Gobierno | gob.mx. Registro Nacional de Emisiones. </w:t>
      </w:r>
      <w:hyperlink r:id="rId5" w:history="1">
        <w:r w:rsidR="00BE3B46" w:rsidRPr="003D2733">
          <w:rPr>
            <w:rStyle w:val="Hyperlink"/>
            <w:rFonts w:ascii="Arial" w:eastAsia="ArialMT" w:hAnsi="Arial" w:cs="Arial"/>
            <w:sz w:val="24"/>
            <w:szCs w:val="24"/>
          </w:rPr>
          <w:t>https://www.gob.mx/semarnat/acciones-y-programas/registro-nacional-de-emisiones-rene</w:t>
        </w:r>
      </w:hyperlink>
    </w:p>
    <w:p w14:paraId="6AD02520" w14:textId="77777777" w:rsidR="00BE3B46" w:rsidRDefault="00BE3B46" w:rsidP="00D347DB">
      <w:pPr>
        <w:autoSpaceDE w:val="0"/>
        <w:autoSpaceDN w:val="0"/>
        <w:adjustRightInd w:val="0"/>
        <w:spacing w:after="0" w:line="240" w:lineRule="auto"/>
        <w:jc w:val="both"/>
        <w:rPr>
          <w:rFonts w:ascii="Arial" w:eastAsia="ArialMT" w:hAnsi="Arial" w:cs="Arial"/>
          <w:sz w:val="24"/>
          <w:szCs w:val="24"/>
        </w:rPr>
      </w:pPr>
    </w:p>
    <w:p w14:paraId="23FC5A8F" w14:textId="232AF1DA" w:rsidR="00517BE1" w:rsidRDefault="00517BE1" w:rsidP="00D347DB">
      <w:pPr>
        <w:autoSpaceDE w:val="0"/>
        <w:autoSpaceDN w:val="0"/>
        <w:adjustRightInd w:val="0"/>
        <w:spacing w:after="0" w:line="240" w:lineRule="auto"/>
        <w:jc w:val="both"/>
        <w:rPr>
          <w:rFonts w:ascii="Arial" w:eastAsia="ArialMT" w:hAnsi="Arial" w:cs="Arial"/>
          <w:sz w:val="24"/>
          <w:szCs w:val="24"/>
        </w:rPr>
      </w:pPr>
    </w:p>
    <w:sectPr w:rsidR="00517B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840"/>
    <w:rsid w:val="002600CB"/>
    <w:rsid w:val="003E0668"/>
    <w:rsid w:val="004225AC"/>
    <w:rsid w:val="00510831"/>
    <w:rsid w:val="00517BE1"/>
    <w:rsid w:val="00533E52"/>
    <w:rsid w:val="006C2FFF"/>
    <w:rsid w:val="006C6EF0"/>
    <w:rsid w:val="006E5056"/>
    <w:rsid w:val="00757840"/>
    <w:rsid w:val="007E6A43"/>
    <w:rsid w:val="008305CC"/>
    <w:rsid w:val="00960C30"/>
    <w:rsid w:val="00AF6B7B"/>
    <w:rsid w:val="00BB3A7A"/>
    <w:rsid w:val="00BE3B46"/>
    <w:rsid w:val="00D347DB"/>
    <w:rsid w:val="00D9121C"/>
    <w:rsid w:val="00E379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9430"/>
  <w15:chartTrackingRefBased/>
  <w15:docId w15:val="{3920048E-7FAD-4660-8769-3B533B8F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347DB"/>
    <w:rPr>
      <w:color w:val="0563C1" w:themeColor="hyperlink"/>
      <w:u w:val="single"/>
    </w:rPr>
  </w:style>
  <w:style w:type="character" w:customStyle="1" w:styleId="MenoPendente1">
    <w:name w:val="Menção Pendente1"/>
    <w:basedOn w:val="Fontepargpadro"/>
    <w:uiPriority w:val="99"/>
    <w:semiHidden/>
    <w:unhideWhenUsed/>
    <w:rsid w:val="00D347DB"/>
    <w:rPr>
      <w:color w:val="605E5C"/>
      <w:shd w:val="clear" w:color="auto" w:fill="E1DFDD"/>
    </w:rPr>
  </w:style>
  <w:style w:type="character" w:styleId="HiperlinkVisitado">
    <w:name w:val="FollowedHyperlink"/>
    <w:basedOn w:val="Fontepargpadro"/>
    <w:uiPriority w:val="99"/>
    <w:semiHidden/>
    <w:unhideWhenUsed/>
    <w:rsid w:val="002600CB"/>
    <w:rPr>
      <w:color w:val="954F72" w:themeColor="followedHyperlink"/>
      <w:u w:val="single"/>
    </w:rPr>
  </w:style>
  <w:style w:type="character" w:styleId="Forte">
    <w:name w:val="Strong"/>
    <w:basedOn w:val="Fontepargpadro"/>
    <w:uiPriority w:val="22"/>
    <w:qFormat/>
    <w:rsid w:val="00BE3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b.mx/semarnat/acciones-y-programas/registro-nacional-de-emisiones-rene" TargetMode="External"/><Relationship Id="rId4" Type="http://schemas.openxmlformats.org/officeDocument/2006/relationships/hyperlink" Target="https://www.inegi.org.mx/contenidos/productos/prod_serv/contenidos/espanol/bvinegi/productos/nueva_estruc/anuarios_2017/70282509497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501</Words>
  <Characters>2757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AURELIO AMADO BERNAL CAMPOS</dc:creator>
  <cp:keywords/>
  <dc:description/>
  <cp:lastModifiedBy>Carlos Rosano Peña</cp:lastModifiedBy>
  <cp:revision>3</cp:revision>
  <dcterms:created xsi:type="dcterms:W3CDTF">2022-05-16T17:55:00Z</dcterms:created>
  <dcterms:modified xsi:type="dcterms:W3CDTF">2022-05-16T18:16:00Z</dcterms:modified>
</cp:coreProperties>
</file>