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440"/>
              <w:left w:type="dxa" w:w="360"/>
              <w:bottom w:type="dxa" w:w="440"/>
              <w:right w:type="dxa" w:w="360"/>
            </w:tcMar>
          </w:tcPr>
          <w:p>
            <w:pPr>
              <w:spacing w:after="80"/>
              <w:jc w:val="center"/>
            </w:pPr>
            <w:r>
              <w:rPr>
                <w:rFonts w:ascii="Arial" w:cs="Arial" w:eastAsia="Arial" w:hAnsi="Arial"/>
                <w:b/>
                <w:bCs/>
                <w:caps/>
                <w:color w:val="A8C5E0"/>
                <w:sz w:val="22"/>
                <w:szCs w:val="22"/>
              </w:rPr>
              <w:t xml:space="preserve">RESEARCH FUNDING PROPOSAL</w:t>
            </w:r>
          </w:p>
          <w:p>
            <w:pPr>
              <w:spacing w:after="160"/>
              <w:jc w:val="center"/>
            </w:pPr>
            <w:r>
              <w:rPr>
                <w:rFonts w:ascii="Arial" w:cs="Arial" w:eastAsia="Arial" w:hAnsi="Arial"/>
                <w:b/>
                <w:bCs/>
                <w:color w:val="FFFFFF"/>
                <w:sz w:val="48"/>
                <w:szCs w:val="48"/>
              </w:rPr>
              <w:t xml:space="preserve">Heterogeneous Graph Neural Networks</w:t>
            </w:r>
          </w:p>
          <w:p>
            <w:pPr>
              <w:spacing w:after="60"/>
              <w:jc w:val="center"/>
            </w:pPr>
            <w:r>
              <w:rPr>
                <w:rFonts w:ascii="Arial" w:cs="Arial" w:eastAsia="Arial" w:hAnsi="Arial"/>
                <w:color w:val="A8C5E0"/>
                <w:sz w:val="28"/>
                <w:szCs w:val="28"/>
              </w:rPr>
              <w:t xml:space="preserve">as a Computational Framework for Quantum Field Theory:</w:t>
            </w:r>
          </w:p>
          <w:p>
            <w:pPr>
              <w:spacing w:after="320"/>
              <w:jc w:val="center"/>
            </w:pPr>
            <w:r>
              <w:rPr>
                <w:rFonts w:ascii="Arial" w:cs="Arial" w:eastAsia="Arial" w:hAnsi="Arial"/>
                <w:color w:val="A8C5E0"/>
                <w:sz w:val="28"/>
                <w:szCs w:val="28"/>
              </w:rPr>
              <w:t xml:space="preserve">From Euclidean Proof-of-Concept to Real-Time Dynamics</w:t>
            </w:r>
          </w:p>
          <w:p>
            <w:pPr>
              <w:pBdr>
                <w:bottom w:val="single" w:color="4A6FA5" w:sz="3" w:space="1"/>
              </w:pBdr>
              <w:spacing w:before="40" w:after="4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Arial" w:cs="Arial" w:eastAsia="Arial" w:hAnsi="Arial"/>
                      <w:color w:val="8AAED4"/>
                      <w:sz w:val="18"/>
                      <w:szCs w:val="18"/>
                    </w:rPr>
                    <w:t xml:space="preserve">Total Duration</w:t>
                  </w:r>
                </w:p>
                <w:p>
                  <w:pPr>
                    <w:jc w:val="center"/>
                  </w:pPr>
                  <w:r>
                    <w:rPr>
                      <w:rFonts w:ascii="Arial" w:cs="Arial" w:eastAsia="Arial" w:hAnsi="Arial"/>
                      <w:b/>
                      <w:bCs/>
                      <w:color w:val="FFFFFF"/>
                      <w:sz w:val="24"/>
                      <w:szCs w:val="24"/>
                    </w:rPr>
                    <w:t xml:space="preserve">~23 Months</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Arial" w:cs="Arial" w:eastAsia="Arial" w:hAnsi="Arial"/>
                      <w:color w:val="8AAED4"/>
                      <w:sz w:val="18"/>
                      <w:szCs w:val="18"/>
                    </w:rPr>
                    <w:t xml:space="preserve">Research Phases</w:t>
                  </w:r>
                </w:p>
                <w:p>
                  <w:pPr>
                    <w:jc w:val="center"/>
                  </w:pPr>
                  <w:r>
                    <w:rPr>
                      <w:rFonts w:ascii="Arial" w:cs="Arial" w:eastAsia="Arial" w:hAnsi="Arial"/>
                      <w:b/>
                      <w:bCs/>
                      <w:color w:val="FFFFFF"/>
                      <w:sz w:val="24"/>
                      <w:szCs w:val="24"/>
                    </w:rPr>
                    <w:t xml:space="preserve">Five Phases</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Arial" w:cs="Arial" w:eastAsia="Arial" w:hAnsi="Arial"/>
                      <w:color w:val="8AAED4"/>
                      <w:sz w:val="18"/>
                      <w:szCs w:val="18"/>
                    </w:rPr>
                    <w:t xml:space="preserve">Target Submission</w:t>
                  </w:r>
                </w:p>
                <w:p>
                  <w:pPr>
                    <w:jc w:val="center"/>
                  </w:pPr>
                  <w:r>
                    <w:rPr>
                      <w:rFonts w:ascii="Arial" w:cs="Arial" w:eastAsia="Arial" w:hAnsi="Arial"/>
                      <w:b/>
                      <w:bCs/>
                      <w:color w:val="FFFFFF"/>
                      <w:sz w:val="24"/>
                      <w:szCs w:val="24"/>
                    </w:rPr>
                    <w:t xml:space="preserve">NSF / DOE / DARPA</w:t>
                  </w:r>
                </w:p>
              </w:tc>
            </w:tr>
          </w:tbl>
          <w:p/>
        </w:tc>
      </w:tr>
    </w:tbl>
    <w:p>
      <w:pPr>
        <w:spacing w:before="200" w:after="0"/>
      </w:pPr>
    </w:p>
    <w:p>
      <w:pPr>
        <w:pStyle w:val="Heading1"/>
        <w:spacing w:before="320" w:after="120"/>
      </w:pPr>
      <w:r>
        <w:rPr>
          <w:rFonts w:ascii="Arial" w:cs="Arial" w:eastAsia="Arial" w:hAnsi="Arial"/>
          <w:b/>
          <w:bCs/>
          <w:color w:val="1B3A6B"/>
          <w:sz w:val="32"/>
          <w:szCs w:val="32"/>
        </w:rPr>
        <w:t xml:space="preserve">Abstract</w:t>
      </w:r>
    </w:p>
    <w:p>
      <w:pPr>
        <w:pBdr>
          <w:bottom w:val="single" w:color="2E6DA4" w:sz="8" w:space="1"/>
        </w:pBdr>
        <w:spacing w:before="80" w:after="80"/>
      </w:pPr>
    </w:p>
    <w:p>
      <w:pPr>
        <w:spacing w:before="80" w:after="0"/>
      </w:pPr>
    </w:p>
    <w:p>
      <w:pPr>
        <w:spacing w:before="0" w:after="100" w:line="280"/>
        <w:jc w:val="both"/>
      </w:pPr>
      <w:r>
        <w:rPr>
          <w:rFonts w:ascii="Arial" w:cs="Arial" w:eastAsia="Arial" w:hAnsi="Arial"/>
          <w:color w:val="1A1A2E"/>
          <w:sz w:val="22"/>
          <w:szCs w:val="22"/>
        </w:rPr>
        <w:t xml:space="preserve">We propose the development of a novel heterogeneous graph neural network (GNN) architecture for computational quantum field theory (QFT). Unlike prior work — which conflates spacetime geometry and field content into homogeneous lattice node representations — we introduce an explicit bipartite graph structure in which spacetime nodes and quantum field nodes are formally distinct node types connected by typed edges. This structural separation, absent in the existing lattice QFT machine learning literature, provides cleaner inductive biases for multi-field theories, naturally accommodates dynamic spacetime geometry, and enables a principled extension pathway to gravitational and semiclassical regimes.</w:t>
      </w:r>
    </w:p>
    <w:p>
      <w:pPr>
        <w:spacing w:before="60" w:after="0"/>
      </w:pPr>
    </w:p>
    <w:p>
      <w:pPr>
        <w:spacing w:before="0" w:after="100" w:line="280"/>
        <w:jc w:val="both"/>
      </w:pPr>
      <w:r>
        <w:rPr>
          <w:rFonts w:ascii="Arial" w:cs="Arial" w:eastAsia="Arial" w:hAnsi="Arial"/>
          <w:color w:val="1A1A2E"/>
          <w:sz w:val="22"/>
          <w:szCs w:val="22"/>
        </w:rPr>
        <w:t xml:space="preserve">The research proceeds in five phases spanning approximately 23 months. Phases I through III establish and validate the Euclidean framework, progressing from scalar phi-four theory in two dimensions through U(1) gauge theories with fermions to a full SU(3) Yang-Mills system comparable to lattice QCD. Phase IV develops the analytic continuation bridge to real-time Minkowski physics via learned spectral functions. Phase V attacks the sign problem directly through complex Langevin dynamics and tensor network hybridization. Each phase has known analytic benchmarks enabling rigorous validation.</w:t>
      </w:r>
    </w:p>
    <w:p>
      <w:pPr>
        <w:spacing w:before="60" w:after="0"/>
      </w:pPr>
    </w:p>
    <w:p>
      <w:pPr>
        <w:spacing w:before="0" w:after="100" w:line="280"/>
        <w:jc w:val="both"/>
      </w:pPr>
      <w:r>
        <w:rPr>
          <w:rFonts w:ascii="Arial" w:cs="Arial" w:eastAsia="Arial" w:hAnsi="Arial"/>
          <w:color w:val="1A1A2E"/>
          <w:sz w:val="22"/>
          <w:szCs w:val="22"/>
        </w:rPr>
        <w:t xml:space="preserve">The proposed framework has the potential to meaningfully accelerate lattice QFT computations, reduce autocorrelation times in Monte Carlo sampling, and open new avenues for multi-field and curved spacetime QFT simulations currently out of reach for existing methods.</w:t>
      </w:r>
    </w:p>
    <w:p>
      <w:pPr>
        <w:spacing w:before="200" w:after="0"/>
      </w:pPr>
    </w:p>
    <w:p>
      <w:pPr>
        <w:pStyle w:val="Heading1"/>
        <w:spacing w:before="320" w:after="120"/>
      </w:pPr>
      <w:r>
        <w:rPr>
          <w:rFonts w:ascii="Arial" w:cs="Arial" w:eastAsia="Arial" w:hAnsi="Arial"/>
          <w:b/>
          <w:bCs/>
          <w:color w:val="1B3A6B"/>
          <w:sz w:val="32"/>
          <w:szCs w:val="32"/>
        </w:rPr>
        <w:t xml:space="preserve">1.  Introduction and Motivation</w:t>
      </w:r>
    </w:p>
    <w:p>
      <w:pPr>
        <w:pBdr>
          <w:bottom w:val="single" w:color="2E6DA4" w:sz="8" w:space="1"/>
        </w:pBdr>
        <w:spacing w:before="80" w:after="80"/>
      </w:pPr>
    </w:p>
    <w:p>
      <w:pPr>
        <w:spacing w:before="80" w:after="0"/>
      </w:pPr>
    </w:p>
    <w:p>
      <w:pPr>
        <w:pStyle w:val="Heading2"/>
        <w:spacing w:before="240" w:after="100"/>
      </w:pPr>
      <w:r>
        <w:rPr>
          <w:rFonts w:ascii="Arial" w:cs="Arial" w:eastAsia="Arial" w:hAnsi="Arial"/>
          <w:b/>
          <w:bCs/>
          <w:color w:val="2E6DA4"/>
          <w:sz w:val="26"/>
          <w:szCs w:val="26"/>
        </w:rPr>
        <w:t xml:space="preserve">1.1  The Computational Challenge in Quantum Field Theory</w:t>
      </w:r>
    </w:p>
    <w:p>
      <w:pPr>
        <w:spacing w:before="0" w:after="100" w:line="280"/>
        <w:jc w:val="both"/>
      </w:pPr>
      <w:r>
        <w:rPr>
          <w:rFonts w:ascii="Arial" w:cs="Arial" w:eastAsia="Arial" w:hAnsi="Arial"/>
          <w:color w:val="1A1A2E"/>
          <w:sz w:val="22"/>
          <w:szCs w:val="22"/>
        </w:rPr>
        <w:t xml:space="preserve">Quantum Field Theory is the most precisely tested framework in the history of physics, yet its computational demands remain formidable. First-principles calculations of non-perturbative QFT phenomena — confinement, the hadron mass spectrum, real-time thermalization, finite-density QCD — require discretizing spacetime on a lattice and sampling the resulting high-dimensional path integral via Monte Carlo methods. This approach, lattice QFT, is the gold standard for ab initio computations, but it suffers from well-characterized and severe pathologies:</w:t>
      </w:r>
    </w:p>
    <w:p>
      <w:pPr>
        <w:spacing w:before="40" w:after="0"/>
      </w:pPr>
    </w:p>
    <w:p>
      <w:pPr>
        <w:pStyle w:val="ListParagraph"/>
        <w:numPr>
          <w:ilvl w:val="0"/>
          <w:numId w:val="2"/>
        </w:numPr>
        <w:spacing w:before="40" w:after="40" w:line="260"/>
      </w:pPr>
      <w:r>
        <w:rPr>
          <w:rFonts w:ascii="Arial" w:cs="Arial" w:eastAsia="Arial" w:hAnsi="Arial"/>
          <w:b/>
          <w:bCs/>
          <w:color w:val="1A1A2E"/>
          <w:sz w:val="22"/>
          <w:szCs w:val="22"/>
        </w:rPr>
        <w:t xml:space="preserve">Critical slowing down: </w:t>
      </w:r>
      <w:r>
        <w:rPr>
          <w:rFonts w:ascii="Arial" w:cs="Arial" w:eastAsia="Arial" w:hAnsi="Arial"/>
          <w:color w:val="1A1A2E"/>
          <w:sz w:val="22"/>
          <w:szCs w:val="22"/>
        </w:rPr>
        <w:t xml:space="preserve">Autocorrelation times diverge as the continuum limit is approached, making fine-lattice simulations exponentially expensive.</w:t>
      </w:r>
    </w:p>
    <w:p>
      <w:pPr>
        <w:pStyle w:val="ListParagraph"/>
        <w:numPr>
          <w:ilvl w:val="0"/>
          <w:numId w:val="2"/>
        </w:numPr>
        <w:spacing w:before="40" w:after="40" w:line="260"/>
      </w:pPr>
      <w:r>
        <w:rPr>
          <w:rFonts w:ascii="Arial" w:cs="Arial" w:eastAsia="Arial" w:hAnsi="Arial"/>
          <w:b/>
          <w:bCs/>
          <w:color w:val="1A1A2E"/>
          <w:sz w:val="22"/>
          <w:szCs w:val="22"/>
        </w:rPr>
        <w:t xml:space="preserve">Topological freezing: </w:t>
      </w:r>
      <w:r>
        <w:rPr>
          <w:rFonts w:ascii="Arial" w:cs="Arial" w:eastAsia="Arial" w:hAnsi="Arial"/>
          <w:color w:val="1A1A2E"/>
          <w:sz w:val="22"/>
          <w:szCs w:val="22"/>
        </w:rPr>
        <w:t xml:space="preserve">The Markov chain becomes trapped in topological sectors at small lattice spacings, biasing observables.</w:t>
      </w:r>
    </w:p>
    <w:p>
      <w:pPr>
        <w:pStyle w:val="ListParagraph"/>
        <w:numPr>
          <w:ilvl w:val="0"/>
          <w:numId w:val="2"/>
        </w:numPr>
        <w:spacing w:before="40" w:after="40" w:line="260"/>
      </w:pPr>
      <w:r>
        <w:rPr>
          <w:rFonts w:ascii="Arial" w:cs="Arial" w:eastAsia="Arial" w:hAnsi="Arial"/>
          <w:b/>
          <w:bCs/>
          <w:color w:val="1A1A2E"/>
          <w:sz w:val="22"/>
          <w:szCs w:val="22"/>
        </w:rPr>
        <w:t xml:space="preserve">The sign problem: </w:t>
      </w:r>
      <w:r>
        <w:rPr>
          <w:rFonts w:ascii="Arial" w:cs="Arial" w:eastAsia="Arial" w:hAnsi="Arial"/>
          <w:color w:val="1A1A2E"/>
          <w:sz w:val="22"/>
          <w:szCs w:val="22"/>
        </w:rPr>
        <w:t xml:space="preserve">Finite-density QCD and real-time dynamics produce complex-valued path integral weights, preventing naive Monte Carlo sampling.</w:t>
      </w:r>
    </w:p>
    <w:p>
      <w:pPr>
        <w:pStyle w:val="ListParagraph"/>
        <w:numPr>
          <w:ilvl w:val="0"/>
          <w:numId w:val="2"/>
        </w:numPr>
        <w:spacing w:before="40" w:after="40" w:line="260"/>
      </w:pPr>
      <w:r>
        <w:rPr>
          <w:rFonts w:ascii="Arial" w:cs="Arial" w:eastAsia="Arial" w:hAnsi="Arial"/>
          <w:b/>
          <w:bCs/>
          <w:color w:val="1A1A2E"/>
          <w:sz w:val="22"/>
          <w:szCs w:val="22"/>
        </w:rPr>
        <w:t xml:space="preserve">Scaling cost: </w:t>
      </w:r>
      <w:r>
        <w:rPr>
          <w:rFonts w:ascii="Arial" w:cs="Arial" w:eastAsia="Arial" w:hAnsi="Arial"/>
          <w:color w:val="1A1A2E"/>
          <w:sz w:val="22"/>
          <w:szCs w:val="22"/>
        </w:rPr>
        <w:t xml:space="preserve">State-of-the-art lattice QCD calculations consume millions of CPU-hours on national supercomputing facilities per ensemble.</w:t>
      </w:r>
    </w:p>
    <w:p>
      <w:pPr>
        <w:spacing w:before="60" w:after="0"/>
      </w:pPr>
    </w:p>
    <w:p>
      <w:pPr>
        <w:spacing w:before="0" w:after="100" w:line="280"/>
        <w:jc w:val="both"/>
      </w:pPr>
      <w:r>
        <w:rPr>
          <w:rFonts w:ascii="Arial" w:cs="Arial" w:eastAsia="Arial" w:hAnsi="Arial"/>
          <w:color w:val="1A1A2E"/>
          <w:sz w:val="22"/>
          <w:szCs w:val="22"/>
        </w:rPr>
        <w:t xml:space="preserve">Machine learning has recently emerged as a promising tool for addressing several of these challenges, particularly through flow-based generative models and equivariant neural network architectures. However, the current paradigm uniformly treats the lattice as a homogeneous graph where field values are embedded as features on spacetime site nodes. We argue this conflation is an architectural limitation with real consequences for expressiveness, multi-field extensions, and geometric flexibility.</w:t>
      </w:r>
    </w:p>
    <w:p>
      <w:pPr>
        <w:spacing w:before="60" w:after="0"/>
      </w:pPr>
    </w:p>
    <w:p>
      <w:pPr>
        <w:pStyle w:val="Heading2"/>
        <w:spacing w:before="240" w:after="100"/>
      </w:pPr>
      <w:r>
        <w:rPr>
          <w:rFonts w:ascii="Arial" w:cs="Arial" w:eastAsia="Arial" w:hAnsi="Arial"/>
          <w:b/>
          <w:bCs/>
          <w:color w:val="2E6DA4"/>
          <w:sz w:val="26"/>
          <w:szCs w:val="26"/>
        </w:rPr>
        <w:t xml:space="preserve">1.2  The Key Insight: Geometry and Matter as Distinct Node Types</w:t>
      </w:r>
    </w:p>
    <w:p>
      <w:pPr>
        <w:spacing w:before="0" w:after="100" w:line="280"/>
        <w:jc w:val="both"/>
      </w:pPr>
      <w:r>
        <w:rPr>
          <w:rFonts w:ascii="Arial" w:cs="Arial" w:eastAsia="Arial" w:hAnsi="Arial"/>
          <w:color w:val="1A1A2E"/>
          <w:sz w:val="22"/>
          <w:szCs w:val="22"/>
        </w:rPr>
        <w:t xml:space="preserve">In continuum QFT, spacetime and the quantum fields living on it are conceptually and mathematically distinct structures. The spacetime manifold M carries metric geometry; the quantum fields phi(x), psi(x), A_mu(x) are maps from M into representation spaces of the gauge and Lorentz groups. The interaction between geometry and matter is mediated by the covariant derivative and the metric — a structured, typed relationship.</w:t>
      </w:r>
    </w:p>
    <w:p>
      <w:pPr>
        <w:spacing w:before="60" w:after="0"/>
      </w:pPr>
    </w:p>
    <w:p>
      <w:pPr>
        <w:spacing w:before="0" w:after="100" w:line="280"/>
        <w:jc w:val="both"/>
      </w:pPr>
      <w:r>
        <w:rPr>
          <w:rFonts w:ascii="Arial" w:cs="Arial" w:eastAsia="Arial" w:hAnsi="Arial"/>
          <w:color w:val="1A1A2E"/>
          <w:sz w:val="22"/>
          <w:szCs w:val="22"/>
        </w:rPr>
        <w:t xml:space="preserve">Existing machine learning approaches to lattice QFT embed field values as node features on spacetime nodes, collapsing this distinction. We propose instead a formally heterogeneous bipartite graph:</w:t>
      </w:r>
    </w:p>
    <w:p>
      <w:pPr>
        <w:spacing w:before="4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10080"/>
      </w:tblGrid>
      <w:tr>
        <w:tc>
          <w:tcPr>
            <w:tcW w:type="dxa" w:w="10080"/>
            <w:tcBorders>
              <w:top w:val="none" w:color="FFFFFF" w:sz="0"/>
              <w:left w:val="none" w:color="FFFFFF" w:sz="0"/>
              <w:bottom w:val="none" w:color="FFFFFF" w:sz="0"/>
              <w:right w:val="none" w:color="FFFFFF" w:sz="0"/>
            </w:tcBorders>
            <w:shd w:fill="2E6DA4" w:val="clear"/>
            <w:tcMar>
              <w:top w:type="dxa" w:w="120"/>
              <w:left w:type="dxa" w:w="200"/>
              <w:bottom w:type="dxa" w:w="60"/>
              <w:right w:type="dxa" w:w="200"/>
            </w:tcMar>
          </w:tcPr>
          <w:p>
            <w:r>
              <w:rPr>
                <w:rFonts w:ascii="Arial" w:cs="Arial" w:eastAsia="Arial" w:hAnsi="Arial"/>
                <w:b/>
                <w:bCs/>
                <w:color w:val="FFFFFF"/>
                <w:sz w:val="22"/>
                <w:szCs w:val="22"/>
              </w:rPr>
              <w:t xml:space="preserve">Proposed Graph Structure</w:t>
            </w:r>
          </w:p>
        </w:tc>
      </w:tr>
      <w:tr>
        <w:tc>
          <w:tcPr>
            <w:tcW w:type="dxa" w:w="10080"/>
            <w:tcBorders>
              <w:top w:val="none" w:color="FFFFFF" w:sz="0"/>
              <w:left w:val="none" w:color="FFFFFF" w:sz="0"/>
              <w:bottom w:val="none" w:color="FFFFFF" w:sz="0"/>
              <w:right w:val="none" w:color="FFFFFF" w:sz="0"/>
            </w:tcBorders>
            <w:shd w:fill="D6E4F2" w:val="clear"/>
            <w:tcMar>
              <w:top w:type="dxa" w:w="60"/>
              <w:left w:type="dxa" w:w="200"/>
              <w:bottom w:type="dxa" w:w="60"/>
              <w:right w:type="dxa" w:w="200"/>
            </w:tcMar>
          </w:tcPr>
          <w:p>
            <w:pPr>
              <w:spacing w:line="260"/>
            </w:pPr>
            <w:r>
              <w:rPr>
                <w:rFonts w:ascii="Arial" w:cs="Arial" w:eastAsia="Arial" w:hAnsi="Arial"/>
                <w:color w:val="1A1A2E"/>
                <w:sz w:val="22"/>
                <w:szCs w:val="22"/>
              </w:rPr>
              <w:t xml:space="preserve">Spacetime nodes (x^mu):  features = [x^1, x^2, x^3, x^4, lattice spacing a, curvature tensor g_mu_nu (future)]</w:t>
            </w:r>
          </w:p>
        </w:tc>
      </w:tr>
      <w:tr>
        <w:tc>
          <w:tcPr>
            <w:tcW w:type="dxa" w:w="10080"/>
            <w:tcBorders>
              <w:top w:val="none" w:color="FFFFFF" w:sz="0"/>
              <w:left w:val="none" w:color="FFFFFF" w:sz="0"/>
              <w:bottom w:val="none" w:color="FFFFFF" w:sz="0"/>
              <w:right w:val="none" w:color="FFFFFF" w:sz="0"/>
            </w:tcBorders>
            <w:shd w:fill="D6E4F2" w:val="clear"/>
            <w:tcMar>
              <w:top w:type="dxa" w:w="60"/>
              <w:left w:type="dxa" w:w="200"/>
              <w:bottom w:type="dxa" w:w="60"/>
              <w:right w:type="dxa" w:w="200"/>
            </w:tcMar>
          </w:tcPr>
          <w:p>
            <w:pPr>
              <w:spacing w:line="260"/>
            </w:pPr>
            <w:r>
              <w:rPr>
                <w:rFonts w:ascii="Arial" w:cs="Arial" w:eastAsia="Arial" w:hAnsi="Arial"/>
                <w:color w:val="1A1A2E"/>
                <w:sz w:val="22"/>
                <w:szCs w:val="22"/>
              </w:rPr>
              <w:t xml:space="preserve">Field nodes phi(x), psi(x), A_mu(x):  features = [field value, spin/representation, quantum numbers, statistics]</w:t>
            </w:r>
          </w:p>
        </w:tc>
      </w:tr>
      <w:tr>
        <w:tc>
          <w:tcPr>
            <w:tcW w:type="dxa" w:w="10080"/>
            <w:tcBorders>
              <w:top w:val="none" w:color="FFFFFF" w:sz="0"/>
              <w:left w:val="none" w:color="FFFFFF" w:sz="0"/>
              <w:bottom w:val="none" w:color="FFFFFF" w:sz="0"/>
              <w:right w:val="none" w:color="FFFFFF" w:sz="0"/>
            </w:tcBorders>
            <w:shd w:fill="D6E4F2" w:val="clear"/>
            <w:tcMar>
              <w:top w:type="dxa" w:w="60"/>
              <w:left w:type="dxa" w:w="200"/>
              <w:bottom w:type="dxa" w:w="60"/>
              <w:right w:type="dxa" w:w="200"/>
            </w:tcMar>
          </w:tcPr>
          <w:p>
            <w:pPr>
              <w:spacing w:line="260"/>
            </w:pPr>
            <w:r>
              <w:rPr>
                <w:rFonts w:ascii="Arial" w:cs="Arial" w:eastAsia="Arial" w:hAnsi="Arial"/>
                <w:color w:val="1A1A2E"/>
                <w:sz w:val="22"/>
                <w:szCs w:val="22"/>
              </w:rPr>
              <w:t xml:space="preserve">Inhabits edges ST -&gt; Field:  type-specific, one per (site, field) pair; enables multi-field theories naturally</w:t>
            </w:r>
          </w:p>
        </w:tc>
      </w:tr>
      <w:tr>
        <w:tc>
          <w:tcPr>
            <w:tcW w:type="dxa" w:w="10080"/>
            <w:tcBorders>
              <w:top w:val="none" w:color="FFFFFF" w:sz="0"/>
              <w:left w:val="none" w:color="FFFFFF" w:sz="0"/>
              <w:bottom w:val="none" w:color="FFFFFF" w:sz="0"/>
              <w:right w:val="none" w:color="FFFFFF" w:sz="0"/>
            </w:tcBorders>
            <w:shd w:fill="D6E4F2" w:val="clear"/>
            <w:tcMar>
              <w:top w:type="dxa" w:w="60"/>
              <w:left w:type="dxa" w:w="200"/>
              <w:bottom w:type="dxa" w:w="60"/>
              <w:right w:type="dxa" w:w="200"/>
            </w:tcMar>
          </w:tcPr>
          <w:p>
            <w:pPr>
              <w:spacing w:line="260"/>
            </w:pPr>
            <w:r>
              <w:rPr>
                <w:rFonts w:ascii="Arial" w:cs="Arial" w:eastAsia="Arial" w:hAnsi="Arial"/>
                <w:color w:val="1A1A2E"/>
                <w:sz w:val="22"/>
                <w:szCs w:val="22"/>
              </w:rPr>
              <w:t xml:space="preserve">Adjacent edges ST -&gt; ST:  carry gauge link U_mu(x) in SU(N) as edge feature; encode parallel transport</w:t>
            </w:r>
          </w:p>
        </w:tc>
      </w:tr>
      <w:tr>
        <w:tc>
          <w:tcPr>
            <w:tcW w:type="dxa" w:w="10080"/>
            <w:tcBorders>
              <w:top w:val="none" w:color="FFFFFF" w:sz="0"/>
              <w:left w:val="none" w:color="FFFFFF" w:sz="0"/>
              <w:bottom w:val="none" w:color="FFFFFF" w:sz="0"/>
              <w:right w:val="none" w:color="FFFFFF" w:sz="0"/>
            </w:tcBorders>
            <w:shd w:fill="D6E4F2" w:val="clear"/>
            <w:tcMar>
              <w:top w:type="dxa" w:w="60"/>
              <w:left w:type="dxa" w:w="200"/>
              <w:bottom w:type="dxa" w:w="60"/>
              <w:right w:type="dxa" w:w="200"/>
            </w:tcMar>
          </w:tcPr>
          <w:p>
            <w:pPr>
              <w:spacing w:line="260"/>
            </w:pPr>
            <w:r>
              <w:rPr>
                <w:rFonts w:ascii="Arial" w:cs="Arial" w:eastAsia="Arial" w:hAnsi="Arial"/>
                <w:color w:val="1A1A2E"/>
                <w:sz w:val="22"/>
                <w:szCs w:val="22"/>
              </w:rPr>
              <w:t xml:space="preserve">Message passing:  Field-&gt;ST aggregation, ST-&gt;ST propagation (= kinetic term), ST-&gt;Field update (= EOM)</w:t>
            </w:r>
          </w:p>
        </w:tc>
      </w:tr>
    </w:tbl>
    <w:p>
      <w:pPr>
        <w:spacing w:before="80" w:after="0"/>
      </w:pPr>
    </w:p>
    <w:p>
      <w:pPr>
        <w:spacing w:before="0" w:after="100" w:line="280"/>
        <w:jc w:val="both"/>
      </w:pPr>
      <w:r>
        <w:rPr>
          <w:rFonts w:ascii="Arial" w:cs="Arial" w:eastAsia="Arial" w:hAnsi="Arial"/>
          <w:color w:val="1A1A2E"/>
          <w:sz w:val="22"/>
          <w:szCs w:val="22"/>
        </w:rPr>
        <w:t xml:space="preserve">This separation enables what homogeneous architectures cannot cleanly express: multiple fields of different types coexisting at the same site with type-appropriate feature encodings, learnable spacetime geometry for curved spacetime applications, and clean gauge-equivariant message passing where the group action lives precisely on the edge features where it physically belongs.</w:t>
      </w:r>
    </w:p>
    <w:p>
      <w:pPr>
        <w:spacing w:before="200" w:after="0"/>
      </w:pPr>
    </w:p>
    <w:p>
      <w:r>
        <w:br w:type="page"/>
      </w:r>
    </w:p>
    <w:p>
      <w:pPr>
        <w:pStyle w:val="Heading1"/>
        <w:spacing w:before="320" w:after="120"/>
      </w:pPr>
      <w:r>
        <w:rPr>
          <w:rFonts w:ascii="Arial" w:cs="Arial" w:eastAsia="Arial" w:hAnsi="Arial"/>
          <w:b/>
          <w:bCs/>
          <w:color w:val="1B3A6B"/>
          <w:sz w:val="32"/>
          <w:szCs w:val="32"/>
        </w:rPr>
        <w:t xml:space="preserve">2.  Related Work and Position in the Literature</w:t>
      </w:r>
    </w:p>
    <w:p>
      <w:pPr>
        <w:pBdr>
          <w:bottom w:val="single" w:color="2E6DA4" w:sz="8" w:space="1"/>
        </w:pBdr>
        <w:spacing w:before="80" w:after="80"/>
      </w:pPr>
    </w:p>
    <w:p>
      <w:pPr>
        <w:spacing w:before="80" w:after="0"/>
      </w:pPr>
    </w:p>
    <w:p>
      <w:pPr>
        <w:pStyle w:val="Heading2"/>
        <w:spacing w:before="240" w:after="100"/>
      </w:pPr>
      <w:r>
        <w:rPr>
          <w:rFonts w:ascii="Arial" w:cs="Arial" w:eastAsia="Arial" w:hAnsi="Arial"/>
          <w:b/>
          <w:bCs/>
          <w:color w:val="2E6DA4"/>
          <w:sz w:val="26"/>
          <w:szCs w:val="26"/>
        </w:rPr>
        <w:t xml:space="preserve">2.1  Machine Learning for Lattice Field Theory</w:t>
      </w:r>
    </w:p>
    <w:p>
      <w:pPr>
        <w:spacing w:before="0" w:after="100" w:line="280"/>
        <w:jc w:val="both"/>
      </w:pPr>
      <w:r>
        <w:rPr>
          <w:rFonts w:ascii="Arial" w:cs="Arial" w:eastAsia="Arial" w:hAnsi="Arial"/>
          <w:color w:val="1A1A2E"/>
          <w:sz w:val="22"/>
          <w:szCs w:val="22"/>
        </w:rPr>
        <w:t xml:space="preserve">The application of generative machine learning to lattice QFT was pioneered by Albergo, Kanwar, and Shanahan (2019-2021), who introduced normalizing flow-based samplers for scalar field theories and demonstrated that gauge-equivariant flows could dramatically reduce autocorrelation times. The key architectural insight — that flows must respect the local gauge symmetry SU(N) to be computationally useful — has driven subsequent work.</w:t>
      </w:r>
    </w:p>
    <w:p>
      <w:pPr>
        <w:spacing w:before="60" w:after="0"/>
      </w:pPr>
    </w:p>
    <w:p>
      <w:pPr>
        <w:spacing w:before="0" w:after="100" w:line="280"/>
        <w:jc w:val="both"/>
      </w:pPr>
      <w:r>
        <w:rPr>
          <w:rFonts w:ascii="Arial" w:cs="Arial" w:eastAsia="Arial" w:hAnsi="Arial"/>
          <w:color w:val="1A1A2E"/>
          <w:sz w:val="22"/>
          <w:szCs w:val="22"/>
        </w:rPr>
        <w:t xml:space="preserve">Boyda et al. (2021) extended this to SU(N) gauge theories with exact gauge invariance by construction, demonstrating sampling in SU(2) and SU(3) in two dimensions. Favoni, Ipp, Muller and Schuh (PRL 2022) introduced Lattice Gauge Equivariant Convolutional Neural Networks (L-GCNs), the most architecturally relevant prior work to our proposal. Lehner and Wettig (PRD 2023) applied gauge-equivariant networks as multigrid preconditioners for the Dirac equation, achieving up to 40x reduction in iteration counts. Community-wide reviews (Boyda et al., Snowmass 2022) confirm this as an active and well-funded research direction.</w:t>
      </w:r>
    </w:p>
    <w:p>
      <w:pPr>
        <w:spacing w:before="60" w:after="0"/>
      </w:pPr>
    </w:p>
    <w:p>
      <w:pPr>
        <w:spacing w:before="0" w:after="100" w:line="280"/>
        <w:jc w:val="both"/>
      </w:pPr>
      <w:r>
        <w:rPr>
          <w:rFonts w:ascii="Arial" w:cs="Arial" w:eastAsia="Arial" w:hAnsi="Arial"/>
          <w:color w:val="1A1A2E"/>
          <w:sz w:val="22"/>
          <w:szCs w:val="22"/>
        </w:rPr>
        <w:t xml:space="preserve">A closely related line of work runs in the opposite direction: Bachtis, Aarts and Lucini (PRD 2021) derive machine learning algorithms from discretized Euclidean field theories, demonstrating that the phi^4 scalar theory satisfies the Hammersley-Clifford theorem and can be recast as a Markov random field. Their representation uses a bipartite graph with visible field nodes {phi_1, ..., phi_n} and latent hidden units {h_1, ..., h_m}, structurally equivalent to a Restricted Boltzmann Machine. This is the closest published work to our proposed architecture, and is discussed in detail in Section 2.2.</w:t>
      </w:r>
    </w:p>
    <w:p>
      <w:pPr>
        <w:spacing w:before="60" w:after="0"/>
      </w:pPr>
    </w:p>
    <w:p>
      <w:pPr>
        <w:pStyle w:val="Heading2"/>
        <w:spacing w:before="240" w:after="100"/>
      </w:pPr>
      <w:r>
        <w:rPr>
          <w:rFonts w:ascii="Arial" w:cs="Arial" w:eastAsia="Arial" w:hAnsi="Arial"/>
          <w:b/>
          <w:bCs/>
          <w:color w:val="2E6DA4"/>
          <w:sz w:val="26"/>
          <w:szCs w:val="26"/>
        </w:rPr>
        <w:t xml:space="preserve">2.2  The Novelty Gap</w:t>
      </w:r>
    </w:p>
    <w:p>
      <w:pPr>
        <w:spacing w:before="0" w:after="100" w:line="280"/>
        <w:jc w:val="both"/>
      </w:pPr>
      <w:r>
        <w:rPr>
          <w:rFonts w:ascii="Arial" w:cs="Arial" w:eastAsia="Arial" w:hAnsi="Arial"/>
          <w:color w:val="1A1A2E"/>
          <w:sz w:val="22"/>
          <w:szCs w:val="22"/>
        </w:rPr>
        <w:t xml:space="preserve">A thorough review of the published and preprint literature reveals one important prior work — Bachtis et al. (2021) — that uses bipartite graph structure in the QFT-ML intersection, and a universal architectural choice in all remaining work that our proposal directly challenges.</w:t>
      </w:r>
    </w:p>
    <w:p>
      <w:pPr>
        <w:spacing w:before="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10080"/>
      </w:tblGrid>
      <w:tr>
        <w:tc>
          <w:tcPr>
            <w:tcW w:type="dxa" w:w="10080"/>
            <w:tcBorders>
              <w:top w:val="none" w:color="FFFFFF" w:sz="0"/>
              <w:left w:val="none" w:color="FFFFFF" w:sz="0"/>
              <w:bottom w:val="none" w:color="FFFFFF" w:sz="0"/>
              <w:right w:val="none" w:color="FFFFFF" w:sz="0"/>
            </w:tcBorders>
            <w:shd w:fill="2D7A2D" w:val="clear"/>
            <w:tcMar>
              <w:top w:type="dxa" w:w="120"/>
              <w:left w:type="dxa" w:w="200"/>
              <w:bottom w:type="dxa" w:w="60"/>
              <w:right w:type="dxa" w:w="200"/>
            </w:tcMar>
          </w:tcPr>
          <w:p>
            <w:r>
              <w:rPr>
                <w:rFonts w:ascii="Arial" w:cs="Arial" w:eastAsia="Arial" w:hAnsi="Arial"/>
                <w:b/>
                <w:bCs/>
                <w:color w:val="FFFFFF"/>
                <w:sz w:val="22"/>
                <w:szCs w:val="22"/>
              </w:rPr>
              <w:t xml:space="preserve">Distinguishing Our Bipartition from Bachtis et al. (2021)</w:t>
            </w:r>
          </w:p>
        </w:tc>
      </w:tr>
      <w:tr>
        <w:tc>
          <w:tcPr>
            <w:tcW w:type="dxa" w:w="10080"/>
            <w:tcBorders>
              <w:top w:val="none" w:color="FFFFFF" w:sz="0"/>
              <w:left w:val="none" w:color="FFFFFF" w:sz="0"/>
              <w:bottom w:val="none" w:color="FFFFFF" w:sz="0"/>
              <w:right w:val="none" w:color="FFFFFF" w:sz="0"/>
            </w:tcBorders>
            <w:shd w:fill="D6E8D6" w:val="clear"/>
            <w:tcMar>
              <w:top w:type="dxa" w:w="60"/>
              <w:left w:type="dxa" w:w="200"/>
              <w:bottom w:type="dxa" w:w="60"/>
              <w:right w:type="dxa" w:w="200"/>
            </w:tcMar>
          </w:tcPr>
          <w:p>
            <w:pPr>
              <w:spacing w:line="260"/>
            </w:pPr>
            <w:r>
              <w:rPr>
                <w:rFonts w:ascii="Arial" w:cs="Arial" w:eastAsia="Arial" w:hAnsi="Arial"/>
                <w:color w:val="1A1A2E"/>
                <w:sz w:val="22"/>
                <w:szCs w:val="22"/>
              </w:rPr>
              <w:t xml:space="preserve">BACHTIS BIPARTITION:   visible nodes = field values {phi_i}   |   hidden nodes = latent units {h_j}</w:t>
            </w:r>
          </w:p>
        </w:tc>
      </w:tr>
      <w:tr>
        <w:tc>
          <w:tcPr>
            <w:tcW w:type="dxa" w:w="10080"/>
            <w:tcBorders>
              <w:top w:val="none" w:color="FFFFFF" w:sz="0"/>
              <w:left w:val="none" w:color="FFFFFF" w:sz="0"/>
              <w:bottom w:val="none" w:color="FFFFFF" w:sz="0"/>
              <w:right w:val="none" w:color="FFFFFF" w:sz="0"/>
            </w:tcBorders>
            <w:shd w:fill="D6E8D6" w:val="clear"/>
            <w:tcMar>
              <w:top w:type="dxa" w:w="60"/>
              <w:left w:type="dxa" w:w="200"/>
              <w:bottom w:type="dxa" w:w="60"/>
              <w:right w:type="dxa" w:w="200"/>
            </w:tcMar>
          </w:tcPr>
          <w:p>
            <w:pPr>
              <w:spacing w:line="260"/>
            </w:pPr>
            <w:r>
              <w:rPr>
                <w:rFonts w:ascii="Arial" w:cs="Arial" w:eastAsia="Arial" w:hAnsi="Arial"/>
                <w:color w:val="1A1A2E"/>
                <w:sz w:val="22"/>
                <w:szCs w:val="22"/>
              </w:rPr>
              <w:t xml:space="preserve">   Direction: QFT -&gt; ML  (use QFT structure to derive a Markov random field / learning algorithm)</w:t>
            </w:r>
          </w:p>
        </w:tc>
      </w:tr>
      <w:tr>
        <w:tc>
          <w:tcPr>
            <w:tcW w:type="dxa" w:w="10080"/>
            <w:tcBorders>
              <w:top w:val="none" w:color="FFFFFF" w:sz="0"/>
              <w:left w:val="none" w:color="FFFFFF" w:sz="0"/>
              <w:bottom w:val="none" w:color="FFFFFF" w:sz="0"/>
              <w:right w:val="none" w:color="FFFFFF" w:sz="0"/>
            </w:tcBorders>
            <w:shd w:fill="D6E8D6" w:val="clear"/>
            <w:tcMar>
              <w:top w:type="dxa" w:w="60"/>
              <w:left w:type="dxa" w:w="200"/>
              <w:bottom w:type="dxa" w:w="60"/>
              <w:right w:type="dxa" w:w="200"/>
            </w:tcMar>
          </w:tcPr>
          <w:p>
            <w:pPr>
              <w:spacing w:line="260"/>
            </w:pPr>
            <w:r>
              <w:rPr>
                <w:rFonts w:ascii="Arial" w:cs="Arial" w:eastAsia="Arial" w:hAnsi="Arial"/>
                <w:color w:val="1A1A2E"/>
                <w:sz w:val="22"/>
                <w:szCs w:val="22"/>
              </w:rPr>
              <w:t xml:space="preserve">   Purpose: inference and generative modeling of field distributions via RBM-style architecture</w:t>
            </w:r>
          </w:p>
        </w:tc>
      </w:tr>
      <w:tr>
        <w:tc>
          <w:tcPr>
            <w:tcW w:type="dxa" w:w="10080"/>
            <w:tcBorders>
              <w:top w:val="none" w:color="FFFFFF" w:sz="0"/>
              <w:left w:val="none" w:color="FFFFFF" w:sz="0"/>
              <w:bottom w:val="none" w:color="FFFFFF" w:sz="0"/>
              <w:right w:val="none" w:color="FFFFFF" w:sz="0"/>
            </w:tcBorders>
            <w:shd w:fill="D6E8D6" w:val="clear"/>
            <w:tcMar>
              <w:top w:type="dxa" w:w="60"/>
              <w:left w:type="dxa" w:w="200"/>
              <w:bottom w:type="dxa" w:w="60"/>
              <w:right w:type="dxa" w:w="200"/>
            </w:tcMar>
          </w:tcPr>
          <w:p>
            <w:pPr>
              <w:spacing w:line="260"/>
            </w:pPr>
            <w:r>
              <w:rPr>
                <w:rFonts w:ascii="Arial" w:cs="Arial" w:eastAsia="Arial" w:hAnsi="Arial"/>
                <w:color w:val="1A1A2E"/>
                <w:sz w:val="22"/>
                <w:szCs w:val="22"/>
              </w:rPr>
              <w:t xml:space="preserve"/>
            </w:r>
          </w:p>
        </w:tc>
      </w:tr>
      <w:tr>
        <w:tc>
          <w:tcPr>
            <w:tcW w:type="dxa" w:w="10080"/>
            <w:tcBorders>
              <w:top w:val="none" w:color="FFFFFF" w:sz="0"/>
              <w:left w:val="none" w:color="FFFFFF" w:sz="0"/>
              <w:bottom w:val="none" w:color="FFFFFF" w:sz="0"/>
              <w:right w:val="none" w:color="FFFFFF" w:sz="0"/>
            </w:tcBorders>
            <w:shd w:fill="D6E8D6" w:val="clear"/>
            <w:tcMar>
              <w:top w:type="dxa" w:w="60"/>
              <w:left w:type="dxa" w:w="200"/>
              <w:bottom w:type="dxa" w:w="60"/>
              <w:right w:type="dxa" w:w="200"/>
            </w:tcMar>
          </w:tcPr>
          <w:p>
            <w:pPr>
              <w:spacing w:line="260"/>
            </w:pPr>
            <w:r>
              <w:rPr>
                <w:rFonts w:ascii="Arial" w:cs="Arial" w:eastAsia="Arial" w:hAnsi="Arial"/>
                <w:color w:val="1A1A2E"/>
                <w:sz w:val="22"/>
                <w:szCs w:val="22"/>
              </w:rPr>
              <w:t xml:space="preserve">OUR BIPARTITION:   spacetime nodes = geometry {x^mu}   |   field nodes = matter {phi(x), psi(x), A_mu(x)}</w:t>
            </w:r>
          </w:p>
        </w:tc>
      </w:tr>
      <w:tr>
        <w:tc>
          <w:tcPr>
            <w:tcW w:type="dxa" w:w="10080"/>
            <w:tcBorders>
              <w:top w:val="none" w:color="FFFFFF" w:sz="0"/>
              <w:left w:val="none" w:color="FFFFFF" w:sz="0"/>
              <w:bottom w:val="none" w:color="FFFFFF" w:sz="0"/>
              <w:right w:val="none" w:color="FFFFFF" w:sz="0"/>
            </w:tcBorders>
            <w:shd w:fill="D6E8D6" w:val="clear"/>
            <w:tcMar>
              <w:top w:type="dxa" w:w="60"/>
              <w:left w:type="dxa" w:w="200"/>
              <w:bottom w:type="dxa" w:w="60"/>
              <w:right w:type="dxa" w:w="200"/>
            </w:tcMar>
          </w:tcPr>
          <w:p>
            <w:pPr>
              <w:spacing w:line="260"/>
            </w:pPr>
            <w:r>
              <w:rPr>
                <w:rFonts w:ascii="Arial" w:cs="Arial" w:eastAsia="Arial" w:hAnsi="Arial"/>
                <w:color w:val="1A1A2E"/>
                <w:sz w:val="22"/>
                <w:szCs w:val="22"/>
              </w:rPr>
              <w:t xml:space="preserve">   Direction: ML -&gt; QFT  (use heterogeneous GNN to model field dynamics on a discretized manifold)</w:t>
            </w:r>
          </w:p>
        </w:tc>
      </w:tr>
      <w:tr>
        <w:tc>
          <w:tcPr>
            <w:tcW w:type="dxa" w:w="10080"/>
            <w:tcBorders>
              <w:top w:val="none" w:color="FFFFFF" w:sz="0"/>
              <w:left w:val="none" w:color="FFFFFF" w:sz="0"/>
              <w:bottom w:val="none" w:color="FFFFFF" w:sz="0"/>
              <w:right w:val="none" w:color="FFFFFF" w:sz="0"/>
            </w:tcBorders>
            <w:shd w:fill="D6E8D6" w:val="clear"/>
            <w:tcMar>
              <w:top w:type="dxa" w:w="60"/>
              <w:left w:type="dxa" w:w="200"/>
              <w:bottom w:type="dxa" w:w="60"/>
              <w:right w:type="dxa" w:w="200"/>
            </w:tcMar>
          </w:tcPr>
          <w:p>
            <w:pPr>
              <w:spacing w:line="260"/>
            </w:pPr>
            <w:r>
              <w:rPr>
                <w:rFonts w:ascii="Arial" w:cs="Arial" w:eastAsia="Arial" w:hAnsi="Arial"/>
                <w:color w:val="1A1A2E"/>
                <w:sz w:val="22"/>
                <w:szCs w:val="22"/>
              </w:rPr>
              <w:t xml:space="preserve">   Purpose: encode the geometry-matter separation that is fundamental to continuum QFT structure</w:t>
            </w:r>
          </w:p>
        </w:tc>
      </w:tr>
      <w:tr>
        <w:tc>
          <w:tcPr>
            <w:tcW w:type="dxa" w:w="10080"/>
            <w:tcBorders>
              <w:top w:val="none" w:color="FFFFFF" w:sz="0"/>
              <w:left w:val="none" w:color="FFFFFF" w:sz="0"/>
              <w:bottom w:val="none" w:color="FFFFFF" w:sz="0"/>
              <w:right w:val="none" w:color="FFFFFF" w:sz="0"/>
            </w:tcBorders>
            <w:shd w:fill="D6E8D6" w:val="clear"/>
            <w:tcMar>
              <w:top w:type="dxa" w:w="60"/>
              <w:left w:type="dxa" w:w="200"/>
              <w:bottom w:type="dxa" w:w="60"/>
              <w:right w:type="dxa" w:w="200"/>
            </w:tcMar>
          </w:tcPr>
          <w:p>
            <w:pPr>
              <w:spacing w:line="260"/>
            </w:pPr>
            <w:r>
              <w:rPr>
                <w:rFonts w:ascii="Arial" w:cs="Arial" w:eastAsia="Arial" w:hAnsi="Arial"/>
                <w:color w:val="1A1A2E"/>
                <w:sz w:val="22"/>
                <w:szCs w:val="22"/>
              </w:rPr>
              <w:t xml:space="preserve"/>
            </w:r>
          </w:p>
        </w:tc>
      </w:tr>
      <w:tr>
        <w:tc>
          <w:tcPr>
            <w:tcW w:type="dxa" w:w="10080"/>
            <w:tcBorders>
              <w:top w:val="none" w:color="FFFFFF" w:sz="0"/>
              <w:left w:val="none" w:color="FFFFFF" w:sz="0"/>
              <w:bottom w:val="none" w:color="FFFFFF" w:sz="0"/>
              <w:right w:val="none" w:color="FFFFFF" w:sz="0"/>
            </w:tcBorders>
            <w:shd w:fill="D6E8D6" w:val="clear"/>
            <w:tcMar>
              <w:top w:type="dxa" w:w="60"/>
              <w:left w:type="dxa" w:w="200"/>
              <w:bottom w:type="dxa" w:w="60"/>
              <w:right w:type="dxa" w:w="200"/>
            </w:tcMar>
          </w:tcPr>
          <w:p>
            <w:pPr>
              <w:spacing w:line="260"/>
            </w:pPr>
            <w:r>
              <w:rPr>
                <w:rFonts w:ascii="Arial" w:cs="Arial" w:eastAsia="Arial" w:hAnsi="Arial"/>
                <w:color w:val="1A1A2E"/>
                <w:sz w:val="22"/>
                <w:szCs w:val="22"/>
              </w:rPr>
              <w:t xml:space="preserve">The two bipartitions are architecturally and physically distinct. Bachtis' visible/hidden split is an inference convenience; our geometry/matter split is a structural encoding of the physics. Neither subsumes the other.</w:t>
            </w:r>
          </w:p>
        </w:tc>
      </w:tr>
    </w:tbl>
    <w:p>
      <w:pPr>
        <w:spacing w:before="80" w:after="0"/>
      </w:pPr>
    </w:p>
    <w:p>
      <w:pPr>
        <w:spacing w:before="0" w:after="100" w:line="280"/>
        <w:jc w:val="both"/>
      </w:pPr>
      <w:r>
        <w:rPr>
          <w:rFonts w:ascii="Arial" w:cs="Arial" w:eastAsia="Arial" w:hAnsi="Arial"/>
          <w:color w:val="1A1A2E"/>
          <w:sz w:val="22"/>
          <w:szCs w:val="22"/>
        </w:rPr>
        <w:t xml:space="preserve">Beyond Bachtis et al., a specific architectural choice has been universal across all remaining ML-lattice QFT work: homogeneous graphs where spacetime sites are the only node type and field values are embedded as site features. Gauge links are treated as edge features between site nodes, not as geometric objects connecting separate spacetime and field layers. No published work has investigated the typed, heterogeneous bipartite structure where spacetime geometry and field content are formally distinct node classes.</w:t>
      </w:r>
    </w:p>
    <w:p>
      <w:pPr>
        <w:spacing w:before="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Reference</w:t>
            </w:r>
          </w:p>
        </w:tc>
        <w:tc>
          <w:tcPr>
            <w:tcW w:type="dxa" w:w="50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Contribution and Relationship to Proposed Work</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Bachtis, Aarts &amp; Lucini (2021), PRD 103  ★</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CLOSEST PRIOR WORK: bipartite graph in QFT+ML — but visible/hidden split, not geometry/matter. Direction QFT-&gt;ML. Must cite.</w:t>
            </w:r>
          </w:p>
        </w:tc>
      </w:tr>
      <w:tr>
        <w:tc>
          <w:tcPr>
            <w:tcW w:type="dxa" w:w="5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Kanwar et al. (2020), PRL 125</w:t>
            </w:r>
          </w:p>
        </w:tc>
        <w:tc>
          <w:tcPr>
            <w:tcW w:type="dxa" w:w="5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Gauge-equivariant flows; founding paper; homogeneous lattice graph</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Boyda et al. (2021), PRD 103</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SU(N) gauge-equivariant sampling; homogeneous; 2D only</w:t>
            </w:r>
          </w:p>
        </w:tc>
      </w:tr>
      <w:tr>
        <w:tc>
          <w:tcPr>
            <w:tcW w:type="dxa" w:w="5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Favoni et al. (2022), PRL 128</w:t>
            </w:r>
          </w:p>
        </w:tc>
        <w:tc>
          <w:tcPr>
            <w:tcW w:type="dxa" w:w="5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L-GCN architecture; most architecturally relevant; homogeneous graph</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Lehner &amp; Wettig (2023), PRD 108</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Equivariant preconditioners; parallel transport layers; homogeneous</w:t>
            </w:r>
          </w:p>
        </w:tc>
      </w:tr>
      <w:tr>
        <w:tc>
          <w:tcPr>
            <w:tcW w:type="dxa" w:w="5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Urban &amp; Pawlowski (2020)</w:t>
            </w:r>
          </w:p>
        </w:tc>
        <w:tc>
          <w:tcPr>
            <w:tcW w:type="dxa" w:w="5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Neural spectral reconstruction; Euclidean to Minkowski bridge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Shi, Wang, Zhou (2022)</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Fundamental ill-posedness of spectral inversion; ANN regularization</w:t>
            </w:r>
          </w:p>
        </w:tc>
      </w:tr>
      <w:tr>
        <w:tc>
          <w:tcPr>
            <w:tcW w:type="dxa" w:w="5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This Proposal</w:t>
            </w:r>
          </w:p>
        </w:tc>
        <w:tc>
          <w:tcPr>
            <w:tcW w:type="dxa" w:w="5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Geometry/matter heterogeneous bipartition; typed spacetime/field nodes; physically motivated; NOVEL</w:t>
            </w:r>
          </w:p>
        </w:tc>
      </w:tr>
    </w:tbl>
    <w:p>
      <w:pPr>
        <w:spacing w:before="80" w:after="0"/>
      </w:pPr>
    </w:p>
    <w:p>
      <w:pPr>
        <w:spacing w:before="0" w:after="100" w:line="280"/>
        <w:jc w:val="both"/>
      </w:pPr>
      <w:r>
        <w:rPr>
          <w:rFonts w:ascii="Arial" w:cs="Arial" w:eastAsia="Arial" w:hAnsi="Arial"/>
          <w:color w:val="1A1A2E"/>
          <w:sz w:val="22"/>
          <w:szCs w:val="22"/>
        </w:rPr>
        <w:t xml:space="preserve">The contribution of this proposal is therefore not to replicate existing results, but to introduce a physically motivated bipartition — geometry vs. matter — that is absent from both the Bachtis framework and all homogeneous lattice GNN approaches. This richer inductive bias enables multi-field theories, dynamic geometry, and gravitational coupling that existing architectures do not naturally support.</w:t>
      </w:r>
    </w:p>
    <w:p>
      <w:pPr>
        <w:spacing w:before="200" w:after="0"/>
      </w:pPr>
    </w:p>
    <w:p>
      <w:r>
        <w:br w:type="page"/>
      </w:r>
    </w:p>
    <w:p>
      <w:pPr>
        <w:pStyle w:val="Heading1"/>
        <w:spacing w:before="320" w:after="120"/>
      </w:pPr>
      <w:r>
        <w:rPr>
          <w:rFonts w:ascii="Arial" w:cs="Arial" w:eastAsia="Arial" w:hAnsi="Arial"/>
          <w:b/>
          <w:bCs/>
          <w:color w:val="1B3A6B"/>
          <w:sz w:val="32"/>
          <w:szCs w:val="32"/>
        </w:rPr>
        <w:t xml:space="preserve">3.  Research Plan</w:t>
      </w:r>
    </w:p>
    <w:p>
      <w:pPr>
        <w:pBdr>
          <w:bottom w:val="single" w:color="2E6DA4" w:sz="8" w:space="1"/>
        </w:pBdr>
        <w:spacing w:before="80" w:after="80"/>
      </w:pPr>
    </w:p>
    <w:p>
      <w:pPr>
        <w:spacing w:before="80" w:after="0"/>
      </w:pPr>
    </w:p>
    <w:p>
      <w:pPr>
        <w:spacing w:before="0" w:after="100" w:line="280"/>
        <w:jc w:val="both"/>
      </w:pPr>
      <w:r>
        <w:rPr>
          <w:rFonts w:ascii="Arial" w:cs="Arial" w:eastAsia="Arial" w:hAnsi="Arial"/>
          <w:color w:val="1A1A2E"/>
          <w:sz w:val="22"/>
          <w:szCs w:val="22"/>
        </w:rPr>
        <w:t xml:space="preserve">The research is organized into five sequential phases. Each Euclidean phase (I-III) has known analytic or Monte Carlo benchmarks enabling rigorous validation before proceeding. Phases IV and V develop the Minkowski extension pathway.</w:t>
      </w:r>
    </w:p>
    <w:p>
      <w:pPr>
        <w:spacing w:before="12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200"/>
        <w:gridCol w:w="8880"/>
      </w:tblGrid>
      <w:tr>
        <w:tc>
          <w:tcPr>
            <w:tcW w:type="dxa" w:w="1200"/>
            <w:tcBorders>
              <w:top w:val="none" w:color="FFFFFF" w:sz="0"/>
              <w:left w:val="none" w:color="FFFFFF" w:sz="0"/>
              <w:bottom w:val="none" w:color="FFFFFF" w:sz="0"/>
              <w:right w:val="none" w:color="FFFFFF" w:sz="0"/>
            </w:tcBorders>
            <w:shd w:fill="2E6DA4" w:val="clear"/>
            <w:tcMar>
              <w:top w:type="dxa" w:w="100"/>
              <w:left w:type="dxa" w:w="140"/>
              <w:bottom w:type="dxa" w:w="100"/>
              <w:right w:type="dxa" w:w="140"/>
            </w:tcMar>
            <w:vAlign w:val="top"/>
          </w:tcPr>
          <w:p>
            <w:r>
              <w:rPr>
                <w:rFonts w:ascii="Arial" w:cs="Arial" w:eastAsia="Arial" w:hAnsi="Arial"/>
                <w:b/>
                <w:bCs/>
                <w:color w:val="FFFFFF"/>
                <w:sz w:val="20"/>
                <w:szCs w:val="20"/>
              </w:rPr>
              <w:t xml:space="preserve">Phase I</w:t>
            </w:r>
          </w:p>
          <w:p>
            <w:r>
              <w:rPr>
                <w:rFonts w:ascii="Arial" w:cs="Arial" w:eastAsia="Arial" w:hAnsi="Arial"/>
                <w:color w:val="E8F4FF"/>
                <w:sz w:val="18"/>
                <w:szCs w:val="18"/>
              </w:rPr>
              <w:t xml:space="preserve">~3 Months</w:t>
            </w:r>
          </w:p>
        </w:tc>
        <w:tc>
          <w:tcPr>
            <w:tcW w:type="dxa" w:w="8880"/>
            <w:tcBorders>
              <w:top w:val="none" w:color="FFFFFF" w:sz="0"/>
              <w:left w:val="none" w:color="FFFFFF" w:sz="0"/>
              <w:bottom w:val="none" w:color="FFFFFF" w:sz="0"/>
              <w:right w:val="none" w:color="FFFFFF" w:sz="0"/>
            </w:tcBorders>
            <w:shd w:fill="F5F7FA" w:val="clear"/>
            <w:tcMar>
              <w:top w:type="dxa" w:w="100"/>
              <w:left w:type="dxa" w:w="160"/>
              <w:bottom w:type="dxa" w:w="100"/>
              <w:right w:type="dxa" w:w="140"/>
            </w:tcMar>
          </w:tcPr>
          <w:p>
            <w:pPr>
              <w:spacing w:after="40"/>
            </w:pPr>
            <w:r>
              <w:rPr>
                <w:rFonts w:ascii="Arial" w:cs="Arial" w:eastAsia="Arial" w:hAnsi="Arial"/>
                <w:b/>
                <w:bCs/>
                <w:color w:val="1A1A2E"/>
                <w:sz w:val="22"/>
                <w:szCs w:val="22"/>
              </w:rPr>
              <w:t xml:space="preserve">Scalar Field Theory on a Fixed Lattice</w:t>
            </w:r>
          </w:p>
          <w:p>
            <w:pPr>
              <w:spacing w:after="80"/>
            </w:pPr>
            <w:r>
              <w:rPr>
                <w:rFonts w:ascii="Arial" w:cs="Arial" w:eastAsia="Arial" w:hAnsi="Arial"/>
                <w:i/>
                <w:iCs/>
                <w:color w:val="556688"/>
                <w:sz w:val="21"/>
                <w:szCs w:val="21"/>
              </w:rPr>
              <w:t xml:space="preserve">Euclidean phi^4 in 2D — Ising Universality Class</w:t>
            </w:r>
          </w:p>
          <w:p>
            <w:pPr>
              <w:spacing w:after="20"/>
            </w:pPr>
            <w:r>
              <w:rPr>
                <w:rFonts w:ascii="Arial" w:cs="Arial" w:eastAsia="Arial" w:hAnsi="Arial"/>
                <w:color w:val="1A1A2E"/>
                <w:sz w:val="21"/>
                <w:szCs w:val="21"/>
              </w:rPr>
              <w:t xml:space="preserve">•  Prove heterogeneous graph architecture recovers known phi^4 critical exponents</w:t>
            </w:r>
          </w:p>
          <w:p>
            <w:pPr>
              <w:spacing w:after="20"/>
            </w:pPr>
            <w:r>
              <w:rPr>
                <w:rFonts w:ascii="Arial" w:cs="Arial" w:eastAsia="Arial" w:hAnsi="Arial"/>
                <w:color w:val="1A1A2E"/>
                <w:sz w:val="21"/>
                <w:szCs w:val="21"/>
              </w:rPr>
              <w:t xml:space="preserve">•  Benchmark against Metropolis-Hastings Monte Carlo on identical lattice</w:t>
            </w:r>
          </w:p>
          <w:p>
            <w:pPr>
              <w:spacing w:after="20"/>
            </w:pPr>
            <w:r>
              <w:rPr>
                <w:rFonts w:ascii="Arial" w:cs="Arial" w:eastAsia="Arial" w:hAnsi="Arial"/>
                <w:color w:val="1A1A2E"/>
                <w:sz w:val="21"/>
                <w:szCs w:val="21"/>
              </w:rPr>
              <w:t xml:space="preserve">•  Key milestone: critical exponent nu ~ 1 within 5% of Ising class analytic value</w:t>
            </w:r>
          </w:p>
          <w:p>
            <w:pPr>
              <w:spacing w:after="20"/>
            </w:pPr>
            <w:r>
              <w:rPr>
                <w:rFonts w:ascii="Arial" w:cs="Arial" w:eastAsia="Arial" w:hAnsi="Arial"/>
                <w:color w:val="1A1A2E"/>
                <w:sz w:val="21"/>
                <w:szCs w:val="21"/>
              </w:rPr>
              <w:t xml:space="preserve">•  Deliverable: open-source PyG/DGL data pipeline and GNN baseline</w:t>
            </w:r>
          </w:p>
        </w:tc>
      </w:tr>
    </w:tbl>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200"/>
        <w:gridCol w:w="8880"/>
      </w:tblGrid>
      <w:tr>
        <w:tc>
          <w:tcPr>
            <w:tcW w:type="dxa" w:w="1200"/>
            <w:tcBorders>
              <w:top w:val="none" w:color="FFFFFF" w:sz="0"/>
              <w:left w:val="none" w:color="FFFFFF" w:sz="0"/>
              <w:bottom w:val="none" w:color="FFFFFF" w:sz="0"/>
              <w:right w:val="none" w:color="FFFFFF" w:sz="0"/>
            </w:tcBorders>
            <w:shd w:fill="7B5EA7" w:val="clear"/>
            <w:tcMar>
              <w:top w:type="dxa" w:w="100"/>
              <w:left w:type="dxa" w:w="140"/>
              <w:bottom w:type="dxa" w:w="100"/>
              <w:right w:type="dxa" w:w="140"/>
            </w:tcMar>
            <w:vAlign w:val="top"/>
          </w:tcPr>
          <w:p>
            <w:r>
              <w:rPr>
                <w:rFonts w:ascii="Arial" w:cs="Arial" w:eastAsia="Arial" w:hAnsi="Arial"/>
                <w:b/>
                <w:bCs/>
                <w:color w:val="FFFFFF"/>
                <w:sz w:val="20"/>
                <w:szCs w:val="20"/>
              </w:rPr>
              <w:t xml:space="preserve">Phase II</w:t>
            </w:r>
          </w:p>
          <w:p>
            <w:r>
              <w:rPr>
                <w:rFonts w:ascii="Arial" w:cs="Arial" w:eastAsia="Arial" w:hAnsi="Arial"/>
                <w:color w:val="E8F4FF"/>
                <w:sz w:val="18"/>
                <w:szCs w:val="18"/>
              </w:rPr>
              <w:t xml:space="preserve">~4 Months</w:t>
            </w:r>
          </w:p>
        </w:tc>
        <w:tc>
          <w:tcPr>
            <w:tcW w:type="dxa" w:w="8880"/>
            <w:tcBorders>
              <w:top w:val="none" w:color="FFFFFF" w:sz="0"/>
              <w:left w:val="none" w:color="FFFFFF" w:sz="0"/>
              <w:bottom w:val="none" w:color="FFFFFF" w:sz="0"/>
              <w:right w:val="none" w:color="FFFFFF" w:sz="0"/>
            </w:tcBorders>
            <w:shd w:fill="F5F7FA" w:val="clear"/>
            <w:tcMar>
              <w:top w:type="dxa" w:w="100"/>
              <w:left w:type="dxa" w:w="160"/>
              <w:bottom w:type="dxa" w:w="100"/>
              <w:right w:type="dxa" w:w="140"/>
            </w:tcMar>
          </w:tcPr>
          <w:p>
            <w:pPr>
              <w:spacing w:after="40"/>
            </w:pPr>
            <w:r>
              <w:rPr>
                <w:rFonts w:ascii="Arial" w:cs="Arial" w:eastAsia="Arial" w:hAnsi="Arial"/>
                <w:b/>
                <w:bCs/>
                <w:color w:val="1A1A2E"/>
                <w:sz w:val="22"/>
                <w:szCs w:val="22"/>
              </w:rPr>
              <w:t xml:space="preserve">U(1) Gauge Theory and Fermionic Matter</w:t>
            </w:r>
          </w:p>
          <w:p>
            <w:pPr>
              <w:spacing w:after="80"/>
            </w:pPr>
            <w:r>
              <w:rPr>
                <w:rFonts w:ascii="Arial" w:cs="Arial" w:eastAsia="Arial" w:hAnsi="Arial"/>
                <w:i/>
                <w:iCs/>
                <w:color w:val="556688"/>
                <w:sz w:val="21"/>
                <w:szCs w:val="21"/>
              </w:rPr>
              <w:t xml:space="preserve">Euclidean Schwinger Model in 2D/3D</w:t>
            </w:r>
          </w:p>
          <w:p>
            <w:pPr>
              <w:spacing w:after="20"/>
            </w:pPr>
            <w:r>
              <w:rPr>
                <w:rFonts w:ascii="Arial" w:cs="Arial" w:eastAsia="Arial" w:hAnsi="Arial"/>
                <w:color w:val="1A1A2E"/>
                <w:sz w:val="21"/>
                <w:szCs w:val="21"/>
              </w:rPr>
              <w:t xml:space="preserve">•  Extend to gauge links on edges; implement gauge-equivariant message passing</w:t>
            </w:r>
          </w:p>
          <w:p>
            <w:pPr>
              <w:spacing w:after="20"/>
            </w:pPr>
            <w:r>
              <w:rPr>
                <w:rFonts w:ascii="Arial" w:cs="Arial" w:eastAsia="Arial" w:hAnsi="Arial"/>
                <w:color w:val="1A1A2E"/>
                <w:sz w:val="21"/>
                <w:szCs w:val="21"/>
              </w:rPr>
              <w:t xml:space="preserve">•  Integrate fermionic matter nodes with Grassmann statistics via fermion determinant</w:t>
            </w:r>
          </w:p>
          <w:p>
            <w:pPr>
              <w:spacing w:after="20"/>
            </w:pPr>
            <w:r>
              <w:rPr>
                <w:rFonts w:ascii="Arial" w:cs="Arial" w:eastAsia="Arial" w:hAnsi="Arial"/>
                <w:color w:val="1A1A2E"/>
                <w:sz w:val="21"/>
                <w:szCs w:val="21"/>
              </w:rPr>
              <w:t xml:space="preserve">•  Benchmark: Schwinger model mass gap and string tension (exactly solvable)</w:t>
            </w:r>
          </w:p>
          <w:p>
            <w:pPr>
              <w:spacing w:after="20"/>
            </w:pPr>
            <w:r>
              <w:rPr>
                <w:rFonts w:ascii="Arial" w:cs="Arial" w:eastAsia="Arial" w:hAnsi="Arial"/>
                <w:color w:val="1A1A2E"/>
                <w:sz w:val="21"/>
                <w:szCs w:val="21"/>
              </w:rPr>
              <w:t xml:space="preserve">•  Key technical contribution: gauge-equivariant layer with U(1) parallel transport</w:t>
            </w:r>
          </w:p>
        </w:tc>
      </w:tr>
    </w:tbl>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200"/>
        <w:gridCol w:w="8880"/>
      </w:tblGrid>
      <w:tr>
        <w:tc>
          <w:tcPr>
            <w:tcW w:type="dxa" w:w="1200"/>
            <w:tcBorders>
              <w:top w:val="none" w:color="FFFFFF" w:sz="0"/>
              <w:left w:val="none" w:color="FFFFFF" w:sz="0"/>
              <w:bottom w:val="none" w:color="FFFFFF" w:sz="0"/>
              <w:right w:val="none" w:color="FFFFFF" w:sz="0"/>
            </w:tcBorders>
            <w:shd w:fill="C0392B" w:val="clear"/>
            <w:tcMar>
              <w:top w:type="dxa" w:w="100"/>
              <w:left w:type="dxa" w:w="140"/>
              <w:bottom w:type="dxa" w:w="100"/>
              <w:right w:type="dxa" w:w="140"/>
            </w:tcMar>
            <w:vAlign w:val="top"/>
          </w:tcPr>
          <w:p>
            <w:r>
              <w:rPr>
                <w:rFonts w:ascii="Arial" w:cs="Arial" w:eastAsia="Arial" w:hAnsi="Arial"/>
                <w:b/>
                <w:bCs/>
                <w:color w:val="FFFFFF"/>
                <w:sz w:val="20"/>
                <w:szCs w:val="20"/>
              </w:rPr>
              <w:t xml:space="preserve">Phase III</w:t>
            </w:r>
          </w:p>
          <w:p>
            <w:r>
              <w:rPr>
                <w:rFonts w:ascii="Arial" w:cs="Arial" w:eastAsia="Arial" w:hAnsi="Arial"/>
                <w:color w:val="E8F4FF"/>
                <w:sz w:val="18"/>
                <w:szCs w:val="18"/>
              </w:rPr>
              <w:t xml:space="preserve">~6 Months</w:t>
            </w:r>
          </w:p>
        </w:tc>
        <w:tc>
          <w:tcPr>
            <w:tcW w:type="dxa" w:w="8880"/>
            <w:tcBorders>
              <w:top w:val="none" w:color="FFFFFF" w:sz="0"/>
              <w:left w:val="none" w:color="FFFFFF" w:sz="0"/>
              <w:bottom w:val="none" w:color="FFFFFF" w:sz="0"/>
              <w:right w:val="none" w:color="FFFFFF" w:sz="0"/>
            </w:tcBorders>
            <w:shd w:fill="F5F7FA" w:val="clear"/>
            <w:tcMar>
              <w:top w:type="dxa" w:w="100"/>
              <w:left w:type="dxa" w:w="160"/>
              <w:bottom w:type="dxa" w:w="100"/>
              <w:right w:type="dxa" w:w="140"/>
            </w:tcMar>
          </w:tcPr>
          <w:p>
            <w:pPr>
              <w:spacing w:after="40"/>
            </w:pPr>
            <w:r>
              <w:rPr>
                <w:rFonts w:ascii="Arial" w:cs="Arial" w:eastAsia="Arial" w:hAnsi="Arial"/>
                <w:b/>
                <w:bCs/>
                <w:color w:val="1A1A2E"/>
                <w:sz w:val="22"/>
                <w:szCs w:val="22"/>
              </w:rPr>
              <w:t xml:space="preserve">SU(3) Yang-Mills in 4D Euclidean Spacetime</w:t>
            </w:r>
          </w:p>
          <w:p>
            <w:pPr>
              <w:spacing w:after="80"/>
            </w:pPr>
            <w:r>
              <w:rPr>
                <w:rFonts w:ascii="Arial" w:cs="Arial" w:eastAsia="Arial" w:hAnsi="Arial"/>
                <w:i/>
                <w:iCs/>
                <w:color w:val="556688"/>
                <w:sz w:val="21"/>
                <w:szCs w:val="21"/>
              </w:rPr>
              <w:t xml:space="preserve">Full Lattice QCD Architecture</w:t>
            </w:r>
          </w:p>
          <w:p>
            <w:pPr>
              <w:spacing w:after="20"/>
            </w:pPr>
            <w:r>
              <w:rPr>
                <w:rFonts w:ascii="Arial" w:cs="Arial" w:eastAsia="Arial" w:hAnsi="Arial"/>
                <w:color w:val="1A1A2E"/>
                <w:sz w:val="21"/>
                <w:szCs w:val="21"/>
              </w:rPr>
              <w:t xml:space="preserve">•  Scale to non-Abelian SU(3) gauge group; non-commutative edge matrix features</w:t>
            </w:r>
          </w:p>
          <w:p>
            <w:pPr>
              <w:spacing w:after="20"/>
            </w:pPr>
            <w:r>
              <w:rPr>
                <w:rFonts w:ascii="Arial" w:cs="Arial" w:eastAsia="Arial" w:hAnsi="Arial"/>
                <w:color w:val="1A1A2E"/>
                <w:sz w:val="21"/>
                <w:szCs w:val="21"/>
              </w:rPr>
              <w:t xml:space="preserve">•  Multi-scale hierarchical graph implementing renormalization group coarsening</w:t>
            </w:r>
          </w:p>
          <w:p>
            <w:pPr>
              <w:spacing w:after="20"/>
            </w:pPr>
            <w:r>
              <w:rPr>
                <w:rFonts w:ascii="Arial" w:cs="Arial" w:eastAsia="Arial" w:hAnsi="Arial"/>
                <w:color w:val="1A1A2E"/>
                <w:sz w:val="21"/>
                <w:szCs w:val="21"/>
              </w:rPr>
              <w:t xml:space="preserve">•  Train on public MILC/CLS gauge configurations; target hadron mass spectrum</w:t>
            </w:r>
          </w:p>
          <w:p>
            <w:pPr>
              <w:spacing w:after="20"/>
            </w:pPr>
            <w:r>
              <w:rPr>
                <w:rFonts w:ascii="Arial" w:cs="Arial" w:eastAsia="Arial" w:hAnsi="Arial"/>
                <w:color w:val="1A1A2E"/>
                <w:sz w:val="21"/>
                <w:szCs w:val="21"/>
              </w:rPr>
              <w:t xml:space="preserve">•  Key metric: sampling autocorrelation improvement over pure HMC baseline</w:t>
            </w:r>
          </w:p>
        </w:tc>
      </w:tr>
    </w:tbl>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200"/>
        <w:gridCol w:w="8880"/>
      </w:tblGrid>
      <w:tr>
        <w:tc>
          <w:tcPr>
            <w:tcW w:type="dxa" w:w="1200"/>
            <w:tcBorders>
              <w:top w:val="none" w:color="FFFFFF" w:sz="0"/>
              <w:left w:val="none" w:color="FFFFFF" w:sz="0"/>
              <w:bottom w:val="none" w:color="FFFFFF" w:sz="0"/>
              <w:right w:val="none" w:color="FFFFFF" w:sz="0"/>
            </w:tcBorders>
            <w:shd w:fill="E67E22" w:val="clear"/>
            <w:tcMar>
              <w:top w:type="dxa" w:w="100"/>
              <w:left w:type="dxa" w:w="140"/>
              <w:bottom w:type="dxa" w:w="100"/>
              <w:right w:type="dxa" w:w="140"/>
            </w:tcMar>
            <w:vAlign w:val="top"/>
          </w:tcPr>
          <w:p>
            <w:r>
              <w:rPr>
                <w:rFonts w:ascii="Arial" w:cs="Arial" w:eastAsia="Arial" w:hAnsi="Arial"/>
                <w:b/>
                <w:bCs/>
                <w:color w:val="FFFFFF"/>
                <w:sz w:val="20"/>
                <w:szCs w:val="20"/>
              </w:rPr>
              <w:t xml:space="preserve">Phase IV</w:t>
            </w:r>
          </w:p>
          <w:p>
            <w:r>
              <w:rPr>
                <w:rFonts w:ascii="Arial" w:cs="Arial" w:eastAsia="Arial" w:hAnsi="Arial"/>
                <w:color w:val="E8F4FF"/>
                <w:sz w:val="18"/>
                <w:szCs w:val="18"/>
              </w:rPr>
              <w:t xml:space="preserve">~4 Months</w:t>
            </w:r>
          </w:p>
        </w:tc>
        <w:tc>
          <w:tcPr>
            <w:tcW w:type="dxa" w:w="8880"/>
            <w:tcBorders>
              <w:top w:val="none" w:color="FFFFFF" w:sz="0"/>
              <w:left w:val="none" w:color="FFFFFF" w:sz="0"/>
              <w:bottom w:val="none" w:color="FFFFFF" w:sz="0"/>
              <w:right w:val="none" w:color="FFFFFF" w:sz="0"/>
            </w:tcBorders>
            <w:shd w:fill="F5F7FA" w:val="clear"/>
            <w:tcMar>
              <w:top w:type="dxa" w:w="100"/>
              <w:left w:type="dxa" w:w="160"/>
              <w:bottom w:type="dxa" w:w="100"/>
              <w:right w:type="dxa" w:w="140"/>
            </w:tcMar>
          </w:tcPr>
          <w:p>
            <w:pPr>
              <w:spacing w:after="40"/>
            </w:pPr>
            <w:r>
              <w:rPr>
                <w:rFonts w:ascii="Arial" w:cs="Arial" w:eastAsia="Arial" w:hAnsi="Arial"/>
                <w:b/>
                <w:bCs/>
                <w:color w:val="1A1A2E"/>
                <w:sz w:val="22"/>
                <w:szCs w:val="22"/>
              </w:rPr>
              <w:t xml:space="preserve">Analytic Continuation Bridge</w:t>
            </w:r>
          </w:p>
          <w:p>
            <w:pPr>
              <w:spacing w:after="80"/>
            </w:pPr>
            <w:r>
              <w:rPr>
                <w:rFonts w:ascii="Arial" w:cs="Arial" w:eastAsia="Arial" w:hAnsi="Arial"/>
                <w:i/>
                <w:iCs/>
                <w:color w:val="556688"/>
                <w:sz w:val="21"/>
                <w:szCs w:val="21"/>
              </w:rPr>
              <w:t xml:space="preserve">Spectral Function Reconstruction: Euclidean to Minkowski</w:t>
            </w:r>
          </w:p>
          <w:p>
            <w:pPr>
              <w:spacing w:after="20"/>
            </w:pPr>
            <w:r>
              <w:rPr>
                <w:rFonts w:ascii="Arial" w:cs="Arial" w:eastAsia="Arial" w:hAnsi="Arial"/>
                <w:color w:val="1A1A2E"/>
                <w:sz w:val="21"/>
                <w:szCs w:val="21"/>
              </w:rPr>
              <w:t xml:space="preserve">•  Differentiable Maximum Entropy Method layer for Kallehn-Lehmann inversion</w:t>
            </w:r>
          </w:p>
          <w:p>
            <w:pPr>
              <w:spacing w:after="20"/>
            </w:pPr>
            <w:r>
              <w:rPr>
                <w:rFonts w:ascii="Arial" w:cs="Arial" w:eastAsia="Arial" w:hAnsi="Arial"/>
                <w:color w:val="1A1A2E"/>
                <w:sz w:val="21"/>
                <w:szCs w:val="21"/>
              </w:rPr>
              <w:t xml:space="preserve">•  Train on theories with known Minkowski spectra for supervised validation</w:t>
            </w:r>
          </w:p>
          <w:p>
            <w:pPr>
              <w:spacing w:after="20"/>
            </w:pPr>
            <w:r>
              <w:rPr>
                <w:rFonts w:ascii="Arial" w:cs="Arial" w:eastAsia="Arial" w:hAnsi="Arial"/>
                <w:color w:val="1A1A2E"/>
                <w:sz w:val="21"/>
                <w:szCs w:val="21"/>
              </w:rPr>
              <w:t xml:space="preserve">•  Enforce Kramers-Kronig causality as physics-constrained loss term</w:t>
            </w:r>
          </w:p>
          <w:p>
            <w:pPr>
              <w:spacing w:after="20"/>
            </w:pPr>
            <w:r>
              <w:rPr>
                <w:rFonts w:ascii="Arial" w:cs="Arial" w:eastAsia="Arial" w:hAnsi="Arial"/>
                <w:color w:val="1A1A2E"/>
                <w:sz w:val="21"/>
                <w:szCs w:val="21"/>
              </w:rPr>
              <w:t xml:space="preserve">•  Validate: extract pion quasiparticle peak from finite-temperature QCD correlators</w:t>
            </w:r>
          </w:p>
        </w:tc>
      </w:tr>
    </w:tbl>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200"/>
        <w:gridCol w:w="8880"/>
      </w:tblGrid>
      <w:tr>
        <w:tc>
          <w:tcPr>
            <w:tcW w:type="dxa" w:w="1200"/>
            <w:tcBorders>
              <w:top w:val="none" w:color="FFFFFF" w:sz="0"/>
              <w:left w:val="none" w:color="FFFFFF" w:sz="0"/>
              <w:bottom w:val="none" w:color="FFFFFF" w:sz="0"/>
              <w:right w:val="none" w:color="FFFFFF" w:sz="0"/>
            </w:tcBorders>
            <w:shd w:fill="2C3E7A" w:val="clear"/>
            <w:tcMar>
              <w:top w:type="dxa" w:w="100"/>
              <w:left w:type="dxa" w:w="140"/>
              <w:bottom w:type="dxa" w:w="100"/>
              <w:right w:type="dxa" w:w="140"/>
            </w:tcMar>
            <w:vAlign w:val="top"/>
          </w:tcPr>
          <w:p>
            <w:r>
              <w:rPr>
                <w:rFonts w:ascii="Arial" w:cs="Arial" w:eastAsia="Arial" w:hAnsi="Arial"/>
                <w:b/>
                <w:bCs/>
                <w:color w:val="FFFFFF"/>
                <w:sz w:val="20"/>
                <w:szCs w:val="20"/>
              </w:rPr>
              <w:t xml:space="preserve">Phase V</w:t>
            </w:r>
          </w:p>
          <w:p>
            <w:r>
              <w:rPr>
                <w:rFonts w:ascii="Arial" w:cs="Arial" w:eastAsia="Arial" w:hAnsi="Arial"/>
                <w:color w:val="E8F4FF"/>
                <w:sz w:val="18"/>
                <w:szCs w:val="18"/>
              </w:rPr>
              <w:t xml:space="preserve">~6 Months</w:t>
            </w:r>
          </w:p>
        </w:tc>
        <w:tc>
          <w:tcPr>
            <w:tcW w:type="dxa" w:w="8880"/>
            <w:tcBorders>
              <w:top w:val="none" w:color="FFFFFF" w:sz="0"/>
              <w:left w:val="none" w:color="FFFFFF" w:sz="0"/>
              <w:bottom w:val="none" w:color="FFFFFF" w:sz="0"/>
              <w:right w:val="none" w:color="FFFFFF" w:sz="0"/>
            </w:tcBorders>
            <w:shd w:fill="F5F7FA" w:val="clear"/>
            <w:tcMar>
              <w:top w:type="dxa" w:w="100"/>
              <w:left w:type="dxa" w:w="160"/>
              <w:bottom w:type="dxa" w:w="100"/>
              <w:right w:type="dxa" w:w="140"/>
            </w:tcMar>
          </w:tcPr>
          <w:p>
            <w:pPr>
              <w:spacing w:after="40"/>
            </w:pPr>
            <w:r>
              <w:rPr>
                <w:rFonts w:ascii="Arial" w:cs="Arial" w:eastAsia="Arial" w:hAnsi="Arial"/>
                <w:b/>
                <w:bCs/>
                <w:color w:val="1A1A2E"/>
                <w:sz w:val="22"/>
                <w:szCs w:val="22"/>
              </w:rPr>
              <w:t xml:space="preserve">Native Minkowski Formulation</w:t>
            </w:r>
          </w:p>
          <w:p>
            <w:pPr>
              <w:spacing w:after="80"/>
            </w:pPr>
            <w:r>
              <w:rPr>
                <w:rFonts w:ascii="Arial" w:cs="Arial" w:eastAsia="Arial" w:hAnsi="Arial"/>
                <w:i/>
                <w:iCs/>
                <w:color w:val="556688"/>
                <w:sz w:val="21"/>
                <w:szCs w:val="21"/>
              </w:rPr>
              <w:t xml:space="preserve">Complex Langevin Dynamics and Tensor Network Hybridization</w:t>
            </w:r>
          </w:p>
          <w:p>
            <w:pPr>
              <w:spacing w:after="20"/>
            </w:pPr>
            <w:r>
              <w:rPr>
                <w:rFonts w:ascii="Arial" w:cs="Arial" w:eastAsia="Arial" w:hAnsi="Arial"/>
                <w:color w:val="1A1A2E"/>
                <w:sz w:val="21"/>
                <w:szCs w:val="21"/>
              </w:rPr>
              <w:t xml:space="preserve">•  Complex Langevin GNN: learn drift term in complexified field space</w:t>
            </w:r>
          </w:p>
          <w:p>
            <w:pPr>
              <w:spacing w:after="20"/>
            </w:pPr>
            <w:r>
              <w:rPr>
                <w:rFonts w:ascii="Arial" w:cs="Arial" w:eastAsia="Arial" w:hAnsi="Arial"/>
                <w:color w:val="1A1A2E"/>
                <w:sz w:val="21"/>
                <w:szCs w:val="21"/>
              </w:rPr>
              <w:t xml:space="preserve">•  Implement causal light-cone edge structure replacing Euclidean hypercubic grid</w:t>
            </w:r>
          </w:p>
          <w:p>
            <w:pPr>
              <w:spacing w:after="20"/>
            </w:pPr>
            <w:r>
              <w:rPr>
                <w:rFonts w:ascii="Arial" w:cs="Arial" w:eastAsia="Arial" w:hAnsi="Arial"/>
                <w:color w:val="1A1A2E"/>
                <w:sz w:val="21"/>
                <w:szCs w:val="21"/>
              </w:rPr>
              <w:t xml:space="preserve">•  Hybrid: tensor network (MPS/MERA) for entanglement + GNN for field content</w:t>
            </w:r>
          </w:p>
          <w:p>
            <w:pPr>
              <w:spacing w:after="20"/>
            </w:pPr>
            <w:r>
              <w:rPr>
                <w:rFonts w:ascii="Arial" w:cs="Arial" w:eastAsia="Arial" w:hAnsi="Arial"/>
                <w:color w:val="1A1A2E"/>
                <w:sz w:val="21"/>
                <w:szCs w:val="21"/>
              </w:rPr>
              <w:t xml:space="preserve">•  Benchmark: 1+1D phi^4 real-time 2-point function against Lefschetz thimble MC</w:t>
            </w:r>
          </w:p>
        </w:tc>
      </w:tr>
    </w:tbl>
    <w:p>
      <w:pPr>
        <w:spacing w:before="200" w:after="0"/>
      </w:pPr>
    </w:p>
    <w:p>
      <w:r>
        <w:br w:type="page"/>
      </w:r>
    </w:p>
    <w:p>
      <w:pPr>
        <w:pStyle w:val="Heading1"/>
        <w:spacing w:before="320" w:after="120"/>
      </w:pPr>
      <w:r>
        <w:rPr>
          <w:rFonts w:ascii="Arial" w:cs="Arial" w:eastAsia="Arial" w:hAnsi="Arial"/>
          <w:b/>
          <w:bCs/>
          <w:color w:val="1B3A6B"/>
          <w:sz w:val="32"/>
          <w:szCs w:val="32"/>
        </w:rPr>
        <w:t xml:space="preserve">4.  Methodology</w:t>
      </w:r>
    </w:p>
    <w:p>
      <w:pPr>
        <w:pBdr>
          <w:bottom w:val="single" w:color="2E6DA4" w:sz="8" w:space="1"/>
        </w:pBdr>
        <w:spacing w:before="80" w:after="80"/>
      </w:pPr>
    </w:p>
    <w:p>
      <w:pPr>
        <w:spacing w:before="80" w:after="0"/>
      </w:pPr>
    </w:p>
    <w:p>
      <w:pPr>
        <w:pStyle w:val="Heading2"/>
        <w:spacing w:before="240" w:after="100"/>
      </w:pPr>
      <w:r>
        <w:rPr>
          <w:rFonts w:ascii="Arial" w:cs="Arial" w:eastAsia="Arial" w:hAnsi="Arial"/>
          <w:b/>
          <w:bCs/>
          <w:color w:val="2E6DA4"/>
          <w:sz w:val="26"/>
          <w:szCs w:val="26"/>
        </w:rPr>
        <w:t xml:space="preserve">4.1  Graph Construction and Data Representation</w:t>
      </w:r>
    </w:p>
    <w:p>
      <w:pPr>
        <w:spacing w:before="0" w:after="100" w:line="280"/>
        <w:jc w:val="both"/>
      </w:pPr>
      <w:r>
        <w:rPr>
          <w:rFonts w:ascii="Arial" w:cs="Arial" w:eastAsia="Arial" w:hAnsi="Arial"/>
          <w:color w:val="1A1A2E"/>
          <w:sz w:val="22"/>
          <w:szCs w:val="22"/>
        </w:rPr>
        <w:t xml:space="preserve">Each field configuration is represented as a heterogeneous graph G = (V_ST, V_Field, E_inhabits, E_adjacent) where V_ST are spacetime site nodes with 4D coordinate features, V_Field are per-site per-field nodes carrying field values and quantum numbers, E_inhabits are bipartite edges connecting each site to its field nodes, and E_adjacent are directed edges between neighboring sites carrying SU(N) gauge link matrix features.</w:t>
      </w:r>
    </w:p>
    <w:p>
      <w:pPr>
        <w:spacing w:before="60" w:after="0"/>
      </w:pPr>
    </w:p>
    <w:p>
      <w:pPr>
        <w:spacing w:before="0" w:after="100" w:line="280"/>
        <w:jc w:val="both"/>
      </w:pPr>
      <w:r>
        <w:rPr>
          <w:rFonts w:ascii="Arial" w:cs="Arial" w:eastAsia="Arial" w:hAnsi="Arial"/>
          <w:color w:val="1A1A2E"/>
          <w:sz w:val="22"/>
          <w:szCs w:val="22"/>
        </w:rPr>
        <w:t xml:space="preserve">Training data is generated via established Monte Carlo methods: Metropolis-Hastings for Phase I, Hybrid Monte Carlo (HMC) for Phases II-III, utilizing publicly available lattice QCD gauge configurations (MILC, CLS ensembles) for Phase III benchmarking. The graph construction pipeline will be released as open-source tooling built on PyTorch Geometric.</w:t>
      </w:r>
    </w:p>
    <w:p>
      <w:pPr>
        <w:spacing w:before="80" w:after="0"/>
      </w:pPr>
    </w:p>
    <w:p>
      <w:pPr>
        <w:pStyle w:val="Heading2"/>
        <w:spacing w:before="240" w:after="100"/>
      </w:pPr>
      <w:r>
        <w:rPr>
          <w:rFonts w:ascii="Arial" w:cs="Arial" w:eastAsia="Arial" w:hAnsi="Arial"/>
          <w:b/>
          <w:bCs/>
          <w:color w:val="2E6DA4"/>
          <w:sz w:val="26"/>
          <w:szCs w:val="26"/>
        </w:rPr>
        <w:t xml:space="preserve">4.2  Gauge-Equivariant Message Passing</w:t>
      </w:r>
    </w:p>
    <w:p>
      <w:pPr>
        <w:spacing w:before="0" w:after="100" w:line="280"/>
        <w:jc w:val="both"/>
      </w:pPr>
      <w:r>
        <w:rPr>
          <w:rFonts w:ascii="Arial" w:cs="Arial" w:eastAsia="Arial" w:hAnsi="Arial"/>
          <w:color w:val="1A1A2E"/>
          <w:sz w:val="22"/>
          <w:szCs w:val="22"/>
        </w:rPr>
        <w:t xml:space="preserve">The critical architectural primitive is a message passing layer that exactly respects the local gauge symmetry SU(N). Under a gauge transformation Omega(x) in SU(N), field node features transform as h_psi(x) -&gt; Omega(x) h_psi(x), and gauge link edge features transform as U_mu(x) -&gt; Omega(x) U_mu(x) Omega^dagger(x+mu_hat). Our message passing layers enforce this by construction: messages are formed as U_mu(x) h(x+mu_hat), which transforms covariantly, and aggregated using gauge-invariant operations (traces, plaquette sums).</w:t>
      </w:r>
    </w:p>
    <w:p>
      <w:pPr>
        <w:spacing w:before="60" w:after="0"/>
      </w:pPr>
    </w:p>
    <w:p>
      <w:pPr>
        <w:spacing w:before="0" w:after="100" w:line="280"/>
        <w:jc w:val="both"/>
      </w:pPr>
      <w:r>
        <w:rPr>
          <w:rFonts w:ascii="Arial" w:cs="Arial" w:eastAsia="Arial" w:hAnsi="Arial"/>
          <w:color w:val="1A1A2E"/>
          <w:sz w:val="22"/>
          <w:szCs w:val="22"/>
        </w:rPr>
        <w:t xml:space="preserve">For Phase II (U(1)), equivariant layers follow the parallel transport convolution approach of Lehner and Wettig (2023) adapted to our heterogeneous node structure. For Phase III (SU(3)), non-Abelian matrix edges require ordered path products; we build on the L-GCN architecture of Favoni et al. (2022) extended to the heterogeneous setting. Gauge equivariance is verified analytically by construction and validated numerically by checking output invariance under explicit gauge transformations applied to test configurations.</w:t>
      </w:r>
    </w:p>
    <w:p>
      <w:pPr>
        <w:spacing w:before="80" w:after="0"/>
      </w:pPr>
    </w:p>
    <w:p>
      <w:pPr>
        <w:pStyle w:val="Heading2"/>
        <w:spacing w:before="240" w:after="100"/>
      </w:pPr>
      <w:r>
        <w:rPr>
          <w:rFonts w:ascii="Arial" w:cs="Arial" w:eastAsia="Arial" w:hAnsi="Arial"/>
          <w:b/>
          <w:bCs/>
          <w:color w:val="2E6DA4"/>
          <w:sz w:val="26"/>
          <w:szCs w:val="26"/>
        </w:rPr>
        <w:t xml:space="preserve">4.3  Training Objectives and Validation</w:t>
      </w:r>
    </w:p>
    <w:p>
      <w:pPr>
        <w:spacing w:before="0" w:after="100" w:line="280"/>
        <w:jc w:val="both"/>
      </w:pPr>
      <w:r>
        <w:rPr>
          <w:rFonts w:ascii="Arial" w:cs="Arial" w:eastAsia="Arial" w:hAnsi="Arial"/>
          <w:color w:val="1A1A2E"/>
          <w:sz w:val="22"/>
          <w:szCs w:val="22"/>
        </w:rPr>
        <w:t xml:space="preserve">The primary training objective across Euclidean phases is energy-based model training: the GNN learns to assign unnormalized probabilities proportional to exp(-S_E[phi]) to field configurations. This is trained via contrastive divergence against Monte Carlo samples. A secondary objective — training as a normalizing flow for direct sampling — is pursued in Phase III, following the Abbott et al. (2022) pseudofermion flow approach.</w:t>
      </w:r>
    </w:p>
    <w:p>
      <w:pPr>
        <w:spacing w:before="60" w:after="0"/>
      </w:pPr>
    </w:p>
    <w:p>
      <w:pPr>
        <w:spacing w:before="0" w:after="100" w:line="280"/>
        <w:jc w:val="both"/>
      </w:pPr>
      <w:r>
        <w:rPr>
          <w:rFonts w:ascii="Arial" w:cs="Arial" w:eastAsia="Arial" w:hAnsi="Arial"/>
          <w:color w:val="1A1A2E"/>
          <w:sz w:val="22"/>
          <w:szCs w:val="22"/>
        </w:rPr>
        <w:t xml:space="preserve">Validation in each phase requires recovering specific, numerically precise physical observables:</w:t>
      </w:r>
    </w:p>
    <w:p>
      <w:pPr>
        <w:spacing w:before="4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4200"/>
        <w:gridCol w:w="3200"/>
      </w:tblGrid>
      <w:tr>
        <w:trPr>
          <w:tblHeader/>
        </w:trPr>
        <w:tc>
          <w:tcPr>
            <w:tcW w:type="dxa" w:w="1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Target Observable</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Benchmark Source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Phase 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Scalar two-point function, critical exponent nu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nu = 1.000 +/- 0.001 (Ising exact)</w:t>
            </w:r>
          </w:p>
        </w:tc>
      </w:tr>
      <w:tr>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Phase II</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Schwinger model mass gap, string tension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Analytic values: m = g/sqrt(pi), sigma exact</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Phase III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Pion mass, rho mass, string tension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Within 5% of benchmark lattice QCD ensembles</w:t>
            </w:r>
          </w:p>
        </w:tc>
      </w:tr>
      <w:tr>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Phase IV</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Spectral function peak position and width</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Comparison to free-field delta function and known quasiparticle peaks</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Phase V</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Real-time 2-point function G^R(t)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Comparison to Lefschetz thimble Monte Carlo and exact TN results</w:t>
            </w:r>
          </w:p>
        </w:tc>
      </w:tr>
    </w:tbl>
    <w:p>
      <w:pPr>
        <w:spacing w:before="200" w:after="0"/>
      </w:pPr>
    </w:p>
    <w:p>
      <w:r>
        <w:br w:type="page"/>
      </w:r>
    </w:p>
    <w:p>
      <w:pPr>
        <w:pStyle w:val="Heading1"/>
        <w:spacing w:before="320" w:after="120"/>
      </w:pPr>
      <w:r>
        <w:rPr>
          <w:rFonts w:ascii="Arial" w:cs="Arial" w:eastAsia="Arial" w:hAnsi="Arial"/>
          <w:b/>
          <w:bCs/>
          <w:color w:val="1B3A6B"/>
          <w:sz w:val="32"/>
          <w:szCs w:val="32"/>
        </w:rPr>
        <w:t xml:space="preserve">5.  Innovation and Broader Impact</w:t>
      </w:r>
    </w:p>
    <w:p>
      <w:pPr>
        <w:pBdr>
          <w:bottom w:val="single" w:color="2E6DA4" w:sz="8" w:space="1"/>
        </w:pBdr>
        <w:spacing w:before="80" w:after="80"/>
      </w:pPr>
    </w:p>
    <w:p>
      <w:pPr>
        <w:spacing w:before="80" w:after="0"/>
      </w:pPr>
    </w:p>
    <w:p>
      <w:pPr>
        <w:pStyle w:val="Heading2"/>
        <w:spacing w:before="240" w:after="100"/>
      </w:pPr>
      <w:r>
        <w:rPr>
          <w:rFonts w:ascii="Arial" w:cs="Arial" w:eastAsia="Arial" w:hAnsi="Arial"/>
          <w:b/>
          <w:bCs/>
          <w:color w:val="2E6DA4"/>
          <w:sz w:val="26"/>
          <w:szCs w:val="26"/>
        </w:rPr>
        <w:t xml:space="preserve">5.1  Scientific Novelty</w:t>
      </w:r>
    </w:p>
    <w:p>
      <w:pPr>
        <w:spacing w:before="0" w:after="100" w:line="280"/>
        <w:jc w:val="both"/>
      </w:pPr>
      <w:r>
        <w:rPr>
          <w:rFonts w:ascii="Arial" w:cs="Arial" w:eastAsia="Arial" w:hAnsi="Arial"/>
          <w:color w:val="1A1A2E"/>
          <w:sz w:val="22"/>
          <w:szCs w:val="22"/>
        </w:rPr>
        <w:t xml:space="preserve">This proposal introduces a specific, publishable architectural novelty: the heterogeneous bipartite graph representation of QFT, wherein spacetime and matter are formally distinct node types. This is absent from the published literature. The concrete scientific contributions anticipated are:</w:t>
      </w:r>
    </w:p>
    <w:p>
      <w:pPr>
        <w:spacing w:before="40" w:after="0"/>
      </w:pPr>
    </w:p>
    <w:p>
      <w:pPr>
        <w:pStyle w:val="ListParagraph"/>
        <w:numPr>
          <w:ilvl w:val="0"/>
          <w:numId w:val="2"/>
        </w:numPr>
        <w:spacing w:before="40" w:after="40" w:line="260"/>
      </w:pPr>
      <w:r>
        <w:rPr>
          <w:rFonts w:ascii="Arial" w:cs="Arial" w:eastAsia="Arial" w:hAnsi="Arial"/>
          <w:b/>
          <w:bCs/>
          <w:color w:val="1A1A2E"/>
          <w:sz w:val="22"/>
          <w:szCs w:val="22"/>
        </w:rPr>
        <w:t xml:space="preserve">Architectural contribution: </w:t>
      </w:r>
      <w:r>
        <w:rPr>
          <w:rFonts w:ascii="Arial" w:cs="Arial" w:eastAsia="Arial" w:hAnsi="Arial"/>
          <w:color w:val="1A1A2E"/>
          <w:sz w:val="22"/>
          <w:szCs w:val="22"/>
        </w:rPr>
        <w:t xml:space="preserve">First demonstration of heterogeneous GNN with typed spacetime/field nodes applied to QFT, with proof that the homogeneous limit recovers existing L-GCN results.</w:t>
      </w:r>
    </w:p>
    <w:p>
      <w:pPr>
        <w:pStyle w:val="ListParagraph"/>
        <w:numPr>
          <w:ilvl w:val="0"/>
          <w:numId w:val="2"/>
        </w:numPr>
        <w:spacing w:before="40" w:after="40" w:line="260"/>
      </w:pPr>
      <w:r>
        <w:rPr>
          <w:rFonts w:ascii="Arial" w:cs="Arial" w:eastAsia="Arial" w:hAnsi="Arial"/>
          <w:b/>
          <w:bCs/>
          <w:color w:val="1A1A2E"/>
          <w:sz w:val="22"/>
          <w:szCs w:val="22"/>
        </w:rPr>
        <w:t xml:space="preserve">Multi-field expressiveness: </w:t>
      </w:r>
      <w:r>
        <w:rPr>
          <w:rFonts w:ascii="Arial" w:cs="Arial" w:eastAsia="Arial" w:hAnsi="Arial"/>
          <w:color w:val="1A1A2E"/>
          <w:sz w:val="22"/>
          <w:szCs w:val="22"/>
        </w:rPr>
        <w:t xml:space="preserve">First architecture cleanly handling multiple fields of different representations (scalar, spinor, vector) at the same lattice site without feature concatenation hacks.</w:t>
      </w:r>
    </w:p>
    <w:p>
      <w:pPr>
        <w:pStyle w:val="ListParagraph"/>
        <w:numPr>
          <w:ilvl w:val="0"/>
          <w:numId w:val="2"/>
        </w:numPr>
        <w:spacing w:before="40" w:after="40" w:line="260"/>
      </w:pPr>
      <w:r>
        <w:rPr>
          <w:rFonts w:ascii="Arial" w:cs="Arial" w:eastAsia="Arial" w:hAnsi="Arial"/>
          <w:b/>
          <w:bCs/>
          <w:color w:val="1A1A2E"/>
          <w:sz w:val="22"/>
          <w:szCs w:val="22"/>
        </w:rPr>
        <w:t xml:space="preserve">Dynamic geometry: </w:t>
      </w:r>
      <w:r>
        <w:rPr>
          <w:rFonts w:ascii="Arial" w:cs="Arial" w:eastAsia="Arial" w:hAnsi="Arial"/>
          <w:color w:val="1A1A2E"/>
          <w:sz w:val="22"/>
          <w:szCs w:val="22"/>
        </w:rPr>
        <w:t xml:space="preserve">First GNN QFT architecture supporting learnable spacetime node positions, enabling adaptive discretization and eventual curved spacetime coupling.</w:t>
      </w:r>
    </w:p>
    <w:p>
      <w:pPr>
        <w:pStyle w:val="ListParagraph"/>
        <w:numPr>
          <w:ilvl w:val="0"/>
          <w:numId w:val="2"/>
        </w:numPr>
        <w:spacing w:before="40" w:after="40" w:line="260"/>
      </w:pPr>
      <w:r>
        <w:rPr>
          <w:rFonts w:ascii="Arial" w:cs="Arial" w:eastAsia="Arial" w:hAnsi="Arial"/>
          <w:b/>
          <w:bCs/>
          <w:color w:val="1A1A2E"/>
          <w:sz w:val="22"/>
          <w:szCs w:val="22"/>
        </w:rPr>
        <w:t xml:space="preserve">Spectral bridge: </w:t>
      </w:r>
      <w:r>
        <w:rPr>
          <w:rFonts w:ascii="Arial" w:cs="Arial" w:eastAsia="Arial" w:hAnsi="Arial"/>
          <w:color w:val="1A1A2E"/>
          <w:sz w:val="22"/>
          <w:szCs w:val="22"/>
        </w:rPr>
        <w:t xml:space="preserve">Differentiable Maximum Entropy Method layer enabling end-to-end training from Euclidean configurations to real-time spectral observables.</w:t>
      </w:r>
    </w:p>
    <w:p>
      <w:pPr>
        <w:pStyle w:val="ListParagraph"/>
        <w:numPr>
          <w:ilvl w:val="0"/>
          <w:numId w:val="2"/>
        </w:numPr>
        <w:spacing w:before="40" w:after="40" w:line="260"/>
      </w:pPr>
      <w:r>
        <w:rPr>
          <w:rFonts w:ascii="Arial" w:cs="Arial" w:eastAsia="Arial" w:hAnsi="Arial"/>
          <w:b/>
          <w:bCs/>
          <w:color w:val="1A1A2E"/>
          <w:sz w:val="22"/>
          <w:szCs w:val="22"/>
        </w:rPr>
        <w:t xml:space="preserve">RG flow as graph coarsening: </w:t>
      </w:r>
      <w:r>
        <w:rPr>
          <w:rFonts w:ascii="Arial" w:cs="Arial" w:eastAsia="Arial" w:hAnsi="Arial"/>
          <w:color w:val="1A1A2E"/>
          <w:sz w:val="22"/>
          <w:szCs w:val="22"/>
        </w:rPr>
        <w:t xml:space="preserve">Explicit implementation of Wilsonian renormalization group as hierarchical graph pooling, providing interpretable intermediate representations.</w:t>
      </w:r>
    </w:p>
    <w:p>
      <w:pPr>
        <w:spacing w:before="80" w:after="0"/>
      </w:pPr>
    </w:p>
    <w:p>
      <w:pPr>
        <w:pStyle w:val="Heading2"/>
        <w:spacing w:before="240" w:after="100"/>
      </w:pPr>
      <w:r>
        <w:rPr>
          <w:rFonts w:ascii="Arial" w:cs="Arial" w:eastAsia="Arial" w:hAnsi="Arial"/>
          <w:b/>
          <w:bCs/>
          <w:color w:val="2E6DA4"/>
          <w:sz w:val="26"/>
          <w:szCs w:val="26"/>
        </w:rPr>
        <w:t xml:space="preserve">5.2  Computational Impact</w:t>
      </w:r>
    </w:p>
    <w:p>
      <w:pPr>
        <w:spacing w:before="0" w:after="100" w:line="280"/>
        <w:jc w:val="both"/>
      </w:pPr>
      <w:r>
        <w:rPr>
          <w:rFonts w:ascii="Arial" w:cs="Arial" w:eastAsia="Arial" w:hAnsi="Arial"/>
          <w:color w:val="1A1A2E"/>
          <w:sz w:val="22"/>
          <w:szCs w:val="22"/>
        </w:rPr>
        <w:t xml:space="preserve">If successful, the proposed framework has the potential to significantly reduce the computational cost of lattice QFT calculations that currently consume millions of CPU-hours on DOE and NSF supercomputing allocations. Specifically:</w:t>
      </w:r>
    </w:p>
    <w:p>
      <w:pPr>
        <w:spacing w:before="40" w:after="0"/>
      </w:pPr>
    </w:p>
    <w:p>
      <w:pPr>
        <w:pStyle w:val="ListParagraph"/>
        <w:numPr>
          <w:ilvl w:val="0"/>
          <w:numId w:val="2"/>
        </w:numPr>
        <w:spacing w:before="40" w:after="40" w:line="260"/>
      </w:pPr>
      <w:r>
        <w:rPr>
          <w:rFonts w:ascii="Arial" w:cs="Arial" w:eastAsia="Arial" w:hAnsi="Arial"/>
          <w:b/>
          <w:bCs/>
          <w:color w:val="1A1A2E"/>
          <w:sz w:val="22"/>
          <w:szCs w:val="22"/>
        </w:rPr>
        <w:t xml:space="preserve">Reduced autocorrelation: </w:t>
      </w:r>
      <w:r>
        <w:rPr>
          <w:rFonts w:ascii="Arial" w:cs="Arial" w:eastAsia="Arial" w:hAnsi="Arial"/>
          <w:color w:val="1A1A2E"/>
          <w:sz w:val="22"/>
          <w:szCs w:val="22"/>
        </w:rPr>
        <w:t xml:space="preserve">Flow-based GNN samplers have demonstrated 10-100x reductions in autocorrelation time on existing benchmarks; our architecture provides a richer inductive bias potentially enabling further improvement.</w:t>
      </w:r>
    </w:p>
    <w:p>
      <w:pPr>
        <w:pStyle w:val="ListParagraph"/>
        <w:numPr>
          <w:ilvl w:val="0"/>
          <w:numId w:val="2"/>
        </w:numPr>
        <w:spacing w:before="40" w:after="40" w:line="260"/>
      </w:pPr>
      <w:r>
        <w:rPr>
          <w:rFonts w:ascii="Arial" w:cs="Arial" w:eastAsia="Arial" w:hAnsi="Arial"/>
          <w:b/>
          <w:bCs/>
          <w:color w:val="1A1A2E"/>
          <w:sz w:val="22"/>
          <w:szCs w:val="22"/>
        </w:rPr>
        <w:t xml:space="preserve">Fermion determinant approximation: </w:t>
      </w:r>
      <w:r>
        <w:rPr>
          <w:rFonts w:ascii="Arial" w:cs="Arial" w:eastAsia="Arial" w:hAnsi="Arial"/>
          <w:color w:val="1A1A2E"/>
          <w:sz w:val="22"/>
          <w:szCs w:val="22"/>
        </w:rPr>
        <w:t xml:space="preserve">Learning a local approximation to det(D + m) — the dominant computational cost in full QCD — as a graph computation could reduce per-configuration cost by orders of magnitude if achievable.</w:t>
      </w:r>
    </w:p>
    <w:p>
      <w:pPr>
        <w:pStyle w:val="ListParagraph"/>
        <w:numPr>
          <w:ilvl w:val="0"/>
          <w:numId w:val="2"/>
        </w:numPr>
        <w:spacing w:before="40" w:after="40" w:line="260"/>
      </w:pPr>
      <w:r>
        <w:rPr>
          <w:rFonts w:ascii="Arial" w:cs="Arial" w:eastAsia="Arial" w:hAnsi="Arial"/>
          <w:b/>
          <w:bCs/>
          <w:color w:val="1A1A2E"/>
          <w:sz w:val="22"/>
          <w:szCs w:val="22"/>
        </w:rPr>
        <w:t xml:space="preserve">Spectral reconstruction: </w:t>
      </w:r>
      <w:r>
        <w:rPr>
          <w:rFonts w:ascii="Arial" w:cs="Arial" w:eastAsia="Arial" w:hAnsi="Arial"/>
          <w:color w:val="1A1A2E"/>
          <w:sz w:val="22"/>
          <w:szCs w:val="22"/>
        </w:rPr>
        <w:t xml:space="preserve">Replacing the ill-conditioned Maximum Entropy Method with a trained neural prior could provide more reliable real-time observables from existing lattice ensembles without new simulation cost.</w:t>
      </w:r>
    </w:p>
    <w:p>
      <w:pPr>
        <w:spacing w:before="80" w:after="0"/>
      </w:pPr>
    </w:p>
    <w:p>
      <w:pPr>
        <w:pStyle w:val="Heading2"/>
        <w:spacing w:before="240" w:after="100"/>
      </w:pPr>
      <w:r>
        <w:rPr>
          <w:rFonts w:ascii="Arial" w:cs="Arial" w:eastAsia="Arial" w:hAnsi="Arial"/>
          <w:b/>
          <w:bCs/>
          <w:color w:val="2E6DA4"/>
          <w:sz w:val="26"/>
          <w:szCs w:val="26"/>
        </w:rPr>
        <w:t xml:space="preserve">5.3  Long-Range Scientific Vision</w:t>
      </w:r>
    </w:p>
    <w:p>
      <w:pPr>
        <w:spacing w:before="0" w:after="100" w:line="280"/>
        <w:jc w:val="both"/>
      </w:pPr>
      <w:r>
        <w:rPr>
          <w:rFonts w:ascii="Arial" w:cs="Arial" w:eastAsia="Arial" w:hAnsi="Arial"/>
          <w:color w:val="1A1A2E"/>
          <w:sz w:val="22"/>
          <w:szCs w:val="22"/>
        </w:rPr>
        <w:t xml:space="preserve">Beyond immediate QCD applications, the heterogeneous graph framework opens avenues currently inaccessible to existing methods. The explicit separation of geometry and matter nodes is the natural foundation for QFT in curved spacetime, where the metric g_mu_nu becomes a dynamic edge feature subject to Einstein's equations. This positions the framework as a potential computational laboratory for semiclassical gravity, Hawking radiation calculations, and ultimately discrete models of quantum gravity where the graph topology itself becomes the dynamical variable.</w:t>
      </w:r>
    </w:p>
    <w:p>
      <w:pPr>
        <w:spacing w:before="200" w:after="0"/>
      </w:pPr>
    </w:p>
    <w:p>
      <w:r>
        <w:br w:type="page"/>
      </w:r>
    </w:p>
    <w:p>
      <w:pPr>
        <w:pStyle w:val="Heading1"/>
        <w:spacing w:before="320" w:after="120"/>
      </w:pPr>
      <w:r>
        <w:rPr>
          <w:rFonts w:ascii="Arial" w:cs="Arial" w:eastAsia="Arial" w:hAnsi="Arial"/>
          <w:b/>
          <w:bCs/>
          <w:color w:val="1B3A6B"/>
          <w:sz w:val="32"/>
          <w:szCs w:val="32"/>
        </w:rPr>
        <w:t xml:space="preserve">6.  Timeline and Milestones</w:t>
      </w:r>
    </w:p>
    <w:p>
      <w:pPr>
        <w:pBdr>
          <w:bottom w:val="single" w:color="2E6DA4" w:sz="8" w:space="1"/>
        </w:pBdr>
        <w:spacing w:before="80" w:after="80"/>
      </w:pPr>
    </w:p>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8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Timeline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4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Key Milestones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Months 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Phase I: Scalar phi^4, 2D</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Graph pipeline, MC baseline, GNN energy model, critical exponent recovery</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Months 4-7</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Phase II: U(1) Gauge + Fermions</w:t>
            </w:r>
          </w:p>
        </w:tc>
        <w:tc>
          <w:tcPr>
            <w:tcW w:type="dxa" w:w="4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Gauge-equivariant layers, fermion determinant network, Schwinger model benchmark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Months 8-13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Phase III: SU(3) Yang-Mills, 4D</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Non-Abelian layers, multi-scale hierarchy, MILC config training, hadron spectrum</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Months 14-17</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Phase IV: Spectral Bridge</w:t>
            </w:r>
          </w:p>
        </w:tc>
        <w:tc>
          <w:tcPr>
            <w:tcW w:type="dxa" w:w="4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Finite-T graph, MEM layer, free-field spectral test, pion quasiparticle extraction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Months 18-23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Phase V: Native Minkowski</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Complex Langevin GNN, causal graph structure, TN hybrid, real-time G^R(t)</w:t>
            </w:r>
          </w:p>
        </w:tc>
      </w:tr>
    </w:tbl>
    <w:p>
      <w:pPr>
        <w:spacing w:before="80" w:after="0"/>
      </w:pPr>
    </w:p>
    <w:p>
      <w:pPr>
        <w:spacing w:before="0" w:after="100" w:line="280"/>
        <w:jc w:val="both"/>
      </w:pPr>
      <w:r>
        <w:rPr>
          <w:rFonts w:ascii="Arial" w:cs="Arial" w:eastAsia="Arial" w:hAnsi="Arial"/>
          <w:color w:val="1A1A2E"/>
          <w:sz w:val="22"/>
          <w:szCs w:val="22"/>
        </w:rPr>
        <w:t xml:space="preserve">All code, trained model weights, and benchmark datasets will be released as open-source repositories under permissive licenses, contributing to the broader lattice QFT and ML physics community. Preprints will be posted to arXiv (hep-lat) at the conclusion of each phase.</w:t>
      </w:r>
    </w:p>
    <w:p>
      <w:pPr>
        <w:spacing w:before="200" w:after="0"/>
      </w:pPr>
    </w:p>
    <w:p>
      <w:pPr>
        <w:pStyle w:val="Heading1"/>
        <w:spacing w:before="320" w:after="120"/>
      </w:pPr>
      <w:r>
        <w:rPr>
          <w:rFonts w:ascii="Arial" w:cs="Arial" w:eastAsia="Arial" w:hAnsi="Arial"/>
          <w:b/>
          <w:bCs/>
          <w:color w:val="1B3A6B"/>
          <w:sz w:val="32"/>
          <w:szCs w:val="32"/>
        </w:rPr>
        <w:t xml:space="preserve">7.  Budget Justification</w:t>
      </w:r>
    </w:p>
    <w:p>
      <w:pPr>
        <w:pBdr>
          <w:bottom w:val="single" w:color="2E6DA4" w:sz="8" w:space="1"/>
        </w:pBdr>
        <w:spacing w:before="80" w:after="80"/>
      </w:pPr>
    </w:p>
    <w:p>
      <w:pPr>
        <w:spacing w:before="80" w:after="0"/>
      </w:pPr>
    </w:p>
    <w:p>
      <w:pPr>
        <w:spacing w:before="0" w:after="100" w:line="280"/>
        <w:jc w:val="both"/>
      </w:pPr>
      <w:r>
        <w:rPr>
          <w:rFonts w:ascii="Arial" w:cs="Arial" w:eastAsia="Arial" w:hAnsi="Arial"/>
          <w:color w:val="1A1A2E"/>
          <w:sz w:val="22"/>
          <w:szCs w:val="22"/>
        </w:rPr>
        <w:t xml:space="preserve">The following budget outlines estimated resources for a 23-month research program. Actual line items will be developed in coordination with the relevant program officer and institutional grants administration.</w:t>
      </w:r>
    </w:p>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4040"/>
        <w:gridCol w:w="3520"/>
      </w:tblGrid>
      <w:tr>
        <w:trPr>
          <w:tblHeader/>
        </w:trPr>
        <w:tc>
          <w:tcPr>
            <w:tcW w:type="dxa" w:w="2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40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Scope</w:t>
            </w:r>
          </w:p>
        </w:tc>
        <w:tc>
          <w:tcPr>
            <w:tcW w:type="dxa" w:w="3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Justification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Personnel</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PI (50% FTE), 1 PhD student (100% FTE), 1 Postdoc (100% FTE)</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Primary research effort; architecture development, implementation, validation</w:t>
            </w:r>
          </w:p>
        </w:tc>
      </w:tr>
      <w:tr>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Computing — Cloud/HPC</w:t>
            </w:r>
          </w:p>
        </w:tc>
        <w:tc>
          <w:tcPr>
            <w:tcW w:type="dxa" w:w="4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A100 80GB GPU access (est. 200K GPU-hours)</w:t>
            </w:r>
          </w:p>
        </w:tc>
        <w:tc>
          <w:tcPr>
            <w:tcW w:type="dxa" w:w="3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Phase III 4D SU(3) training requires 80GB VRAM; Phase V tensor networks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Computing — National</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NERSC / ALCF allocation request</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MILC public config access; Phase III/V production runs</w:t>
            </w:r>
          </w:p>
        </w:tc>
      </w:tr>
      <w:tr>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Software &amp; Licenses</w:t>
            </w:r>
          </w:p>
        </w:tc>
        <w:tc>
          <w:tcPr>
            <w:tcW w:type="dxa" w:w="4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PyTorch, PyG, DGL, ITensor (Julia)</w:t>
            </w:r>
          </w:p>
        </w:tc>
        <w:tc>
          <w:tcPr>
            <w:tcW w:type="dxa" w:w="3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Open-source stack; no major license costs anticipated</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Travel</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Lattice annual conference x2; NeurIPS / ICML x1</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Dissemination; community engagement; collaboration</w:t>
            </w:r>
          </w:p>
        </w:tc>
      </w:tr>
      <w:tr>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Indirect / Overhead</w:t>
            </w:r>
          </w:p>
        </w:tc>
        <w:tc>
          <w:tcPr>
            <w:tcW w:type="dxa" w:w="4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Per institutional rate</w:t>
            </w:r>
          </w:p>
        </w:tc>
        <w:tc>
          <w:tcPr>
            <w:tcW w:type="dxa" w:w="3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Standard F&amp;A rate applied to MTDC</w:t>
            </w:r>
          </w:p>
        </w:tc>
      </w:tr>
    </w:tbl>
    <w:p>
      <w:pPr>
        <w:spacing w:before="200" w:after="0"/>
      </w:pPr>
    </w:p>
    <w:p>
      <w:r>
        <w:br w:type="page"/>
      </w:r>
    </w:p>
    <w:p>
      <w:pPr>
        <w:pStyle w:val="Heading1"/>
        <w:spacing w:before="320" w:after="120"/>
      </w:pPr>
      <w:r>
        <w:rPr>
          <w:rFonts w:ascii="Arial" w:cs="Arial" w:eastAsia="Arial" w:hAnsi="Arial"/>
          <w:b/>
          <w:bCs/>
          <w:color w:val="1B3A6B"/>
          <w:sz w:val="32"/>
          <w:szCs w:val="32"/>
        </w:rPr>
        <w:t xml:space="preserve">8.  Risk Assessment and Mitigation</w:t>
      </w:r>
    </w:p>
    <w:p>
      <w:pPr>
        <w:pBdr>
          <w:bottom w:val="single" w:color="2E6DA4" w:sz="8" w:space="1"/>
        </w:pBdr>
        <w:spacing w:before="80" w:after="80"/>
      </w:pPr>
    </w:p>
    <w:p>
      <w:pPr>
        <w:spacing w:before="80" w:after="0"/>
      </w:pPr>
    </w:p>
    <w:p>
      <w:pPr>
        <w:spacing w:before="0" w:after="100" w:line="280"/>
        <w:jc w:val="both"/>
      </w:pPr>
      <w:r>
        <w:rPr>
          <w:rFonts w:ascii="Arial" w:cs="Arial" w:eastAsia="Arial" w:hAnsi="Arial"/>
          <w:color w:val="1A1A2E"/>
          <w:sz w:val="22"/>
          <w:szCs w:val="22"/>
        </w:rPr>
        <w:t xml:space="preserve">The following table summarizes the principal technical risks and planned mitigations. Risks are rated H/M/L by severity and probability.</w:t>
      </w:r>
    </w:p>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1000"/>
        <w:gridCol w:w="5080"/>
      </w:tblGrid>
      <w:tr>
        <w:trPr>
          <w:tblHeader/>
        </w:trPr>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Risk</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Severity / Probability</w:t>
            </w:r>
          </w:p>
        </w:tc>
        <w:tc>
          <w:tcPr>
            <w:tcW w:type="dxa" w:w="50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Mitigation Strategy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Gauge equivariance degrades in deep networks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M / H</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Monitor equivariance error metric per layer; use equivariant normalization; ablate depth</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Spectral inversion remains ill-conditioned despite NN prior</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H / M</w:t>
            </w:r>
          </w:p>
        </w:tc>
        <w:tc>
          <w:tcPr>
            <w:tcW w:type="dxa" w:w="5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Use multiple priors; benchmark against MEM and Nevanlinna AC; accept partial spectral reconstruction as useful result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Graph memory explosion in 4D SU(3)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M / H</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Multi-scale coarsening; gradient checkpointing; distributed graph partitioning (PyG cluster loader)</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Complex Langevin converges to wrong fixed point</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H / M</w:t>
            </w:r>
          </w:p>
        </w:tc>
        <w:tc>
          <w:tcPr>
            <w:tcW w:type="dxa" w:w="5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Monitor correctness criterion (boundary terms); confine to known-safe theories in Phase V; treat as exploratory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Non-Abelian equivariance architecturally unsolvable generally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M / L</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Fall back to approximate equivariance + symmetry fine-tuning; SU(3) may be tractable even if general solution is hard</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Fermion determinant approximation too inaccurate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M / M</w:t>
            </w:r>
          </w:p>
        </w:tc>
        <w:tc>
          <w:tcPr>
            <w:tcW w:type="dxa" w:w="5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2"/>
                <w:szCs w:val="22"/>
              </w:rPr>
              <w:t xml:space="preserve">Integrate out analytically and use reweighting; approximation only needed for accelerated proposal step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Sign problem fundamentally intractable for target theories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H / L</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Phase V explicitly scoped to theories where Complex Langevin is known to work; full QCD at finite density is acknowledged as out of scope</w:t>
            </w:r>
          </w:p>
        </w:tc>
      </w:tr>
    </w:tbl>
    <w:p>
      <w:pPr>
        <w:spacing w:before="200" w:after="0"/>
      </w:pPr>
    </w:p>
    <w:p>
      <w:pPr>
        <w:pStyle w:val="Heading1"/>
        <w:spacing w:before="320" w:after="120"/>
      </w:pPr>
      <w:r>
        <w:rPr>
          <w:rFonts w:ascii="Arial" w:cs="Arial" w:eastAsia="Arial" w:hAnsi="Arial"/>
          <w:b/>
          <w:bCs/>
          <w:color w:val="1B3A6B"/>
          <w:sz w:val="32"/>
          <w:szCs w:val="32"/>
        </w:rPr>
        <w:t xml:space="preserve">9.  Key References</w:t>
      </w:r>
    </w:p>
    <w:p>
      <w:pPr>
        <w:pBdr>
          <w:bottom w:val="single" w:color="2E6DA4" w:sz="8" w:space="1"/>
        </w:pBdr>
        <w:spacing w:before="80" w:after="80"/>
      </w:pPr>
    </w:p>
    <w:p>
      <w:pPr>
        <w:spacing w:before="80" w:after="0"/>
      </w:pPr>
    </w:p>
    <w:p>
      <w:pPr>
        <w:spacing w:before="0" w:after="100" w:line="280"/>
        <w:jc w:val="both"/>
      </w:pPr>
      <w:r>
        <w:rPr>
          <w:rFonts w:ascii="Arial" w:cs="Arial" w:eastAsia="Arial" w:hAnsi="Arial"/>
          <w:color w:val="1A1A2E"/>
          <w:sz w:val="22"/>
          <w:szCs w:val="22"/>
        </w:rPr>
        <w:t xml:space="preserve">The following references are cited or directly relevant to the proposed work. Full bibliography available on request.</w:t>
      </w:r>
    </w:p>
    <w:p>
      <w:pPr>
        <w:spacing w:before="60" w:after="0"/>
      </w:pPr>
    </w:p>
    <w:p>
      <w:pPr>
        <w:pStyle w:val="ListParagraph"/>
        <w:numPr>
          <w:ilvl w:val="0"/>
          <w:numId w:val="3"/>
        </w:numPr>
        <w:spacing w:before="40" w:after="40" w:line="260"/>
      </w:pPr>
      <w:r>
        <w:rPr>
          <w:rFonts w:ascii="Arial" w:cs="Arial" w:eastAsia="Arial" w:hAnsi="Arial"/>
          <w:color w:val="1A1A2E"/>
          <w:sz w:val="22"/>
          <w:szCs w:val="22"/>
        </w:rPr>
        <w:t xml:space="preserve">Bachtis, D., Aarts, G., Lucini, B. (2021). Quantum field-theoretic machine learning. Physical Review D 103, 074510. [arXiv:2102.09449] — CLOSEST PRIOR WORK: bipartite graph in QFT+ML; visible/hidden bipartition distinct from our geometry/matter split.</w:t>
      </w:r>
    </w:p>
    <w:p>
      <w:pPr>
        <w:pStyle w:val="ListParagraph"/>
        <w:numPr>
          <w:ilvl w:val="0"/>
          <w:numId w:val="3"/>
        </w:numPr>
        <w:spacing w:before="40" w:after="40" w:line="260"/>
      </w:pPr>
      <w:r>
        <w:rPr>
          <w:rFonts w:ascii="Arial" w:cs="Arial" w:eastAsia="Arial" w:hAnsi="Arial"/>
          <w:color w:val="1A1A2E"/>
          <w:sz w:val="22"/>
          <w:szCs w:val="22"/>
        </w:rPr>
        <w:t xml:space="preserve">Kanwar, G., Albergo, M.S., et al. (2020). Equivariant Flow-Based Sampling for Lattice Gauge Theory. Physical Review Letters 125, 121601.</w:t>
      </w:r>
    </w:p>
    <w:p>
      <w:pPr>
        <w:pStyle w:val="ListParagraph"/>
        <w:numPr>
          <w:ilvl w:val="0"/>
          <w:numId w:val="3"/>
        </w:numPr>
        <w:spacing w:before="40" w:after="40" w:line="260"/>
      </w:pPr>
      <w:r>
        <w:rPr>
          <w:rFonts w:ascii="Arial" w:cs="Arial" w:eastAsia="Arial" w:hAnsi="Arial"/>
          <w:color w:val="1A1A2E"/>
          <w:sz w:val="22"/>
          <w:szCs w:val="22"/>
        </w:rPr>
        <w:t xml:space="preserve">Boyda, D., Kanwar, G., et al. (2021). Sampling using SU(N) gauge equivariant flows. Physical Review D 103, 074504.</w:t>
      </w:r>
    </w:p>
    <w:p>
      <w:pPr>
        <w:pStyle w:val="ListParagraph"/>
        <w:numPr>
          <w:ilvl w:val="0"/>
          <w:numId w:val="3"/>
        </w:numPr>
        <w:spacing w:before="40" w:after="40" w:line="260"/>
      </w:pPr>
      <w:r>
        <w:rPr>
          <w:rFonts w:ascii="Arial" w:cs="Arial" w:eastAsia="Arial" w:hAnsi="Arial"/>
          <w:color w:val="1A1A2E"/>
          <w:sz w:val="22"/>
          <w:szCs w:val="22"/>
        </w:rPr>
        <w:t xml:space="preserve">Favoni, M., Ipp, A., Muller, D.I., Schuh, D. (2022). Lattice Gauge Equivariant Convolutional Neural Networks. Physical Review Letters 128, 032003.</w:t>
      </w:r>
    </w:p>
    <w:p>
      <w:pPr>
        <w:pStyle w:val="ListParagraph"/>
        <w:numPr>
          <w:ilvl w:val="0"/>
          <w:numId w:val="3"/>
        </w:numPr>
        <w:spacing w:before="40" w:after="40" w:line="260"/>
      </w:pPr>
      <w:r>
        <w:rPr>
          <w:rFonts w:ascii="Arial" w:cs="Arial" w:eastAsia="Arial" w:hAnsi="Arial"/>
          <w:color w:val="1A1A2E"/>
          <w:sz w:val="22"/>
          <w:szCs w:val="22"/>
        </w:rPr>
        <w:t xml:space="preserve">Lehner, C., Wettig, T. (2023). Gauge-equivariant neural networks as preconditioners in lattice QCD. Physical Review D 108, 034503.</w:t>
      </w:r>
    </w:p>
    <w:p>
      <w:pPr>
        <w:pStyle w:val="ListParagraph"/>
        <w:numPr>
          <w:ilvl w:val="0"/>
          <w:numId w:val="3"/>
        </w:numPr>
        <w:spacing w:before="40" w:after="40" w:line="260"/>
      </w:pPr>
      <w:r>
        <w:rPr>
          <w:rFonts w:ascii="Arial" w:cs="Arial" w:eastAsia="Arial" w:hAnsi="Arial"/>
          <w:color w:val="1A1A2E"/>
          <w:sz w:val="22"/>
          <w:szCs w:val="22"/>
        </w:rPr>
        <w:t xml:space="preserve">Abbott, R., et al. (2022). Flow-based sampling in the lattice Schwinger model at criticality. Physical Review D 106, 014514.</w:t>
      </w:r>
    </w:p>
    <w:p>
      <w:pPr>
        <w:pStyle w:val="ListParagraph"/>
        <w:numPr>
          <w:ilvl w:val="0"/>
          <w:numId w:val="3"/>
        </w:numPr>
        <w:spacing w:before="40" w:after="40" w:line="260"/>
      </w:pPr>
      <w:r>
        <w:rPr>
          <w:rFonts w:ascii="Arial" w:cs="Arial" w:eastAsia="Arial" w:hAnsi="Arial"/>
          <w:color w:val="1A1A2E"/>
          <w:sz w:val="22"/>
          <w:szCs w:val="22"/>
        </w:rPr>
        <w:t xml:space="preserve">Albergo, M.S., et al. (2021). Introduction to Normalizing Flows for Lattice Field Theory. arXiv:2101.08176.</w:t>
      </w:r>
    </w:p>
    <w:p>
      <w:pPr>
        <w:pStyle w:val="ListParagraph"/>
        <w:numPr>
          <w:ilvl w:val="0"/>
          <w:numId w:val="3"/>
        </w:numPr>
        <w:spacing w:before="40" w:after="40" w:line="260"/>
      </w:pPr>
      <w:r>
        <w:rPr>
          <w:rFonts w:ascii="Arial" w:cs="Arial" w:eastAsia="Arial" w:hAnsi="Arial"/>
          <w:color w:val="1A1A2E"/>
          <w:sz w:val="22"/>
          <w:szCs w:val="22"/>
        </w:rPr>
        <w:t xml:space="preserve">Gerdes, M., et al. (2023). Learning Lattice Quantum Field Theories with Equivariant Continuous Flows. SciPost Physics 15, 238.</w:t>
      </w:r>
    </w:p>
    <w:p>
      <w:pPr>
        <w:pStyle w:val="ListParagraph"/>
        <w:numPr>
          <w:ilvl w:val="0"/>
          <w:numId w:val="3"/>
        </w:numPr>
        <w:spacing w:before="40" w:after="40" w:line="260"/>
      </w:pPr>
      <w:r>
        <w:rPr>
          <w:rFonts w:ascii="Arial" w:cs="Arial" w:eastAsia="Arial" w:hAnsi="Arial"/>
          <w:color w:val="1A1A2E"/>
          <w:sz w:val="22"/>
          <w:szCs w:val="22"/>
        </w:rPr>
        <w:t xml:space="preserve">Urban, J.M., Pawlowski, J.M. (2020). Reducing autocorrelation times in lattice simulations with generative adversarial networks. Machine Learning: Science and Technology.</w:t>
      </w:r>
    </w:p>
    <w:p>
      <w:pPr>
        <w:pStyle w:val="ListParagraph"/>
        <w:numPr>
          <w:ilvl w:val="0"/>
          <w:numId w:val="3"/>
        </w:numPr>
        <w:spacing w:before="40" w:after="40" w:line="260"/>
      </w:pPr>
      <w:r>
        <w:rPr>
          <w:rFonts w:ascii="Arial" w:cs="Arial" w:eastAsia="Arial" w:hAnsi="Arial"/>
          <w:color w:val="1A1A2E"/>
          <w:sz w:val="22"/>
          <w:szCs w:val="22"/>
        </w:rPr>
        <w:t xml:space="preserve">Shi, S., Wang, L., Zhou, K. (2022). Rethinking the ill-posedness of the spectral function reconstruction. arXiv:2201.02564.</w:t>
      </w:r>
    </w:p>
    <w:p>
      <w:pPr>
        <w:pStyle w:val="ListParagraph"/>
        <w:numPr>
          <w:ilvl w:val="0"/>
          <w:numId w:val="3"/>
        </w:numPr>
        <w:spacing w:before="40" w:after="40" w:line="260"/>
      </w:pPr>
      <w:r>
        <w:rPr>
          <w:rFonts w:ascii="Arial" w:cs="Arial" w:eastAsia="Arial" w:hAnsi="Arial"/>
          <w:color w:val="1A1A2E"/>
          <w:sz w:val="22"/>
          <w:szCs w:val="22"/>
        </w:rPr>
        <w:t xml:space="preserve">Boyda, D., et al. (2022). Applications of Machine Learning to Lattice Quantum Field Theory. Snowmass 2021 White Paper. arXiv:2202.05838.</w:t>
      </w:r>
    </w:p>
    <w:p>
      <w:pPr>
        <w:pStyle w:val="ListParagraph"/>
        <w:numPr>
          <w:ilvl w:val="0"/>
          <w:numId w:val="3"/>
        </w:numPr>
        <w:spacing w:before="40" w:after="40" w:line="260"/>
      </w:pPr>
      <w:r>
        <w:rPr>
          <w:rFonts w:ascii="Arial" w:cs="Arial" w:eastAsia="Arial" w:hAnsi="Arial"/>
          <w:color w:val="1A1A2E"/>
          <w:sz w:val="22"/>
          <w:szCs w:val="22"/>
        </w:rPr>
        <w:t xml:space="preserve">Luo, D., et al. (2021). Gauge Equivariant Neural Networks for Quantum Lattice Gauge Theories. Physical Review Letters 127, 276402.</w:t>
      </w:r>
    </w:p>
    <w:p>
      <w:pPr>
        <w:pStyle w:val="ListParagraph"/>
        <w:numPr>
          <w:ilvl w:val="0"/>
          <w:numId w:val="3"/>
        </w:numPr>
        <w:spacing w:before="40" w:after="40" w:line="260"/>
      </w:pPr>
      <w:r>
        <w:rPr>
          <w:rFonts w:ascii="Arial" w:cs="Arial" w:eastAsia="Arial" w:hAnsi="Arial"/>
          <w:color w:val="1A1A2E"/>
          <w:sz w:val="22"/>
          <w:szCs w:val="22"/>
        </w:rPr>
        <w:t xml:space="preserve">Rothkopf, A. (2022). Bayesian inference of real-time dynamics from lattice QCD. Frontiers in Physics 10, 1028995.</w:t>
      </w:r>
    </w:p>
    <w:p>
      <w:pPr>
        <w:spacing w:before="20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300"/>
              <w:left w:type="dxa" w:w="360"/>
              <w:bottom w:type="dxa" w:w="300"/>
              <w:right w:type="dxa" w:w="360"/>
            </w:tcMar>
          </w:tcPr>
          <w:p>
            <w:pPr>
              <w:spacing w:after="80"/>
              <w:jc w:val="center"/>
            </w:pPr>
            <w:r>
              <w:rPr>
                <w:rFonts w:ascii="Arial" w:cs="Arial" w:eastAsia="Arial" w:hAnsi="Arial"/>
                <w:i/>
                <w:iCs/>
                <w:color w:val="A8C5E0"/>
                <w:sz w:val="22"/>
                <w:szCs w:val="22"/>
              </w:rPr>
              <w:t xml:space="preserve">We invite program officers to contact us to discuss the scientific merits and collaborative opportunities.</w:t>
            </w:r>
          </w:p>
          <w:p>
            <w:pPr>
              <w:jc w:val="center"/>
            </w:pPr>
            <w:r>
              <w:rPr>
                <w:rFonts w:ascii="Arial" w:cs="Arial" w:eastAsia="Arial" w:hAnsi="Arial"/>
                <w:color w:val="FFFFFF"/>
                <w:sz w:val="22"/>
                <w:szCs w:val="22"/>
              </w:rPr>
              <w:t xml:space="preserve">This proposal represents a genuine frontier in the intersection of geometric deep learning and theoretical physics.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3"/>
      </w:pBdr>
      <w:tabs>
        <w:tab w:val="right" w:pos="10080"/>
      </w:tabs>
      <w:spacing w:before="80"/>
    </w:pPr>
    <w:r>
      <w:rPr>
        <w:rFonts w:ascii="Arial" w:cs="Arial" w:eastAsia="Arial" w:hAnsi="Arial"/>
        <w:color w:val="AAAAAA"/>
        <w:sz w:val="18"/>
        <w:szCs w:val="18"/>
      </w:rPr>
      <w:t xml:space="preserve">Confidential — Research Proposal</w:t>
    </w:r>
    <w:r>
      <w:rPr>
        <w:rFonts w:ascii="Arial" w:cs="Arial" w:eastAsia="Arial" w:hAnsi="Arial"/>
        <w:color w:val="AAAAAA"/>
        <w:sz w:val="18"/>
        <w:szCs w:val="18"/>
      </w:rPr>
      <w:t xml:space="preserve">	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pBdr>
      <w:tabs>
        <w:tab w:val="right" w:pos="10080"/>
      </w:tabs>
      <w:spacing w:after="80"/>
    </w:pPr>
    <w:r>
      <w:rPr>
        <w:rFonts w:ascii="Arial" w:cs="Arial" w:eastAsia="Arial" w:hAnsi="Arial"/>
        <w:color w:val="888888"/>
        <w:sz w:val="18"/>
        <w:szCs w:val="18"/>
      </w:rPr>
      <w:t xml:space="preserve">Research Funding Proposal</w:t>
    </w:r>
    <w:r>
      <w:rPr>
        <w:sz w:val="18"/>
        <w:szCs w:val="18"/>
      </w:rPr>
      <w:t xml:space="preserve">	</w:t>
    </w:r>
    <w:r>
      <w:rPr>
        <w:rFonts w:ascii="Arial" w:cs="Arial" w:eastAsia="Arial" w:hAnsi="Arial"/>
        <w:i/>
        <w:iCs/>
        <w:color w:val="888888"/>
        <w:sz w:val="18"/>
        <w:szCs w:val="18"/>
      </w:rPr>
      <w:t xml:space="preserve">Heterogeneous GNN Field Theory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B3A6B"/>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2026-03-24T23:11:47.408Z</dcterms:created>
  <dcterms:modified xsi:type="dcterms:W3CDTF">2026-03-24T23:11:47.409Z</dcterms:modified>
</cp:coreProperties>
</file>

<file path=docProps/custom.xml><?xml version="1.0" encoding="utf-8"?>
<Properties xmlns="http://schemas.openxmlformats.org/officeDocument/2006/custom-properties" xmlns:vt="http://schemas.openxmlformats.org/officeDocument/2006/docPropsVTypes"/>
</file>