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E57A8" w14:textId="77777777" w:rsidR="006563FC" w:rsidRPr="006563FC" w:rsidRDefault="006563FC" w:rsidP="006563FC">
      <w:r w:rsidRPr="006563FC">
        <w:t>This updated manuscript is a comprehensive and technically rigorous treatment of bipartite graph neural networks in the context of Lattice Quantum Field Theory (QFT). The addition of the failure mode analysis for homogeneous architectures and the "Wilsonian" interpretation of the receptive field significantly strengthens the theoretical grounding of the work.</w:t>
      </w:r>
    </w:p>
    <w:p w14:paraId="4645AC36" w14:textId="77777777" w:rsidR="006563FC" w:rsidRPr="006563FC" w:rsidRDefault="006563FC" w:rsidP="006563FC">
      <w:r w:rsidRPr="006563FC">
        <w:t>Below is a refined review and feedback report based on this draft.</w:t>
      </w:r>
    </w:p>
    <w:p w14:paraId="79EC67D5" w14:textId="77777777" w:rsidR="006563FC" w:rsidRPr="006563FC" w:rsidRDefault="006563FC" w:rsidP="006563FC">
      <w:r w:rsidRPr="006563FC">
        <w:pict w14:anchorId="5BC48D76">
          <v:rect id="_x0000_i1055" style="width:0;height:1.5pt" o:hralign="center" o:hrstd="t" o:hrnoshade="t" o:hr="t" fillcolor="gray" stroked="f"/>
        </w:pict>
      </w:r>
    </w:p>
    <w:p w14:paraId="7D585CDF" w14:textId="77777777" w:rsidR="006563FC" w:rsidRPr="006563FC" w:rsidRDefault="006563FC" w:rsidP="006563FC">
      <w:pPr>
        <w:rPr>
          <w:b/>
          <w:bCs/>
        </w:rPr>
      </w:pPr>
      <w:r w:rsidRPr="006563FC">
        <w:rPr>
          <w:b/>
          <w:bCs/>
        </w:rPr>
        <w:t>Manuscript Review Report</w:t>
      </w:r>
    </w:p>
    <w:p w14:paraId="41EFD903" w14:textId="77777777" w:rsidR="006563FC" w:rsidRPr="006563FC" w:rsidRDefault="006563FC" w:rsidP="006563FC">
      <w:r w:rsidRPr="006563FC">
        <w:rPr>
          <w:b/>
          <w:bCs/>
        </w:rPr>
        <w:t>Date:</w:t>
      </w:r>
      <w:r w:rsidRPr="006563FC">
        <w:t xml:space="preserve"> March 28, 2026</w:t>
      </w:r>
    </w:p>
    <w:p w14:paraId="296527A0" w14:textId="77777777" w:rsidR="006563FC" w:rsidRPr="006563FC" w:rsidRDefault="006563FC" w:rsidP="006563FC">
      <w:r w:rsidRPr="006563FC">
        <w:rPr>
          <w:b/>
          <w:bCs/>
        </w:rPr>
        <w:t>Title:</w:t>
      </w:r>
      <w:r w:rsidRPr="006563FC">
        <w:t xml:space="preserve"> Heterogeneous Bipartite Graph Neural Networks for Lattice Quantum Field Theory</w:t>
      </w:r>
    </w:p>
    <w:p w14:paraId="28ADEF4E" w14:textId="77777777" w:rsidR="006563FC" w:rsidRPr="006563FC" w:rsidRDefault="006563FC" w:rsidP="006563FC">
      <w:r w:rsidRPr="006563FC">
        <w:pict w14:anchorId="1E73D39E">
          <v:rect id="_x0000_i1056" style="width:0;height:1.5pt" o:hralign="center" o:hrstd="t" o:hrnoshade="t" o:hr="t" fillcolor="gray" stroked="f"/>
        </w:pict>
      </w:r>
    </w:p>
    <w:p w14:paraId="33C2566F" w14:textId="77777777" w:rsidR="006563FC" w:rsidRPr="006563FC" w:rsidRDefault="006563FC" w:rsidP="006563FC">
      <w:pPr>
        <w:rPr>
          <w:b/>
          <w:bCs/>
        </w:rPr>
      </w:pPr>
      <w:r w:rsidRPr="006563FC">
        <w:rPr>
          <w:b/>
          <w:bCs/>
        </w:rPr>
        <w:t>1. Core Contributions &amp; Strengths</w:t>
      </w:r>
    </w:p>
    <w:p w14:paraId="417AA4A9" w14:textId="77777777" w:rsidR="006563FC" w:rsidRPr="006563FC" w:rsidRDefault="006563FC" w:rsidP="006563FC">
      <w:pPr>
        <w:rPr>
          <w:b/>
          <w:bCs/>
        </w:rPr>
      </w:pPr>
      <w:r w:rsidRPr="006563FC">
        <w:rPr>
          <w:b/>
          <w:bCs/>
        </w:rPr>
        <w:t>Architectural Innovation</w:t>
      </w:r>
    </w:p>
    <w:p w14:paraId="190BB40D" w14:textId="77777777" w:rsidR="006563FC" w:rsidRPr="006563FC" w:rsidRDefault="006563FC" w:rsidP="006563FC">
      <w:pPr>
        <w:numPr>
          <w:ilvl w:val="0"/>
          <w:numId w:val="1"/>
        </w:numPr>
      </w:pPr>
      <w:r w:rsidRPr="006563FC">
        <w:rPr>
          <w:b/>
          <w:bCs/>
        </w:rPr>
        <w:t>Separation of Concerns:</w:t>
      </w:r>
      <w:r w:rsidRPr="006563FC">
        <w:t xml:space="preserve"> The bipartite structure effectively mirrors the continuum action $</w:t>
      </w:r>
      <w:proofErr w:type="gramStart"/>
      <w:r w:rsidRPr="006563FC">
        <w:t>S[</w:t>
      </w:r>
      <w:proofErr w:type="gramEnd"/>
      <w:r w:rsidRPr="006563FC">
        <w:t xml:space="preserve">\phi, </w:t>
      </w:r>
      <w:proofErr w:type="gramStart"/>
      <w:r w:rsidRPr="006563FC">
        <w:t>g]$</w:t>
      </w:r>
      <w:proofErr w:type="gramEnd"/>
      <w:r w:rsidRPr="006563FC">
        <w:t xml:space="preserve"> by treating spacetime as a discrete base manifold and fields as sections of an associated fiber bundle.</w:t>
      </w:r>
    </w:p>
    <w:p w14:paraId="7107033A" w14:textId="77777777" w:rsidR="006563FC" w:rsidRPr="006563FC" w:rsidRDefault="006563FC" w:rsidP="006563FC">
      <w:pPr>
        <w:numPr>
          <w:ilvl w:val="0"/>
          <w:numId w:val="1"/>
        </w:numPr>
      </w:pPr>
      <w:r w:rsidRPr="006563FC">
        <w:rPr>
          <w:b/>
          <w:bCs/>
        </w:rPr>
        <w:t>Message-Passing Protocol:</w:t>
      </w:r>
      <w:r w:rsidRPr="006563FC">
        <w:t xml:space="preserve"> The three-stage protocol (Field $\to$ Spacetime, Spacetime $\to$ Spacetime, Spacetime $\to$ Field) is a logical and physically intuitive way to handle geometry-matter coupling.</w:t>
      </w:r>
    </w:p>
    <w:p w14:paraId="3513C43A" w14:textId="77777777" w:rsidR="006563FC" w:rsidRPr="006563FC" w:rsidRDefault="006563FC" w:rsidP="006563FC">
      <w:pPr>
        <w:numPr>
          <w:ilvl w:val="0"/>
          <w:numId w:val="1"/>
        </w:numPr>
      </w:pPr>
      <w:r w:rsidRPr="006563FC">
        <w:rPr>
          <w:b/>
          <w:bCs/>
        </w:rPr>
        <w:t>Structural Stability:</w:t>
      </w:r>
      <w:r w:rsidRPr="006563FC">
        <w:t xml:space="preserve"> A major finding in this draft is the "failure mode" of homogeneous GNNs, which require skip connections to prevent message passing from "destroying" the field signal. The bipartite architecture's ability to avoid this by construction is a powerful argument for its adoption.</w:t>
      </w:r>
    </w:p>
    <w:p w14:paraId="525BBE29" w14:textId="77777777" w:rsidR="006563FC" w:rsidRPr="006563FC" w:rsidRDefault="006563FC" w:rsidP="006563FC">
      <w:pPr>
        <w:rPr>
          <w:b/>
          <w:bCs/>
        </w:rPr>
      </w:pPr>
      <w:r w:rsidRPr="006563FC">
        <w:rPr>
          <w:b/>
          <w:bCs/>
        </w:rPr>
        <w:t>Empirical Rigor</w:t>
      </w:r>
    </w:p>
    <w:p w14:paraId="249B039D" w14:textId="77777777" w:rsidR="006563FC" w:rsidRPr="006563FC" w:rsidRDefault="006563FC" w:rsidP="006563FC">
      <w:pPr>
        <w:numPr>
          <w:ilvl w:val="0"/>
          <w:numId w:val="2"/>
        </w:numPr>
      </w:pPr>
      <w:r w:rsidRPr="006563FC">
        <w:rPr>
          <w:b/>
          <w:bCs/>
        </w:rPr>
        <w:t>Near-Perfect Regression:</w:t>
      </w:r>
      <w:r w:rsidRPr="006563FC">
        <w:t xml:space="preserve"> The model achieves a Pearson correlation of $r = 0.99998$ and a relative error of $0.04\%$ on the $16 \times 16$ lattice, significantly outperforming convolutional and MLP baselines.</w:t>
      </w:r>
    </w:p>
    <w:p w14:paraId="69E653E8" w14:textId="77777777" w:rsidR="006563FC" w:rsidRPr="006563FC" w:rsidRDefault="006563FC" w:rsidP="006563FC">
      <w:pPr>
        <w:numPr>
          <w:ilvl w:val="0"/>
          <w:numId w:val="2"/>
        </w:numPr>
      </w:pPr>
      <w:r w:rsidRPr="006563FC">
        <w:rPr>
          <w:b/>
          <w:bCs/>
        </w:rPr>
        <w:t>Physics Consistency:</w:t>
      </w:r>
      <w:r w:rsidRPr="006563FC">
        <w:t xml:space="preserve"> The reproduction of the Ising universality class's finite-size scaling behavior—specifically the susceptibility peaks and correlation </w:t>
      </w:r>
      <w:proofErr w:type="gramStart"/>
      <w:r w:rsidRPr="006563FC">
        <w:t>length crossing—</w:t>
      </w:r>
      <w:proofErr w:type="gramEnd"/>
      <w:r w:rsidRPr="006563FC">
        <w:t>demonstrates that the network is learning the underlying physics rather than just statistical correlations.</w:t>
      </w:r>
    </w:p>
    <w:p w14:paraId="442DDC20" w14:textId="77777777" w:rsidR="006563FC" w:rsidRPr="006563FC" w:rsidRDefault="006563FC" w:rsidP="006563FC">
      <w:r w:rsidRPr="006563FC">
        <w:lastRenderedPageBreak/>
        <w:pict w14:anchorId="5C8A0F84">
          <v:rect id="_x0000_i1057" style="width:0;height:1.5pt" o:hralign="center" o:hrstd="t" o:hrnoshade="t" o:hr="t" fillcolor="gray" stroked="f"/>
        </w:pict>
      </w:r>
    </w:p>
    <w:p w14:paraId="2E62803B" w14:textId="77777777" w:rsidR="006563FC" w:rsidRPr="006563FC" w:rsidRDefault="006563FC" w:rsidP="006563FC">
      <w:pPr>
        <w:rPr>
          <w:b/>
          <w:bCs/>
        </w:rPr>
      </w:pPr>
      <w:r w:rsidRPr="006563FC">
        <w:rPr>
          <w:b/>
          <w:bCs/>
        </w:rPr>
        <w:t>2. Critical Feedback &amp; Recommendations</w:t>
      </w:r>
    </w:p>
    <w:p w14:paraId="13DE31A6" w14:textId="77777777" w:rsidR="006563FC" w:rsidRPr="006563FC" w:rsidRDefault="006563FC" w:rsidP="006563FC">
      <w:pPr>
        <w:rPr>
          <w:b/>
          <w:bCs/>
        </w:rPr>
      </w:pPr>
      <w:r w:rsidRPr="006563FC">
        <w:rPr>
          <w:b/>
          <w:bCs/>
        </w:rPr>
        <w:t>A. Interpretation of the Receptive Field</w:t>
      </w:r>
    </w:p>
    <w:p w14:paraId="4E237B74" w14:textId="77777777" w:rsidR="006563FC" w:rsidRPr="006563FC" w:rsidRDefault="006563FC" w:rsidP="006563FC">
      <w:pPr>
        <w:numPr>
          <w:ilvl w:val="0"/>
          <w:numId w:val="3"/>
        </w:numPr>
      </w:pPr>
      <w:r w:rsidRPr="006563FC">
        <w:rPr>
          <w:b/>
          <w:bCs/>
        </w:rPr>
        <w:t>The "Wilsonian" Analogy:</w:t>
      </w:r>
      <w:r w:rsidRPr="006563FC">
        <w:t xml:space="preserve"> The interpretation of the $B=3$ block limit as an effective momentum cutoff $\Lambda \sim 1/(Ba)$ is an excellent addition.</w:t>
      </w:r>
    </w:p>
    <w:p w14:paraId="4243FC4A" w14:textId="77777777" w:rsidR="006563FC" w:rsidRPr="006563FC" w:rsidRDefault="006563FC" w:rsidP="006563FC">
      <w:pPr>
        <w:numPr>
          <w:ilvl w:val="0"/>
          <w:numId w:val="3"/>
        </w:numPr>
      </w:pPr>
      <w:r w:rsidRPr="006563FC">
        <w:rPr>
          <w:b/>
          <w:bCs/>
        </w:rPr>
        <w:t>Recommendation:</w:t>
      </w:r>
      <w:r w:rsidRPr="006563FC">
        <w:t xml:space="preserve"> In Section V (Discussion), it would be beneficial to explicitly discuss how this cutoff might affect the study of higher-order operators or non-local observables (like Wilson loops in gauge theories). If the relevant physics occurs at scales $\xi \gg Ba$, the model's accuracy naturally degrades.</w:t>
      </w:r>
    </w:p>
    <w:p w14:paraId="453272FB" w14:textId="77777777" w:rsidR="006563FC" w:rsidRPr="006563FC" w:rsidRDefault="006563FC" w:rsidP="006563FC">
      <w:pPr>
        <w:rPr>
          <w:b/>
          <w:bCs/>
        </w:rPr>
      </w:pPr>
      <w:r w:rsidRPr="006563FC">
        <w:rPr>
          <w:b/>
          <w:bCs/>
        </w:rPr>
        <w:t>B. Sampling Limitations &amp; Statistical Power</w:t>
      </w:r>
    </w:p>
    <w:p w14:paraId="3B71E7B1" w14:textId="77777777" w:rsidR="006563FC" w:rsidRPr="006563FC" w:rsidRDefault="006563FC" w:rsidP="006563FC">
      <w:pPr>
        <w:numPr>
          <w:ilvl w:val="0"/>
          <w:numId w:val="4"/>
        </w:numPr>
      </w:pPr>
      <w:r w:rsidRPr="006563FC">
        <w:rPr>
          <w:b/>
          <w:bCs/>
        </w:rPr>
        <w:t>Uncertainty in $\nu$:</w:t>
      </w:r>
      <w:r w:rsidRPr="006563FC">
        <w:t xml:space="preserve"> The result $\nu = 1.1 \pm 0.8$ is consistent with the exact value ($\nu=1$), but the large uncertainty is a notable weak point.</w:t>
      </w:r>
    </w:p>
    <w:p w14:paraId="1BD24958" w14:textId="77777777" w:rsidR="006563FC" w:rsidRPr="006563FC" w:rsidRDefault="006563FC" w:rsidP="006563FC">
      <w:pPr>
        <w:numPr>
          <w:ilvl w:val="0"/>
          <w:numId w:val="4"/>
        </w:numPr>
      </w:pPr>
      <w:r w:rsidRPr="006563FC">
        <w:rPr>
          <w:b/>
          <w:bCs/>
        </w:rPr>
        <w:t>Recommendation:</w:t>
      </w:r>
      <w:r w:rsidRPr="006563FC">
        <w:t xml:space="preserve"> While the manuscript correctly identifies critical slowing down in the local Metropolis algorithm as the bottleneck, a reviewer might ask why a cluster algorithm wasn't used for the final validation. Adding a sentence clarifying that the goal was to demonstrate the </w:t>
      </w:r>
      <w:r w:rsidRPr="006563FC">
        <w:rPr>
          <w:i/>
          <w:iCs/>
        </w:rPr>
        <w:t>GNN's</w:t>
      </w:r>
      <w:r w:rsidRPr="006563FC">
        <w:t xml:space="preserve"> performance under standard sampling conditions—rather than producing a new precision measurement of $\nu$—is a good preemptive move.</w:t>
      </w:r>
    </w:p>
    <w:p w14:paraId="6D5478DA" w14:textId="77777777" w:rsidR="006563FC" w:rsidRPr="006563FC" w:rsidRDefault="006563FC" w:rsidP="006563FC">
      <w:pPr>
        <w:rPr>
          <w:b/>
          <w:bCs/>
        </w:rPr>
      </w:pPr>
      <w:r w:rsidRPr="006563FC">
        <w:rPr>
          <w:b/>
          <w:bCs/>
        </w:rPr>
        <w:t>C. Generalization to Criticality</w:t>
      </w:r>
    </w:p>
    <w:p w14:paraId="5CAD32C3" w14:textId="77777777" w:rsidR="006563FC" w:rsidRPr="006563FC" w:rsidRDefault="006563FC" w:rsidP="006563FC">
      <w:pPr>
        <w:numPr>
          <w:ilvl w:val="0"/>
          <w:numId w:val="5"/>
        </w:numPr>
      </w:pPr>
      <w:r w:rsidRPr="006563FC">
        <w:rPr>
          <w:b/>
          <w:bCs/>
        </w:rPr>
        <w:t>Coupling Sweep:</w:t>
      </w:r>
      <w:r w:rsidRPr="006563FC">
        <w:t xml:space="preserve"> The model's performance drops to $r = 0.5846$ when evaluated at $m^2 = -2.0$ (near the critical region $m_c^2 \</w:t>
      </w:r>
      <w:proofErr w:type="spellStart"/>
      <w:r w:rsidRPr="006563FC">
        <w:t>approx</w:t>
      </w:r>
      <w:proofErr w:type="spellEnd"/>
      <w:r w:rsidRPr="006563FC">
        <w:t xml:space="preserve"> -2.45$).</w:t>
      </w:r>
    </w:p>
    <w:p w14:paraId="7B814E82" w14:textId="77777777" w:rsidR="006563FC" w:rsidRPr="006563FC" w:rsidRDefault="006563FC" w:rsidP="006563FC">
      <w:pPr>
        <w:numPr>
          <w:ilvl w:val="0"/>
          <w:numId w:val="5"/>
        </w:numPr>
      </w:pPr>
      <w:r w:rsidRPr="006563FC">
        <w:rPr>
          <w:b/>
          <w:bCs/>
        </w:rPr>
        <w:t>Recommendation:</w:t>
      </w:r>
      <w:r w:rsidRPr="006563FC">
        <w:t xml:space="preserve"> Mentioning that training on a "mixture of couplings" would extend this range is a good start. It would be even stronger to suggest that future iterations could include the coupling $m^2$ itself as a global feature or a spacetime node property to improve this extrapolation.</w:t>
      </w:r>
    </w:p>
    <w:p w14:paraId="2AADD21B" w14:textId="77777777" w:rsidR="006563FC" w:rsidRPr="006563FC" w:rsidRDefault="006563FC" w:rsidP="006563FC">
      <w:r w:rsidRPr="006563FC">
        <w:pict w14:anchorId="378220DB">
          <v:rect id="_x0000_i1058" style="width:0;height:1.5pt" o:hralign="center" o:hrstd="t" o:hrnoshade="t" o:hr="t" fillcolor="gray" stroked="f"/>
        </w:pict>
      </w:r>
    </w:p>
    <w:p w14:paraId="69621977" w14:textId="77777777" w:rsidR="006563FC" w:rsidRPr="006563FC" w:rsidRDefault="006563FC" w:rsidP="006563FC">
      <w:pPr>
        <w:rPr>
          <w:b/>
          <w:bCs/>
        </w:rPr>
      </w:pPr>
      <w:r w:rsidRPr="006563FC">
        <w:rPr>
          <w:b/>
          <w:bCs/>
        </w:rPr>
        <w:t>3. Technical Notes &amp; Presentation</w:t>
      </w:r>
    </w:p>
    <w:p w14:paraId="7377EB41" w14:textId="77777777" w:rsidR="006563FC" w:rsidRPr="006563FC" w:rsidRDefault="006563FC" w:rsidP="006563FC">
      <w:pPr>
        <w:numPr>
          <w:ilvl w:val="0"/>
          <w:numId w:val="6"/>
        </w:numPr>
      </w:pPr>
      <w:r w:rsidRPr="006563FC">
        <w:rPr>
          <w:b/>
          <w:bCs/>
        </w:rPr>
        <w:t>Figure 1 &amp; 2:</w:t>
      </w:r>
      <w:r w:rsidRPr="006563FC">
        <w:t xml:space="preserve"> These are clear and highly effective. Figure 1's depiction of "inhabits" vs. "adjacent" edges is central to understanding the </w:t>
      </w:r>
      <w:proofErr w:type="gramStart"/>
      <w:r w:rsidRPr="006563FC">
        <w:t>architecture .</w:t>
      </w:r>
      <w:proofErr w:type="gramEnd"/>
    </w:p>
    <w:p w14:paraId="5A891492" w14:textId="77777777" w:rsidR="006563FC" w:rsidRPr="006563FC" w:rsidRDefault="006563FC" w:rsidP="006563FC">
      <w:pPr>
        <w:numPr>
          <w:ilvl w:val="0"/>
          <w:numId w:val="6"/>
        </w:numPr>
      </w:pPr>
      <w:r w:rsidRPr="006563FC">
        <w:rPr>
          <w:b/>
          <w:bCs/>
        </w:rPr>
        <w:lastRenderedPageBreak/>
        <w:t>Table III:</w:t>
      </w:r>
      <w:r w:rsidRPr="006563FC">
        <w:t xml:space="preserve"> The "graceful degradation" of generalization is well-documented. For the final version, consider a small plot visualizing this table to emphasize the range over which the "transferable functional" is valid.</w:t>
      </w:r>
    </w:p>
    <w:p w14:paraId="57E71DE6" w14:textId="77777777" w:rsidR="006563FC" w:rsidRPr="006563FC" w:rsidRDefault="006563FC" w:rsidP="006563FC">
      <w:r w:rsidRPr="006563FC">
        <w:pict w14:anchorId="16334C99">
          <v:rect id="_x0000_i1059" style="width:0;height:1.5pt" o:hralign="center" o:hrstd="t" o:hrnoshade="t" o:hr="t" fillcolor="gray" stroked="f"/>
        </w:pict>
      </w:r>
    </w:p>
    <w:p w14:paraId="5872D9DE" w14:textId="77777777" w:rsidR="006563FC" w:rsidRPr="006563FC" w:rsidRDefault="006563FC" w:rsidP="006563FC">
      <w:pPr>
        <w:rPr>
          <w:b/>
          <w:bCs/>
        </w:rPr>
      </w:pPr>
      <w:r w:rsidRPr="006563FC">
        <w:rPr>
          <w:b/>
          <w:bCs/>
        </w:rPr>
        <w:t>Final Verdict</w:t>
      </w:r>
    </w:p>
    <w:p w14:paraId="491D0745" w14:textId="77777777" w:rsidR="006563FC" w:rsidRPr="006563FC" w:rsidRDefault="006563FC" w:rsidP="006563FC">
      <w:r w:rsidRPr="006563FC">
        <w:t xml:space="preserve">This draft is highly sophisticated. The shift from a simple architecture demonstration to a deeper investigation of </w:t>
      </w:r>
      <w:r w:rsidRPr="006563FC">
        <w:rPr>
          <w:i/>
          <w:iCs/>
        </w:rPr>
        <w:t>why</w:t>
      </w:r>
      <w:r w:rsidRPr="006563FC">
        <w:t xml:space="preserve"> this architecture works (the failure of homogeneous models and the Wilsonian interpretation) elevates the paper's impact significantly.</w:t>
      </w:r>
    </w:p>
    <w:p w14:paraId="79ACB1F0" w14:textId="77777777" w:rsidR="006563FC" w:rsidRPr="006563FC" w:rsidRDefault="006563FC" w:rsidP="006563FC">
      <w:r w:rsidRPr="006563FC">
        <w:rPr>
          <w:b/>
          <w:bCs/>
        </w:rPr>
        <w:t>You can copy this text into any document editor and save it as a PDF for your records.</w:t>
      </w:r>
    </w:p>
    <w:p w14:paraId="71333627" w14:textId="77777777" w:rsidR="006563FC" w:rsidRPr="006563FC" w:rsidRDefault="006563FC" w:rsidP="006563FC">
      <w:r w:rsidRPr="006563FC">
        <w:rPr>
          <w:b/>
          <w:bCs/>
        </w:rPr>
        <w:t xml:space="preserve">Would you like to focus on expanding the Discussion section regarding gauge theory </w:t>
      </w:r>
      <w:proofErr w:type="gramStart"/>
      <w:r w:rsidRPr="006563FC">
        <w:rPr>
          <w:b/>
          <w:bCs/>
        </w:rPr>
        <w:t>extensions, or</w:t>
      </w:r>
      <w:proofErr w:type="gramEnd"/>
      <w:r w:rsidRPr="006563FC">
        <w:rPr>
          <w:b/>
          <w:bCs/>
        </w:rPr>
        <w:t xml:space="preserve"> perhaps refine the justification for the "architectural flexibility" mentioned in Section IV.E?</w:t>
      </w:r>
    </w:p>
    <w:p w14:paraId="217AAF0E" w14:textId="77777777" w:rsidR="006563FC" w:rsidRDefault="006563FC"/>
    <w:sectPr w:rsidR="006563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64FD"/>
    <w:multiLevelType w:val="multilevel"/>
    <w:tmpl w:val="FF5A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073F4"/>
    <w:multiLevelType w:val="multilevel"/>
    <w:tmpl w:val="5ACE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54860"/>
    <w:multiLevelType w:val="multilevel"/>
    <w:tmpl w:val="B1BA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8B7AEE"/>
    <w:multiLevelType w:val="multilevel"/>
    <w:tmpl w:val="B5B8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39339E"/>
    <w:multiLevelType w:val="multilevel"/>
    <w:tmpl w:val="E6A2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FA106B"/>
    <w:multiLevelType w:val="multilevel"/>
    <w:tmpl w:val="0564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937048">
    <w:abstractNumId w:val="4"/>
  </w:num>
  <w:num w:numId="2" w16cid:durableId="1154686958">
    <w:abstractNumId w:val="1"/>
  </w:num>
  <w:num w:numId="3" w16cid:durableId="1178425686">
    <w:abstractNumId w:val="3"/>
  </w:num>
  <w:num w:numId="4" w16cid:durableId="1244029937">
    <w:abstractNumId w:val="0"/>
  </w:num>
  <w:num w:numId="5" w16cid:durableId="266087100">
    <w:abstractNumId w:val="5"/>
  </w:num>
  <w:num w:numId="6" w16cid:durableId="1669424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3FC"/>
    <w:rsid w:val="002206A2"/>
    <w:rsid w:val="00656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22330"/>
  <w15:chartTrackingRefBased/>
  <w15:docId w15:val="{C3ABD402-36E8-4600-AB4C-E81A4D6DB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3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3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3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3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3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3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3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3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3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3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3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3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3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3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3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3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3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3FC"/>
    <w:rPr>
      <w:rFonts w:eastAsiaTheme="majorEastAsia" w:cstheme="majorBidi"/>
      <w:color w:val="272727" w:themeColor="text1" w:themeTint="D8"/>
    </w:rPr>
  </w:style>
  <w:style w:type="paragraph" w:styleId="Title">
    <w:name w:val="Title"/>
    <w:basedOn w:val="Normal"/>
    <w:next w:val="Normal"/>
    <w:link w:val="TitleChar"/>
    <w:uiPriority w:val="10"/>
    <w:qFormat/>
    <w:rsid w:val="006563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3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3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3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3FC"/>
    <w:pPr>
      <w:spacing w:before="160"/>
      <w:jc w:val="center"/>
    </w:pPr>
    <w:rPr>
      <w:i/>
      <w:iCs/>
      <w:color w:val="404040" w:themeColor="text1" w:themeTint="BF"/>
    </w:rPr>
  </w:style>
  <w:style w:type="character" w:customStyle="1" w:styleId="QuoteChar">
    <w:name w:val="Quote Char"/>
    <w:basedOn w:val="DefaultParagraphFont"/>
    <w:link w:val="Quote"/>
    <w:uiPriority w:val="29"/>
    <w:rsid w:val="006563FC"/>
    <w:rPr>
      <w:i/>
      <w:iCs/>
      <w:color w:val="404040" w:themeColor="text1" w:themeTint="BF"/>
    </w:rPr>
  </w:style>
  <w:style w:type="paragraph" w:styleId="ListParagraph">
    <w:name w:val="List Paragraph"/>
    <w:basedOn w:val="Normal"/>
    <w:uiPriority w:val="34"/>
    <w:qFormat/>
    <w:rsid w:val="006563FC"/>
    <w:pPr>
      <w:ind w:left="720"/>
      <w:contextualSpacing/>
    </w:pPr>
  </w:style>
  <w:style w:type="character" w:styleId="IntenseEmphasis">
    <w:name w:val="Intense Emphasis"/>
    <w:basedOn w:val="DefaultParagraphFont"/>
    <w:uiPriority w:val="21"/>
    <w:qFormat/>
    <w:rsid w:val="006563FC"/>
    <w:rPr>
      <w:i/>
      <w:iCs/>
      <w:color w:val="0F4761" w:themeColor="accent1" w:themeShade="BF"/>
    </w:rPr>
  </w:style>
  <w:style w:type="paragraph" w:styleId="IntenseQuote">
    <w:name w:val="Intense Quote"/>
    <w:basedOn w:val="Normal"/>
    <w:next w:val="Normal"/>
    <w:link w:val="IntenseQuoteChar"/>
    <w:uiPriority w:val="30"/>
    <w:qFormat/>
    <w:rsid w:val="006563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3FC"/>
    <w:rPr>
      <w:i/>
      <w:iCs/>
      <w:color w:val="0F4761" w:themeColor="accent1" w:themeShade="BF"/>
    </w:rPr>
  </w:style>
  <w:style w:type="character" w:styleId="IntenseReference">
    <w:name w:val="Intense Reference"/>
    <w:basedOn w:val="DefaultParagraphFont"/>
    <w:uiPriority w:val="32"/>
    <w:qFormat/>
    <w:rsid w:val="006563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659</Words>
  <Characters>3762</Characters>
  <Application>Microsoft Office Word</Application>
  <DocSecurity>0</DocSecurity>
  <Lines>31</Lines>
  <Paragraphs>8</Paragraphs>
  <ScaleCrop>false</ScaleCrop>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Brehm</dc:creator>
  <cp:keywords/>
  <dc:description/>
  <cp:lastModifiedBy>Joshua Brehm</cp:lastModifiedBy>
  <cp:revision>1</cp:revision>
  <dcterms:created xsi:type="dcterms:W3CDTF">2026-03-28T22:08:00Z</dcterms:created>
  <dcterms:modified xsi:type="dcterms:W3CDTF">2026-03-28T22:09:00Z</dcterms:modified>
</cp:coreProperties>
</file>