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615-905-1862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Planning, Risk Management &amp; Scalable Solution Design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Optimization, Continuous Improvement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Fonts w:ascii="Georgia" w:hAnsi="Georgia" w:eastAsia="Georgia" w:cs="Georgia"/>
          <w:bCs w:val="0"/>
          <w:i w:val="0"/>
          <w:color w:val="auto"/>
          <w:sz w:val="10"/>
          <w:szCs w:val="10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:u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Maxar Technologies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– Westminster, CO 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(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fka DigitalGlobe, Inc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 – Longmont, CO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4"/>
          <w:szCs w:val="24"/>
          <w:highlight w:val="none"/>
          <w:u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4"/>
          <w:szCs w:val="24"/>
          <w:highlight w:val="none"/>
          <w:u w:val="none"/>
        </w:rPr>
        <w:t xml:space="preserve">March 2006 – March 2025 </w:t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10"/>
          <w:szCs w:val="10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10"/>
          <w:szCs w:val="10"/>
          <w:highlight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10"/>
          <w:szCs w:val="10"/>
          <w:highlight w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July 2022 – March 2025)</w:t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 – July 2022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January 2017 –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October 2013 – January 2017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system and process improvements to enhance operational effectiveness using SAP, Salesforce, SaaS platforms, and internal tools.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905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(2006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7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7">
    <w:name w:val="Table Grid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 Light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>
    <w:name w:val="Heading 1"/>
    <w:basedOn w:val="951"/>
    <w:next w:val="951"/>
    <w:link w:val="9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4">
    <w:name w:val="Heading 2"/>
    <w:basedOn w:val="951"/>
    <w:next w:val="951"/>
    <w:link w:val="9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5">
    <w:name w:val="Heading 3"/>
    <w:basedOn w:val="951"/>
    <w:next w:val="951"/>
    <w:link w:val="9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6">
    <w:name w:val="Heading 4"/>
    <w:basedOn w:val="951"/>
    <w:next w:val="951"/>
    <w:link w:val="9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7">
    <w:name w:val="Heading 5"/>
    <w:basedOn w:val="951"/>
    <w:next w:val="951"/>
    <w:link w:val="9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8">
    <w:name w:val="Heading 6"/>
    <w:basedOn w:val="951"/>
    <w:next w:val="951"/>
    <w:link w:val="9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9">
    <w:name w:val="Heading 7"/>
    <w:basedOn w:val="951"/>
    <w:next w:val="951"/>
    <w:link w:val="9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0">
    <w:name w:val="Heading 8"/>
    <w:basedOn w:val="951"/>
    <w:next w:val="951"/>
    <w:link w:val="9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Heading 9"/>
    <w:basedOn w:val="951"/>
    <w:next w:val="951"/>
    <w:link w:val="9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2" w:default="1">
    <w:name w:val="Default Paragraph Font"/>
    <w:uiPriority w:val="1"/>
    <w:semiHidden/>
    <w:unhideWhenUsed/>
    <w:pPr>
      <w:pBdr/>
      <w:spacing/>
      <w:ind/>
    </w:pPr>
  </w:style>
  <w:style w:type="character" w:styleId="903">
    <w:name w:val="Heading 1 Char"/>
    <w:basedOn w:val="902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4">
    <w:name w:val="Heading 2 Char"/>
    <w:basedOn w:val="902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5">
    <w:name w:val="Heading 3 Char"/>
    <w:basedOn w:val="902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6">
    <w:name w:val="Heading 4 Char"/>
    <w:basedOn w:val="902"/>
    <w:link w:val="8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7">
    <w:name w:val="Heading 5 Char"/>
    <w:basedOn w:val="902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8">
    <w:name w:val="Heading 6 Char"/>
    <w:basedOn w:val="902"/>
    <w:link w:val="8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9">
    <w:name w:val="Heading 7 Char"/>
    <w:basedOn w:val="902"/>
    <w:link w:val="8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0">
    <w:name w:val="Heading 8 Char"/>
    <w:basedOn w:val="902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1">
    <w:name w:val="Heading 9 Char"/>
    <w:basedOn w:val="902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2">
    <w:name w:val="Title"/>
    <w:basedOn w:val="951"/>
    <w:next w:val="951"/>
    <w:link w:val="9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3">
    <w:name w:val="Title Char"/>
    <w:basedOn w:val="902"/>
    <w:link w:val="9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4">
    <w:name w:val="Subtitle"/>
    <w:basedOn w:val="951"/>
    <w:next w:val="951"/>
    <w:link w:val="9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5">
    <w:name w:val="Subtitle Char"/>
    <w:basedOn w:val="902"/>
    <w:link w:val="9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51"/>
    <w:next w:val="951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2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8">
    <w:name w:val="Intense Emphasis"/>
    <w:basedOn w:val="9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9">
    <w:name w:val="Intense Quote"/>
    <w:basedOn w:val="951"/>
    <w:next w:val="951"/>
    <w:link w:val="920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0">
    <w:name w:val="Intense Quote Char"/>
    <w:basedOn w:val="902"/>
    <w:link w:val="91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1">
    <w:name w:val="Intense Reference"/>
    <w:basedOn w:val="9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2">
    <w:name w:val="Subtle Emphasis"/>
    <w:basedOn w:val="9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02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02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Book Title"/>
    <w:basedOn w:val="9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7">
    <w:name w:val="Header"/>
    <w:basedOn w:val="951"/>
    <w:link w:val="9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8">
    <w:name w:val="Header Char"/>
    <w:link w:val="927"/>
    <w:uiPriority w:val="99"/>
    <w:pPr>
      <w:pBdr/>
      <w:spacing/>
      <w:ind/>
    </w:pPr>
  </w:style>
  <w:style w:type="paragraph" w:styleId="929">
    <w:name w:val="Footer"/>
    <w:basedOn w:val="951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Footer Char"/>
    <w:basedOn w:val="902"/>
    <w:link w:val="929"/>
    <w:uiPriority w:val="99"/>
    <w:pPr>
      <w:pBdr/>
      <w:spacing/>
      <w:ind/>
    </w:pPr>
  </w:style>
  <w:style w:type="paragraph" w:styleId="931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2">
    <w:name w:val="footnote text"/>
    <w:basedOn w:val="951"/>
    <w:link w:val="9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3">
    <w:name w:val="Footnote Text Char"/>
    <w:basedOn w:val="902"/>
    <w:link w:val="932"/>
    <w:uiPriority w:val="99"/>
    <w:semiHidden/>
    <w:pPr>
      <w:pBdr/>
      <w:spacing/>
      <w:ind/>
    </w:pPr>
    <w:rPr>
      <w:sz w:val="20"/>
      <w:szCs w:val="20"/>
    </w:rPr>
  </w:style>
  <w:style w:type="character" w:styleId="934">
    <w:name w:val="foot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935">
    <w:name w:val="endnote text"/>
    <w:basedOn w:val="951"/>
    <w:link w:val="9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6">
    <w:name w:val="Endnote Text Char"/>
    <w:basedOn w:val="902"/>
    <w:link w:val="935"/>
    <w:uiPriority w:val="99"/>
    <w:semiHidden/>
    <w:pPr>
      <w:pBdr/>
      <w:spacing/>
      <w:ind/>
    </w:pPr>
    <w:rPr>
      <w:sz w:val="20"/>
      <w:szCs w:val="20"/>
    </w:rPr>
  </w:style>
  <w:style w:type="character" w:styleId="937">
    <w:name w:val="end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character" w:styleId="938">
    <w:name w:val="Hyperlink"/>
    <w:basedOn w:val="9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9">
    <w:name w:val="FollowedHyperlink"/>
    <w:basedOn w:val="9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0">
    <w:name w:val="toc 1"/>
    <w:basedOn w:val="951"/>
    <w:next w:val="951"/>
    <w:uiPriority w:val="39"/>
    <w:unhideWhenUsed/>
    <w:pPr>
      <w:pBdr/>
      <w:spacing w:after="100"/>
      <w:ind/>
    </w:pPr>
  </w:style>
  <w:style w:type="paragraph" w:styleId="941">
    <w:name w:val="toc 2"/>
    <w:basedOn w:val="951"/>
    <w:next w:val="951"/>
    <w:uiPriority w:val="39"/>
    <w:unhideWhenUsed/>
    <w:pPr>
      <w:pBdr/>
      <w:spacing w:after="100"/>
      <w:ind w:left="220"/>
    </w:pPr>
  </w:style>
  <w:style w:type="paragraph" w:styleId="942">
    <w:name w:val="toc 3"/>
    <w:basedOn w:val="951"/>
    <w:next w:val="951"/>
    <w:uiPriority w:val="39"/>
    <w:unhideWhenUsed/>
    <w:pPr>
      <w:pBdr/>
      <w:spacing w:after="100"/>
      <w:ind w:left="440"/>
    </w:pPr>
  </w:style>
  <w:style w:type="paragraph" w:styleId="943">
    <w:name w:val="toc 4"/>
    <w:basedOn w:val="951"/>
    <w:next w:val="951"/>
    <w:uiPriority w:val="39"/>
    <w:unhideWhenUsed/>
    <w:pPr>
      <w:pBdr/>
      <w:spacing w:after="100"/>
      <w:ind w:left="660"/>
    </w:pPr>
  </w:style>
  <w:style w:type="paragraph" w:styleId="944">
    <w:name w:val="toc 5"/>
    <w:basedOn w:val="951"/>
    <w:next w:val="951"/>
    <w:uiPriority w:val="39"/>
    <w:unhideWhenUsed/>
    <w:pPr>
      <w:pBdr/>
      <w:spacing w:after="100"/>
      <w:ind w:left="880"/>
    </w:pPr>
  </w:style>
  <w:style w:type="paragraph" w:styleId="945">
    <w:name w:val="toc 6"/>
    <w:basedOn w:val="951"/>
    <w:next w:val="951"/>
    <w:uiPriority w:val="39"/>
    <w:unhideWhenUsed/>
    <w:pPr>
      <w:pBdr/>
      <w:spacing w:after="100"/>
      <w:ind w:left="1100"/>
    </w:pPr>
  </w:style>
  <w:style w:type="paragraph" w:styleId="946">
    <w:name w:val="toc 7"/>
    <w:basedOn w:val="951"/>
    <w:next w:val="951"/>
    <w:uiPriority w:val="39"/>
    <w:unhideWhenUsed/>
    <w:pPr>
      <w:pBdr/>
      <w:spacing w:after="100"/>
      <w:ind w:left="1320"/>
    </w:pPr>
  </w:style>
  <w:style w:type="paragraph" w:styleId="947">
    <w:name w:val="toc 8"/>
    <w:basedOn w:val="951"/>
    <w:next w:val="951"/>
    <w:uiPriority w:val="39"/>
    <w:unhideWhenUsed/>
    <w:pPr>
      <w:pBdr/>
      <w:spacing w:after="100"/>
      <w:ind w:left="1540"/>
    </w:pPr>
  </w:style>
  <w:style w:type="paragraph" w:styleId="948">
    <w:name w:val="toc 9"/>
    <w:basedOn w:val="951"/>
    <w:next w:val="951"/>
    <w:uiPriority w:val="39"/>
    <w:unhideWhenUsed/>
    <w:pPr>
      <w:pBdr/>
      <w:spacing w:after="100"/>
      <w:ind w:left="1760"/>
    </w:pPr>
  </w:style>
  <w:style w:type="paragraph" w:styleId="949">
    <w:name w:val="TOC Heading"/>
    <w:uiPriority w:val="39"/>
    <w:unhideWhenUsed/>
    <w:pPr>
      <w:pBdr/>
      <w:spacing/>
      <w:ind/>
    </w:pPr>
  </w:style>
  <w:style w:type="paragraph" w:styleId="950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paragraph" w:styleId="951" w:default="1">
    <w:name w:val="Normal"/>
    <w:qFormat/>
    <w:pPr>
      <w:pBdr/>
      <w:spacing/>
      <w:ind/>
    </w:pPr>
  </w:style>
  <w:style w:type="table" w:styleId="9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3" w:default="1">
    <w:name w:val="No List"/>
    <w:uiPriority w:val="99"/>
    <w:semiHidden/>
    <w:unhideWhenUsed/>
    <w:pPr>
      <w:pBdr/>
      <w:spacing/>
      <w:ind/>
    </w:pPr>
  </w:style>
  <w:style w:type="paragraph" w:styleId="954">
    <w:name w:val="No Spacing"/>
    <w:basedOn w:val="951"/>
    <w:uiPriority w:val="1"/>
    <w:qFormat/>
    <w:pPr>
      <w:pBdr/>
      <w:spacing w:after="0" w:line="240" w:lineRule="auto"/>
      <w:ind/>
    </w:pPr>
  </w:style>
  <w:style w:type="paragraph" w:styleId="955">
    <w:name w:val="List Paragraph"/>
    <w:basedOn w:val="951"/>
    <w:uiPriority w:val="34"/>
    <w:qFormat/>
    <w:pPr>
      <w:pBdr/>
      <w:spacing/>
      <w:ind w:left="720"/>
      <w:contextualSpacing w:val="true"/>
    </w:pPr>
  </w:style>
  <w:style w:type="character" w:styleId="956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23</cp:revision>
  <dcterms:modified xsi:type="dcterms:W3CDTF">2025-07-08T17:58:48Z</dcterms:modified>
</cp:coreProperties>
</file>