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469" w:rsidRPr="00001039" w:rsidRDefault="003D3469" w:rsidP="00E517B0">
      <w:pPr>
        <w:kinsoku w:val="0"/>
        <w:overflowPunct w:val="0"/>
        <w:spacing w:line="600" w:lineRule="exact"/>
        <w:jc w:val="center"/>
        <w:rPr>
          <w:rFonts w:eastAsia="標楷體" w:hAnsi="標楷體"/>
          <w:b/>
          <w:color w:val="000000" w:themeColor="text1"/>
          <w:sz w:val="28"/>
          <w:szCs w:val="36"/>
        </w:rPr>
      </w:pPr>
      <w:r w:rsidRPr="00001039">
        <w:rPr>
          <w:rFonts w:eastAsia="標楷體" w:hAnsi="標楷體"/>
          <w:b/>
          <w:color w:val="000000" w:themeColor="text1"/>
          <w:sz w:val="36"/>
          <w:szCs w:val="36"/>
        </w:rPr>
        <w:t>國立高雄科技大學</w:t>
      </w:r>
      <w:r w:rsidRPr="00001039">
        <w:rPr>
          <w:rFonts w:eastAsia="標楷體" w:hAnsi="標楷體" w:hint="eastAsia"/>
          <w:b/>
          <w:color w:val="000000" w:themeColor="text1"/>
          <w:sz w:val="36"/>
          <w:szCs w:val="36"/>
        </w:rPr>
        <w:t>實驗動物照護及使用</w:t>
      </w:r>
      <w:r w:rsidR="00C23754" w:rsidRPr="00001039">
        <w:rPr>
          <w:rFonts w:eastAsia="標楷體" w:hAnsi="標楷體" w:hint="eastAsia"/>
          <w:b/>
          <w:color w:val="000000" w:themeColor="text1"/>
          <w:sz w:val="36"/>
          <w:szCs w:val="36"/>
        </w:rPr>
        <w:t>委員會</w:t>
      </w:r>
      <w:r w:rsidRPr="00001039">
        <w:rPr>
          <w:rFonts w:eastAsia="標楷體" w:hAnsi="標楷體"/>
          <w:b/>
          <w:color w:val="000000" w:themeColor="text1"/>
          <w:sz w:val="36"/>
          <w:szCs w:val="36"/>
        </w:rPr>
        <w:t>設置要點</w:t>
      </w:r>
    </w:p>
    <w:p w:rsidR="003D3469" w:rsidRPr="00984984" w:rsidRDefault="00984984" w:rsidP="00E517B0">
      <w:pPr>
        <w:kinsoku w:val="0"/>
        <w:overflowPunct w:val="0"/>
        <w:snapToGrid w:val="0"/>
        <w:spacing w:beforeLines="50" w:before="180" w:line="280" w:lineRule="exact"/>
        <w:jc w:val="right"/>
        <w:rPr>
          <w:rFonts w:eastAsia="標楷體"/>
          <w:color w:val="000000" w:themeColor="text1"/>
        </w:rPr>
      </w:pPr>
      <w:r w:rsidRPr="00984984">
        <w:rPr>
          <w:rFonts w:eastAsiaTheme="minorEastAsia"/>
          <w:color w:val="000000" w:themeColor="text1"/>
        </w:rPr>
        <w:t>107</w:t>
      </w:r>
      <w:r w:rsidR="003D3469" w:rsidRPr="00984984">
        <w:rPr>
          <w:rFonts w:eastAsia="標楷體"/>
          <w:color w:val="000000" w:themeColor="text1"/>
        </w:rPr>
        <w:t>年</w:t>
      </w:r>
      <w:r w:rsidRPr="00984984">
        <w:rPr>
          <w:rFonts w:eastAsiaTheme="minorEastAsia"/>
          <w:color w:val="000000" w:themeColor="text1"/>
        </w:rPr>
        <w:t>9</w:t>
      </w:r>
      <w:r w:rsidR="003D3469" w:rsidRPr="00984984">
        <w:rPr>
          <w:rFonts w:eastAsia="標楷體"/>
          <w:color w:val="000000" w:themeColor="text1"/>
        </w:rPr>
        <w:t>月</w:t>
      </w:r>
      <w:r w:rsidRPr="00984984">
        <w:rPr>
          <w:rFonts w:eastAsiaTheme="minorEastAsia"/>
          <w:color w:val="000000" w:themeColor="text1"/>
        </w:rPr>
        <w:t>19</w:t>
      </w:r>
      <w:r w:rsidR="003D3469" w:rsidRPr="00984984">
        <w:rPr>
          <w:rFonts w:eastAsia="標楷體"/>
          <w:color w:val="000000" w:themeColor="text1"/>
        </w:rPr>
        <w:t>日</w:t>
      </w:r>
      <w:r w:rsidRPr="00984984">
        <w:rPr>
          <w:rFonts w:eastAsiaTheme="minorEastAsia"/>
          <w:color w:val="000000" w:themeColor="text1"/>
        </w:rPr>
        <w:t>107</w:t>
      </w:r>
      <w:r w:rsidR="00E517B0" w:rsidRPr="00984984">
        <w:rPr>
          <w:rFonts w:eastAsia="標楷體"/>
          <w:color w:val="000000" w:themeColor="text1"/>
        </w:rPr>
        <w:t>學年度第</w:t>
      </w:r>
      <w:r w:rsidRPr="00984984">
        <w:rPr>
          <w:rFonts w:eastAsiaTheme="minorEastAsia"/>
          <w:color w:val="000000" w:themeColor="text1"/>
        </w:rPr>
        <w:t>1</w:t>
      </w:r>
      <w:r w:rsidR="00E517B0" w:rsidRPr="00984984">
        <w:rPr>
          <w:rFonts w:eastAsia="標楷體"/>
          <w:color w:val="000000" w:themeColor="text1"/>
        </w:rPr>
        <w:t>次</w:t>
      </w:r>
      <w:r w:rsidR="003D3469" w:rsidRPr="00984984">
        <w:rPr>
          <w:rFonts w:eastAsia="標楷體"/>
          <w:color w:val="000000" w:themeColor="text1"/>
        </w:rPr>
        <w:t>行政會議通過</w:t>
      </w:r>
    </w:p>
    <w:p w:rsidR="000A0B09" w:rsidRPr="00001039" w:rsidRDefault="000A0B09" w:rsidP="0093636A">
      <w:pPr>
        <w:spacing w:beforeLines="50" w:before="180" w:afterLines="25" w:after="90" w:line="400" w:lineRule="exact"/>
        <w:ind w:left="560" w:hangingChars="200" w:hanging="560"/>
        <w:jc w:val="both"/>
        <w:rPr>
          <w:rFonts w:eastAsia="標楷體"/>
          <w:color w:val="000000" w:themeColor="text1"/>
          <w:sz w:val="28"/>
          <w:szCs w:val="28"/>
        </w:rPr>
      </w:pPr>
      <w:r w:rsidRPr="00001039">
        <w:rPr>
          <w:rFonts w:eastAsia="標楷體" w:hAnsi="標楷體"/>
          <w:color w:val="000000" w:themeColor="text1"/>
          <w:sz w:val="28"/>
          <w:szCs w:val="28"/>
        </w:rPr>
        <w:t>一、為妥善管理本校動物實驗之科學應用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，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維護相關之教學與研究水準，依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據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「動物保護法」之規定，成立「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實驗動物照護及使用委員會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」（以下簡稱本委員會）。</w:t>
      </w:r>
    </w:p>
    <w:p w:rsidR="000A0B09" w:rsidRPr="00001039" w:rsidRDefault="000A0B09" w:rsidP="0093636A">
      <w:pPr>
        <w:spacing w:beforeLines="50" w:before="180" w:afterLines="25" w:after="90" w:line="400" w:lineRule="exact"/>
        <w:ind w:left="560" w:hangingChars="200" w:hanging="560"/>
        <w:jc w:val="both"/>
        <w:rPr>
          <w:rFonts w:eastAsia="標楷體" w:hAnsi="標楷體"/>
          <w:color w:val="000000" w:themeColor="text1"/>
          <w:sz w:val="28"/>
          <w:szCs w:val="28"/>
        </w:rPr>
      </w:pPr>
      <w:r w:rsidRPr="00001039">
        <w:rPr>
          <w:rFonts w:eastAsia="標楷體" w:hAnsi="標楷體"/>
          <w:color w:val="000000" w:themeColor="text1"/>
          <w:sz w:val="28"/>
          <w:szCs w:val="28"/>
        </w:rPr>
        <w:t>二、本委員會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設委員</w:t>
      </w:r>
      <w:r w:rsidR="00E517B0" w:rsidRPr="00001039">
        <w:rPr>
          <w:rFonts w:eastAsia="標楷體" w:hAnsi="標楷體" w:hint="eastAsia"/>
          <w:color w:val="000000" w:themeColor="text1"/>
          <w:sz w:val="28"/>
          <w:szCs w:val="28"/>
        </w:rPr>
        <w:t>三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至</w:t>
      </w:r>
      <w:r w:rsidR="00E517B0" w:rsidRPr="00001039">
        <w:rPr>
          <w:rFonts w:eastAsia="標楷體" w:hAnsi="標楷體" w:hint="eastAsia"/>
          <w:color w:val="000000" w:themeColor="text1"/>
          <w:sz w:val="28"/>
          <w:szCs w:val="28"/>
        </w:rPr>
        <w:t>七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名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，由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楠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梓校區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水圈學院院長與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第一校區工學院院長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合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議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推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薦從事動物實驗相關之教師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人選</w:t>
      </w:r>
      <w:r w:rsidR="00E517B0" w:rsidRPr="00001039">
        <w:rPr>
          <w:rFonts w:eastAsia="標楷體" w:hAnsi="標楷體" w:hint="eastAsia"/>
          <w:color w:val="000000" w:themeColor="text1"/>
          <w:sz w:val="28"/>
          <w:szCs w:val="28"/>
        </w:rPr>
        <w:t>三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至</w:t>
      </w:r>
      <w:r w:rsidR="00E517B0" w:rsidRPr="00001039">
        <w:rPr>
          <w:rFonts w:eastAsia="標楷體" w:hAnsi="標楷體" w:hint="eastAsia"/>
          <w:color w:val="000000" w:themeColor="text1"/>
          <w:sz w:val="28"/>
          <w:szCs w:val="28"/>
        </w:rPr>
        <w:t>七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名，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其中應包括獸醫師</w:t>
      </w:r>
      <w:r w:rsidR="00E517B0" w:rsidRPr="00001039">
        <w:rPr>
          <w:rFonts w:eastAsia="標楷體" w:hAnsi="標楷體" w:hint="eastAsia"/>
          <w:color w:val="000000" w:themeColor="text1"/>
          <w:sz w:val="28"/>
          <w:szCs w:val="28"/>
        </w:rPr>
        <w:t>一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名及非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隸屬本校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之人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士（以下簡稱外部委員）</w:t>
      </w:r>
      <w:r w:rsidR="00E517B0" w:rsidRPr="00001039">
        <w:rPr>
          <w:rFonts w:eastAsia="標楷體" w:hAnsi="標楷體" w:hint="eastAsia"/>
          <w:color w:val="000000" w:themeColor="text1"/>
          <w:sz w:val="28"/>
          <w:szCs w:val="28"/>
        </w:rPr>
        <w:t>一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名，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並由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校長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遴聘擔任之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。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校內委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員為無給職，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但獸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醫師及外部委員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得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支領出席費及交通費，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委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員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任期</w:t>
      </w:r>
      <w:r w:rsidR="00E517B0" w:rsidRPr="00001039">
        <w:rPr>
          <w:rFonts w:eastAsia="標楷體" w:hAnsi="標楷體" w:hint="eastAsia"/>
          <w:color w:val="000000" w:themeColor="text1"/>
          <w:sz w:val="28"/>
          <w:szCs w:val="28"/>
        </w:rPr>
        <w:t>二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年，得連任。</w:t>
      </w:r>
    </w:p>
    <w:p w:rsidR="000A0B09" w:rsidRPr="00001039" w:rsidRDefault="000A0B09" w:rsidP="0093636A">
      <w:pPr>
        <w:kinsoku w:val="0"/>
        <w:overflowPunct w:val="0"/>
        <w:snapToGrid w:val="0"/>
        <w:spacing w:afterLines="25" w:after="90" w:line="400" w:lineRule="exact"/>
        <w:ind w:leftChars="225" w:left="540"/>
        <w:jc w:val="both"/>
        <w:rPr>
          <w:rFonts w:eastAsia="標楷體" w:hAnsi="標楷體"/>
          <w:color w:val="000000" w:themeColor="text1"/>
          <w:sz w:val="28"/>
          <w:szCs w:val="28"/>
        </w:rPr>
      </w:pP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前項之外部委員，應優先由非動物實驗研究背景者擔任，且不得具獸醫師資格。</w:t>
      </w:r>
    </w:p>
    <w:p w:rsidR="000A0B09" w:rsidRPr="00001039" w:rsidRDefault="000A0B09" w:rsidP="0093636A">
      <w:pPr>
        <w:kinsoku w:val="0"/>
        <w:overflowPunct w:val="0"/>
        <w:snapToGrid w:val="0"/>
        <w:spacing w:afterLines="25" w:after="90" w:line="400" w:lineRule="exact"/>
        <w:ind w:leftChars="225" w:left="540"/>
        <w:jc w:val="both"/>
        <w:rPr>
          <w:rFonts w:eastAsia="標楷體" w:hAnsi="標楷體"/>
          <w:color w:val="000000" w:themeColor="text1"/>
          <w:sz w:val="28"/>
          <w:szCs w:val="28"/>
        </w:rPr>
      </w:pP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本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委員會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主任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委員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與召集人由校長擔任，或校長指定副校長一人擔任。</w:t>
      </w:r>
    </w:p>
    <w:p w:rsidR="000A0B09" w:rsidRPr="00001039" w:rsidRDefault="000A0B09" w:rsidP="0093636A">
      <w:pPr>
        <w:kinsoku w:val="0"/>
        <w:overflowPunct w:val="0"/>
        <w:snapToGrid w:val="0"/>
        <w:spacing w:afterLines="25" w:after="90" w:line="400" w:lineRule="exact"/>
        <w:ind w:leftChars="225" w:left="540"/>
        <w:jc w:val="both"/>
        <w:rPr>
          <w:rFonts w:eastAsia="標楷體" w:hAnsi="標楷體"/>
          <w:color w:val="000000" w:themeColor="text1"/>
          <w:sz w:val="28"/>
          <w:szCs w:val="28"/>
        </w:rPr>
      </w:pP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本委員會應置執行秘書一人，由經中央主管機關指定之動物實驗管理訓練十二小時以上，並取得合格證書之照護委員會成員兼任，負責第三條第一項各款任務之整合、協調及執行，並擔任照護委員會之聯絡窗口。</w:t>
      </w:r>
    </w:p>
    <w:p w:rsidR="000A0B09" w:rsidRPr="00001039" w:rsidRDefault="000A0B09" w:rsidP="0093636A">
      <w:pPr>
        <w:kinsoku w:val="0"/>
        <w:overflowPunct w:val="0"/>
        <w:snapToGrid w:val="0"/>
        <w:spacing w:afterLines="25" w:after="90" w:line="400" w:lineRule="exact"/>
        <w:ind w:leftChars="225" w:left="540"/>
        <w:jc w:val="both"/>
        <w:rPr>
          <w:rFonts w:eastAsia="標楷體" w:hAnsi="標楷體"/>
          <w:color w:val="000000" w:themeColor="text1"/>
          <w:sz w:val="28"/>
          <w:szCs w:val="28"/>
        </w:rPr>
      </w:pP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前項合格證書之有效期限，以三年為限。</w:t>
      </w:r>
    </w:p>
    <w:p w:rsidR="000A0B09" w:rsidRPr="00001039" w:rsidRDefault="000A0B09" w:rsidP="0093636A">
      <w:pPr>
        <w:kinsoku w:val="0"/>
        <w:overflowPunct w:val="0"/>
        <w:snapToGrid w:val="0"/>
        <w:spacing w:beforeLines="50" w:before="180" w:line="400" w:lineRule="exact"/>
        <w:jc w:val="both"/>
        <w:rPr>
          <w:rFonts w:eastAsia="標楷體" w:hAnsi="標楷體"/>
          <w:color w:val="000000" w:themeColor="text1"/>
          <w:sz w:val="28"/>
          <w:szCs w:val="28"/>
        </w:rPr>
      </w:pPr>
      <w:r w:rsidRPr="00001039">
        <w:rPr>
          <w:rFonts w:eastAsia="標楷體" w:hAnsi="標楷體"/>
          <w:color w:val="000000" w:themeColor="text1"/>
          <w:sz w:val="28"/>
          <w:szCs w:val="28"/>
        </w:rPr>
        <w:t>三、本委員會主要任務如下：</w:t>
      </w:r>
    </w:p>
    <w:p w:rsidR="000A0B09" w:rsidRPr="00001039" w:rsidRDefault="000A0B09" w:rsidP="000A0B09">
      <w:pPr>
        <w:kinsoku w:val="0"/>
        <w:overflowPunct w:val="0"/>
        <w:snapToGrid w:val="0"/>
        <w:spacing w:line="400" w:lineRule="exact"/>
        <w:ind w:leftChars="125" w:left="1140" w:hangingChars="300" w:hanging="840"/>
        <w:jc w:val="both"/>
        <w:rPr>
          <w:rFonts w:eastAsia="標楷體" w:hAnsi="標楷體"/>
          <w:color w:val="000000" w:themeColor="text1"/>
          <w:sz w:val="28"/>
          <w:szCs w:val="28"/>
        </w:rPr>
      </w:pPr>
      <w:r w:rsidRPr="00001039">
        <w:rPr>
          <w:rFonts w:eastAsia="標楷體" w:hAnsi="標楷體"/>
          <w:color w:val="000000" w:themeColor="text1"/>
          <w:sz w:val="28"/>
          <w:szCs w:val="28"/>
        </w:rPr>
        <w:t>（一）審查本校實驗動物之科學應用計畫。</w:t>
      </w:r>
    </w:p>
    <w:p w:rsidR="000A0B09" w:rsidRPr="00001039" w:rsidRDefault="000A0B09" w:rsidP="000A0B09">
      <w:pPr>
        <w:kinsoku w:val="0"/>
        <w:overflowPunct w:val="0"/>
        <w:snapToGrid w:val="0"/>
        <w:spacing w:line="400" w:lineRule="exact"/>
        <w:ind w:leftChars="125" w:left="1140" w:hangingChars="300" w:hanging="840"/>
        <w:jc w:val="both"/>
        <w:rPr>
          <w:rFonts w:eastAsia="標楷體" w:hAnsi="標楷體"/>
          <w:color w:val="000000" w:themeColor="text1"/>
          <w:sz w:val="28"/>
          <w:szCs w:val="28"/>
        </w:rPr>
      </w:pPr>
      <w:r w:rsidRPr="00001039">
        <w:rPr>
          <w:rFonts w:eastAsia="標楷體" w:hAnsi="標楷體"/>
          <w:color w:val="000000" w:themeColor="text1"/>
          <w:sz w:val="28"/>
          <w:szCs w:val="28"/>
        </w:rPr>
        <w:t>（二）提供本校有關動物實驗設計之科學應用諮詢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意見及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訓練計畫。</w:t>
      </w:r>
    </w:p>
    <w:p w:rsidR="000A0B09" w:rsidRPr="00001039" w:rsidRDefault="000A0B09" w:rsidP="000A0B09">
      <w:pPr>
        <w:kinsoku w:val="0"/>
        <w:overflowPunct w:val="0"/>
        <w:snapToGrid w:val="0"/>
        <w:spacing w:line="400" w:lineRule="exact"/>
        <w:ind w:leftChars="125" w:left="1140" w:hangingChars="300" w:hanging="840"/>
        <w:jc w:val="both"/>
        <w:rPr>
          <w:rFonts w:eastAsia="標楷體" w:hAnsi="標楷體"/>
          <w:color w:val="000000" w:themeColor="text1"/>
          <w:sz w:val="28"/>
          <w:szCs w:val="28"/>
        </w:rPr>
      </w:pPr>
      <w:r w:rsidRPr="00001039">
        <w:rPr>
          <w:rFonts w:eastAsia="標楷體" w:hAnsi="標楷體"/>
          <w:color w:val="000000" w:themeColor="text1"/>
          <w:sz w:val="28"/>
          <w:szCs w:val="28"/>
        </w:rPr>
        <w:t>（三）提供本校有關實驗動物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管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理標準作業程序及飼養設施之改善建議。</w:t>
      </w:r>
    </w:p>
    <w:p w:rsidR="000A0B09" w:rsidRPr="00001039" w:rsidRDefault="000A0B09" w:rsidP="000A0B09">
      <w:pPr>
        <w:kinsoku w:val="0"/>
        <w:overflowPunct w:val="0"/>
        <w:snapToGrid w:val="0"/>
        <w:spacing w:line="400" w:lineRule="exact"/>
        <w:ind w:leftChars="125" w:left="1140" w:hangingChars="300" w:hanging="840"/>
        <w:jc w:val="both"/>
        <w:rPr>
          <w:rFonts w:eastAsia="標楷體" w:hAnsi="標楷體"/>
          <w:color w:val="000000" w:themeColor="text1"/>
          <w:sz w:val="28"/>
          <w:szCs w:val="28"/>
        </w:rPr>
      </w:pPr>
      <w:r w:rsidRPr="00001039">
        <w:rPr>
          <w:rFonts w:eastAsia="標楷體" w:hAnsi="標楷體"/>
          <w:color w:val="000000" w:themeColor="text1"/>
          <w:sz w:val="28"/>
          <w:szCs w:val="28"/>
        </w:rPr>
        <w:t>（四）監督本校實驗動物之取得、飼養、管理及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是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否確依審核結果進行動物科學應用等行為。</w:t>
      </w:r>
    </w:p>
    <w:p w:rsidR="000A0B09" w:rsidRPr="00001039" w:rsidRDefault="000A0B09" w:rsidP="000A0B09">
      <w:pPr>
        <w:kinsoku w:val="0"/>
        <w:overflowPunct w:val="0"/>
        <w:snapToGrid w:val="0"/>
        <w:spacing w:line="400" w:lineRule="exact"/>
        <w:ind w:leftChars="125" w:left="1140" w:hangingChars="300" w:hanging="840"/>
        <w:jc w:val="both"/>
        <w:rPr>
          <w:rFonts w:eastAsia="標楷體" w:hAnsi="標楷體"/>
          <w:color w:val="000000" w:themeColor="text1"/>
          <w:sz w:val="28"/>
          <w:szCs w:val="28"/>
        </w:rPr>
      </w:pPr>
      <w:r w:rsidRPr="00001039">
        <w:rPr>
          <w:rFonts w:eastAsia="標楷體" w:hAnsi="標楷體"/>
          <w:color w:val="000000" w:themeColor="text1"/>
          <w:sz w:val="28"/>
          <w:szCs w:val="28"/>
        </w:rPr>
        <w:t>（五）提供本校年度執行實驗動物科學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應用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之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年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度監督報告。</w:t>
      </w:r>
    </w:p>
    <w:p w:rsidR="000A0B09" w:rsidRPr="00001039" w:rsidRDefault="000A0B09" w:rsidP="000A0B09">
      <w:pPr>
        <w:kinsoku w:val="0"/>
        <w:overflowPunct w:val="0"/>
        <w:snapToGrid w:val="0"/>
        <w:spacing w:line="400" w:lineRule="exact"/>
        <w:ind w:leftChars="125" w:left="1140" w:hangingChars="300" w:hanging="840"/>
        <w:jc w:val="both"/>
        <w:rPr>
          <w:rFonts w:eastAsia="標楷體" w:hAnsi="標楷體"/>
          <w:color w:val="000000" w:themeColor="text1"/>
          <w:sz w:val="28"/>
          <w:szCs w:val="28"/>
        </w:rPr>
      </w:pP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（六）每半年應依「行政院農業委員會」查核表實施內部查核一次，查核結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果應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列為年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度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監督報告之附件。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並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應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保存該查核結果六年以上備查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。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 xml:space="preserve"> </w:t>
      </w:r>
    </w:p>
    <w:p w:rsidR="000A0B09" w:rsidRPr="00001039" w:rsidRDefault="000A0B09" w:rsidP="000A0B09">
      <w:pPr>
        <w:kinsoku w:val="0"/>
        <w:overflowPunct w:val="0"/>
        <w:snapToGrid w:val="0"/>
        <w:spacing w:line="400" w:lineRule="exact"/>
        <w:ind w:leftChars="125" w:left="1140" w:hangingChars="300" w:hanging="840"/>
        <w:jc w:val="both"/>
        <w:rPr>
          <w:rFonts w:eastAsia="標楷體" w:hAnsi="標楷體"/>
          <w:color w:val="000000" w:themeColor="text1"/>
          <w:sz w:val="28"/>
          <w:szCs w:val="28"/>
        </w:rPr>
      </w:pP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（七）使用猿猴、犬、貓進行動物科學應用時，應先提送本委員會審核，審核通過之該等動物實驗申請表影本，並列為年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度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監督報告之附件。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 xml:space="preserve"> </w:t>
      </w:r>
    </w:p>
    <w:p w:rsidR="000A0B09" w:rsidRPr="00001039" w:rsidRDefault="000A0B09" w:rsidP="000A0B09">
      <w:pPr>
        <w:kinsoku w:val="0"/>
        <w:overflowPunct w:val="0"/>
        <w:snapToGrid w:val="0"/>
        <w:spacing w:line="400" w:lineRule="exact"/>
        <w:ind w:leftChars="125" w:left="1140" w:hangingChars="300" w:hanging="840"/>
        <w:jc w:val="both"/>
        <w:rPr>
          <w:rFonts w:eastAsia="標楷體" w:hAnsi="標楷體"/>
          <w:color w:val="000000" w:themeColor="text1"/>
          <w:sz w:val="28"/>
          <w:szCs w:val="28"/>
        </w:rPr>
      </w:pP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（八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）受理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本校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違反本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要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點相關規定之動物科學應用爭議案件。</w:t>
      </w:r>
    </w:p>
    <w:p w:rsidR="000A0B09" w:rsidRPr="00001039" w:rsidRDefault="000A0B09" w:rsidP="000A0B09">
      <w:pPr>
        <w:kinsoku w:val="0"/>
        <w:overflowPunct w:val="0"/>
        <w:snapToGrid w:val="0"/>
        <w:spacing w:line="400" w:lineRule="exact"/>
        <w:ind w:leftChars="125" w:left="1140" w:rightChars="-50" w:right="-120" w:hangingChars="300" w:hanging="840"/>
        <w:jc w:val="both"/>
        <w:rPr>
          <w:rFonts w:eastAsia="標楷體" w:hAnsi="標楷體"/>
          <w:color w:val="000000" w:themeColor="text1"/>
          <w:sz w:val="28"/>
          <w:szCs w:val="28"/>
        </w:rPr>
      </w:pP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（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九）依中央主管機關所定實驗動物照護及使用指引，督導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本校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之科學應用。</w:t>
      </w:r>
    </w:p>
    <w:p w:rsidR="000A0B09" w:rsidRPr="00001039" w:rsidRDefault="000A0B09" w:rsidP="000A0B09">
      <w:pPr>
        <w:kinsoku w:val="0"/>
        <w:overflowPunct w:val="0"/>
        <w:snapToGrid w:val="0"/>
        <w:spacing w:beforeLines="25" w:before="90" w:afterLines="25" w:after="90" w:line="400" w:lineRule="exact"/>
        <w:ind w:leftChars="225" w:left="540"/>
        <w:jc w:val="both"/>
        <w:rPr>
          <w:rFonts w:eastAsia="標楷體" w:hAnsi="標楷體"/>
          <w:color w:val="000000" w:themeColor="text1"/>
          <w:sz w:val="28"/>
          <w:szCs w:val="28"/>
        </w:rPr>
      </w:pP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前項第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五款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年度監督報告應於年度結束後三個月內報中央主管機關備查，並副知所屬直轄市或縣（市）主管機關。</w:t>
      </w:r>
    </w:p>
    <w:p w:rsidR="000A0B09" w:rsidRPr="00001039" w:rsidRDefault="000A0B09" w:rsidP="0093636A">
      <w:pPr>
        <w:kinsoku w:val="0"/>
        <w:overflowPunct w:val="0"/>
        <w:snapToGrid w:val="0"/>
        <w:spacing w:afterLines="25" w:after="90" w:line="400" w:lineRule="exact"/>
        <w:ind w:leftChars="225" w:left="540"/>
        <w:jc w:val="both"/>
        <w:rPr>
          <w:rFonts w:eastAsia="標楷體" w:hAnsi="標楷體"/>
          <w:color w:val="000000" w:themeColor="text1"/>
          <w:sz w:val="28"/>
          <w:szCs w:val="28"/>
        </w:rPr>
      </w:pPr>
      <w:r w:rsidRPr="00001039">
        <w:rPr>
          <w:rFonts w:eastAsia="標楷體" w:hAnsi="標楷體"/>
          <w:color w:val="000000" w:themeColor="text1"/>
          <w:sz w:val="28"/>
          <w:szCs w:val="28"/>
        </w:rPr>
        <w:t>第一項第六款之內部查核項目如下：</w:t>
      </w:r>
    </w:p>
    <w:p w:rsidR="000A0B09" w:rsidRPr="00001039" w:rsidRDefault="000A0B09" w:rsidP="00E517B0">
      <w:pPr>
        <w:kinsoku w:val="0"/>
        <w:overflowPunct w:val="0"/>
        <w:snapToGrid w:val="0"/>
        <w:spacing w:line="400" w:lineRule="exact"/>
        <w:ind w:leftChars="225" w:left="1380" w:rightChars="-50" w:right="-120" w:hangingChars="300" w:hanging="840"/>
        <w:jc w:val="both"/>
        <w:rPr>
          <w:rFonts w:eastAsia="標楷體" w:hAnsi="標楷體"/>
          <w:color w:val="000000" w:themeColor="text1"/>
          <w:sz w:val="28"/>
          <w:szCs w:val="28"/>
        </w:rPr>
      </w:pP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lastRenderedPageBreak/>
        <w:t>（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一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）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軟體查核：包括機構政策與職責、動物健康與照護及動物飼養管理。</w:t>
      </w:r>
    </w:p>
    <w:p w:rsidR="000A0B09" w:rsidRPr="00001039" w:rsidRDefault="000A0B09" w:rsidP="00E517B0">
      <w:pPr>
        <w:kinsoku w:val="0"/>
        <w:overflowPunct w:val="0"/>
        <w:snapToGrid w:val="0"/>
        <w:spacing w:line="400" w:lineRule="exact"/>
        <w:ind w:leftChars="225" w:left="1380" w:hangingChars="300" w:hanging="840"/>
        <w:jc w:val="both"/>
        <w:rPr>
          <w:rFonts w:eastAsia="標楷體" w:hAnsi="標楷體"/>
          <w:color w:val="000000" w:themeColor="text1"/>
          <w:sz w:val="28"/>
          <w:szCs w:val="28"/>
        </w:rPr>
      </w:pP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（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二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）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硬體查核：包括動物飼養區域與供應區域、儀器與設備及動物手術或實驗場所。</w:t>
      </w:r>
    </w:p>
    <w:p w:rsidR="000A0B09" w:rsidRPr="00001039" w:rsidRDefault="000A0B09" w:rsidP="0093636A">
      <w:pPr>
        <w:spacing w:beforeLines="50" w:before="180" w:afterLines="25" w:after="90" w:line="400" w:lineRule="exact"/>
        <w:ind w:left="560" w:hangingChars="200" w:hanging="560"/>
        <w:jc w:val="both"/>
        <w:rPr>
          <w:rFonts w:eastAsia="標楷體" w:hAnsi="標楷體"/>
          <w:color w:val="000000" w:themeColor="text1"/>
          <w:sz w:val="28"/>
          <w:szCs w:val="28"/>
        </w:rPr>
      </w:pPr>
      <w:r w:rsidRPr="00001039">
        <w:rPr>
          <w:rFonts w:eastAsia="標楷體" w:hAnsi="標楷體"/>
          <w:color w:val="000000" w:themeColor="text1"/>
          <w:sz w:val="28"/>
          <w:szCs w:val="28"/>
        </w:rPr>
        <w:t>四、本校凡利用動物進行科學實驗者，其需採用之實驗動物種類、品種、數量及實驗設計應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事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先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提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出申請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，申請時必須填妥本校實驗動物照護及使用小組審查同意書（如附表一）及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動物實驗申請表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（附表二）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，經本委員會審議核可，始得進行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；變更時，則需重新提出申請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。若違反「動物保護法」相關規定，並經本委員會糾正後仍未改善者，得終止其實驗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動物之使用；情節重大者應通報所屬直轄市或縣（市）主管機關依本法及相關規定處理，並副知中央主管機關。</w:t>
      </w:r>
    </w:p>
    <w:p w:rsidR="000A0B09" w:rsidRPr="00001039" w:rsidRDefault="000A0B09" w:rsidP="0093636A">
      <w:pPr>
        <w:kinsoku w:val="0"/>
        <w:overflowPunct w:val="0"/>
        <w:snapToGrid w:val="0"/>
        <w:spacing w:afterLines="25" w:after="90" w:line="400" w:lineRule="exact"/>
        <w:ind w:leftChars="225" w:left="540"/>
        <w:jc w:val="both"/>
        <w:rPr>
          <w:rFonts w:eastAsia="標楷體" w:hAnsi="標楷體"/>
          <w:color w:val="000000" w:themeColor="text1"/>
          <w:sz w:val="28"/>
          <w:szCs w:val="28"/>
        </w:rPr>
      </w:pPr>
      <w:r w:rsidRPr="00001039">
        <w:rPr>
          <w:rFonts w:eastAsia="標楷體" w:hAnsi="標楷體"/>
          <w:color w:val="000000" w:themeColor="text1"/>
          <w:sz w:val="28"/>
          <w:szCs w:val="28"/>
        </w:rPr>
        <w:t>前項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本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委員會審議時，應優先建議使用非活體動物替代方式，並得依據科學應用影響動物生理程度，由</w:t>
      </w:r>
      <w:r w:rsidR="00E517B0" w:rsidRPr="00001039">
        <w:rPr>
          <w:rFonts w:eastAsia="標楷體" w:hAnsi="標楷體" w:hint="eastAsia"/>
          <w:color w:val="000000" w:themeColor="text1"/>
          <w:sz w:val="28"/>
          <w:szCs w:val="28"/>
        </w:rPr>
        <w:t>一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位以上具備與申請利用動物科學應用專業有關或實驗動物福利背景，且非隸屬於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本校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之專家，提供諮詢意見。</w:t>
      </w:r>
    </w:p>
    <w:p w:rsidR="000A0B09" w:rsidRPr="00001039" w:rsidRDefault="000A0B09" w:rsidP="0093636A">
      <w:pPr>
        <w:spacing w:beforeLines="50" w:before="180" w:afterLines="25" w:after="90" w:line="400" w:lineRule="exact"/>
        <w:ind w:left="560" w:hangingChars="200" w:hanging="560"/>
        <w:jc w:val="both"/>
        <w:rPr>
          <w:rFonts w:eastAsia="標楷體"/>
          <w:color w:val="000000" w:themeColor="text1"/>
          <w:sz w:val="28"/>
          <w:szCs w:val="28"/>
        </w:rPr>
      </w:pPr>
      <w:r w:rsidRPr="00001039">
        <w:rPr>
          <w:rFonts w:eastAsia="標楷體" w:hAnsi="標楷體"/>
          <w:color w:val="000000" w:themeColor="text1"/>
          <w:sz w:val="28"/>
          <w:szCs w:val="28"/>
        </w:rPr>
        <w:t>五、本委員會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每半年至少召開一次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會議，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需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由委員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二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分之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一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以上出席，並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經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出席委員二分之一以上通過，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始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得決議。主任委員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因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故無法出席時，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則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由出席委員互推</w:t>
      </w:r>
      <w:r w:rsidR="00E517B0" w:rsidRPr="00001039">
        <w:rPr>
          <w:rFonts w:eastAsia="標楷體" w:hAnsi="標楷體" w:hint="eastAsia"/>
          <w:color w:val="000000" w:themeColor="text1"/>
          <w:sz w:val="28"/>
          <w:szCs w:val="28"/>
        </w:rPr>
        <w:t>一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人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擔任</w:t>
      </w:r>
      <w:r w:rsidRPr="00001039">
        <w:rPr>
          <w:rFonts w:eastAsia="標楷體" w:hAnsi="標楷體" w:hint="eastAsia"/>
          <w:color w:val="000000" w:themeColor="text1"/>
          <w:sz w:val="28"/>
          <w:szCs w:val="28"/>
        </w:rPr>
        <w:t>之</w:t>
      </w:r>
      <w:r w:rsidRPr="00001039">
        <w:rPr>
          <w:rFonts w:eastAsia="標楷體" w:hAnsi="標楷體"/>
          <w:color w:val="000000" w:themeColor="text1"/>
          <w:sz w:val="28"/>
          <w:szCs w:val="28"/>
        </w:rPr>
        <w:t>。</w:t>
      </w:r>
    </w:p>
    <w:p w:rsidR="000A0B09" w:rsidRPr="000D4465" w:rsidRDefault="000A0B09" w:rsidP="0093636A">
      <w:pPr>
        <w:spacing w:beforeLines="50" w:before="180" w:afterLines="25" w:after="90" w:line="400" w:lineRule="exact"/>
        <w:ind w:left="560" w:hangingChars="200" w:hanging="560"/>
        <w:jc w:val="both"/>
        <w:rPr>
          <w:rFonts w:eastAsia="標楷體"/>
          <w:bCs/>
          <w:sz w:val="32"/>
          <w:u w:val="single"/>
        </w:rPr>
      </w:pPr>
      <w:r w:rsidRPr="000D4465">
        <w:rPr>
          <w:rFonts w:eastAsia="標楷體" w:hAnsi="標楷體"/>
          <w:sz w:val="28"/>
          <w:szCs w:val="28"/>
        </w:rPr>
        <w:t>六、本要點經行政會議通過</w:t>
      </w:r>
      <w:r w:rsidRPr="000D4465">
        <w:rPr>
          <w:rFonts w:eastAsia="標楷體" w:hAnsi="標楷體" w:hint="eastAsia"/>
          <w:sz w:val="28"/>
          <w:szCs w:val="28"/>
        </w:rPr>
        <w:t>，陳請校長核定</w:t>
      </w:r>
      <w:r w:rsidRPr="000D4465">
        <w:rPr>
          <w:rFonts w:eastAsia="標楷體" w:hAnsi="標楷體"/>
          <w:sz w:val="28"/>
          <w:szCs w:val="28"/>
        </w:rPr>
        <w:t>後施</w:t>
      </w:r>
      <w:r w:rsidR="00E517B0">
        <w:rPr>
          <w:rFonts w:eastAsia="標楷體" w:hAnsi="標楷體" w:hint="eastAsia"/>
          <w:sz w:val="28"/>
          <w:szCs w:val="28"/>
        </w:rPr>
        <w:t>行</w:t>
      </w:r>
      <w:r w:rsidR="00E517B0">
        <w:rPr>
          <w:rFonts w:eastAsia="標楷體" w:hAnsi="標楷體"/>
          <w:sz w:val="28"/>
          <w:szCs w:val="28"/>
        </w:rPr>
        <w:t>；</w:t>
      </w:r>
      <w:r w:rsidRPr="000D4465">
        <w:rPr>
          <w:rFonts w:eastAsia="標楷體" w:hAnsi="標楷體"/>
          <w:sz w:val="28"/>
          <w:szCs w:val="28"/>
        </w:rPr>
        <w:t>修正</w:t>
      </w:r>
      <w:r w:rsidRPr="000D4465">
        <w:rPr>
          <w:rFonts w:eastAsia="標楷體" w:hAnsi="標楷體" w:hint="eastAsia"/>
          <w:sz w:val="28"/>
          <w:szCs w:val="28"/>
        </w:rPr>
        <w:t>時</w:t>
      </w:r>
      <w:r w:rsidRPr="000D4465">
        <w:rPr>
          <w:rFonts w:eastAsia="標楷體" w:hAnsi="標楷體"/>
          <w:sz w:val="28"/>
          <w:szCs w:val="28"/>
        </w:rPr>
        <w:t>亦同。</w:t>
      </w:r>
    </w:p>
    <w:p w:rsidR="00C17515" w:rsidRPr="003D3469" w:rsidRDefault="00C17515" w:rsidP="00946055">
      <w:pPr>
        <w:spacing w:line="480" w:lineRule="exact"/>
        <w:jc w:val="center"/>
        <w:rPr>
          <w:rFonts w:eastAsia="標楷體"/>
          <w:bCs/>
          <w:sz w:val="32"/>
          <w:u w:val="single"/>
        </w:rPr>
      </w:pPr>
      <w:bookmarkStart w:id="0" w:name="_GoBack"/>
      <w:bookmarkEnd w:id="0"/>
    </w:p>
    <w:sectPr w:rsidR="00C17515" w:rsidRPr="003D3469" w:rsidSect="00946055">
      <w:footerReference w:type="even" r:id="rId8"/>
      <w:footerReference w:type="default" r:id="rId9"/>
      <w:pgSz w:w="11906" w:h="16838" w:code="9"/>
      <w:pgMar w:top="1134" w:right="1134" w:bottom="1134" w:left="1134" w:header="1418" w:footer="851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872" w:rsidRDefault="00A51872" w:rsidP="003C26EF">
      <w:r>
        <w:separator/>
      </w:r>
    </w:p>
  </w:endnote>
  <w:endnote w:type="continuationSeparator" w:id="0">
    <w:p w:rsidR="00A51872" w:rsidRDefault="00A51872" w:rsidP="003C2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7BF" w:rsidRDefault="009C27BF" w:rsidP="00032391">
    <w:pPr>
      <w:pStyle w:val="a7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 w:rsidR="00946055">
      <w:rPr>
        <w:rStyle w:val="aa"/>
      </w:rPr>
      <w:fldChar w:fldCharType="separate"/>
    </w:r>
    <w:r w:rsidR="00946055">
      <w:rPr>
        <w:rStyle w:val="aa"/>
        <w:noProof/>
      </w:rPr>
      <w:t>1</w:t>
    </w:r>
    <w:r>
      <w:rPr>
        <w:rStyle w:val="aa"/>
      </w:rPr>
      <w:fldChar w:fldCharType="end"/>
    </w:r>
  </w:p>
  <w:p w:rsidR="009C27BF" w:rsidRDefault="009C27BF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7BF" w:rsidRDefault="009C27BF" w:rsidP="00EA16C3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A51872" w:rsidRPr="00A51872">
      <w:rPr>
        <w:noProof/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872" w:rsidRDefault="00A51872" w:rsidP="003C26EF">
      <w:r>
        <w:separator/>
      </w:r>
    </w:p>
  </w:footnote>
  <w:footnote w:type="continuationSeparator" w:id="0">
    <w:p w:rsidR="00A51872" w:rsidRDefault="00A51872" w:rsidP="003C2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254E1"/>
    <w:multiLevelType w:val="hybridMultilevel"/>
    <w:tmpl w:val="CDBA030E"/>
    <w:lvl w:ilvl="0" w:tplc="285463E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3D"/>
    <w:rsid w:val="00001039"/>
    <w:rsid w:val="00004A9D"/>
    <w:rsid w:val="00004D43"/>
    <w:rsid w:val="00010B33"/>
    <w:rsid w:val="000222A2"/>
    <w:rsid w:val="00022F69"/>
    <w:rsid w:val="0004125D"/>
    <w:rsid w:val="0004647C"/>
    <w:rsid w:val="000515F8"/>
    <w:rsid w:val="00072322"/>
    <w:rsid w:val="000746C0"/>
    <w:rsid w:val="000751BD"/>
    <w:rsid w:val="000968C5"/>
    <w:rsid w:val="000A0B09"/>
    <w:rsid w:val="000A11CD"/>
    <w:rsid w:val="000B5727"/>
    <w:rsid w:val="000B7B3D"/>
    <w:rsid w:val="000C1942"/>
    <w:rsid w:val="000D4015"/>
    <w:rsid w:val="000D4465"/>
    <w:rsid w:val="000E0C61"/>
    <w:rsid w:val="000E60A6"/>
    <w:rsid w:val="000F7AB1"/>
    <w:rsid w:val="00115D84"/>
    <w:rsid w:val="0011750E"/>
    <w:rsid w:val="00123237"/>
    <w:rsid w:val="00132DE4"/>
    <w:rsid w:val="00134152"/>
    <w:rsid w:val="00136CF2"/>
    <w:rsid w:val="0014288E"/>
    <w:rsid w:val="00144468"/>
    <w:rsid w:val="00166FB3"/>
    <w:rsid w:val="00167C0B"/>
    <w:rsid w:val="001824DC"/>
    <w:rsid w:val="00193915"/>
    <w:rsid w:val="0019773F"/>
    <w:rsid w:val="001A684A"/>
    <w:rsid w:val="001B6001"/>
    <w:rsid w:val="001B79B6"/>
    <w:rsid w:val="001C71B9"/>
    <w:rsid w:val="001D023E"/>
    <w:rsid w:val="001D6D88"/>
    <w:rsid w:val="001E3BCD"/>
    <w:rsid w:val="001F304E"/>
    <w:rsid w:val="001F512E"/>
    <w:rsid w:val="0020074F"/>
    <w:rsid w:val="002014D6"/>
    <w:rsid w:val="002061B8"/>
    <w:rsid w:val="00207878"/>
    <w:rsid w:val="00214007"/>
    <w:rsid w:val="00215355"/>
    <w:rsid w:val="00215B85"/>
    <w:rsid w:val="00222309"/>
    <w:rsid w:val="0022772B"/>
    <w:rsid w:val="00227A74"/>
    <w:rsid w:val="002301D1"/>
    <w:rsid w:val="00234013"/>
    <w:rsid w:val="002354AA"/>
    <w:rsid w:val="00241B3A"/>
    <w:rsid w:val="00256495"/>
    <w:rsid w:val="0029206E"/>
    <w:rsid w:val="00294127"/>
    <w:rsid w:val="00296682"/>
    <w:rsid w:val="002A3D90"/>
    <w:rsid w:val="002B4CA6"/>
    <w:rsid w:val="002B67A0"/>
    <w:rsid w:val="002B68CD"/>
    <w:rsid w:val="002D354F"/>
    <w:rsid w:val="002D601F"/>
    <w:rsid w:val="002D7A03"/>
    <w:rsid w:val="002F04B3"/>
    <w:rsid w:val="002F0609"/>
    <w:rsid w:val="002F3D6E"/>
    <w:rsid w:val="002F4242"/>
    <w:rsid w:val="00304B39"/>
    <w:rsid w:val="00304C2C"/>
    <w:rsid w:val="00314D97"/>
    <w:rsid w:val="00315E28"/>
    <w:rsid w:val="003166B9"/>
    <w:rsid w:val="00320903"/>
    <w:rsid w:val="00324561"/>
    <w:rsid w:val="0033339B"/>
    <w:rsid w:val="00346932"/>
    <w:rsid w:val="003576F0"/>
    <w:rsid w:val="00357CDB"/>
    <w:rsid w:val="00357FBE"/>
    <w:rsid w:val="00364819"/>
    <w:rsid w:val="003671DC"/>
    <w:rsid w:val="00377F0A"/>
    <w:rsid w:val="0038497C"/>
    <w:rsid w:val="00393710"/>
    <w:rsid w:val="003A3E60"/>
    <w:rsid w:val="003A4652"/>
    <w:rsid w:val="003B134F"/>
    <w:rsid w:val="003C26EF"/>
    <w:rsid w:val="003C6114"/>
    <w:rsid w:val="003D0642"/>
    <w:rsid w:val="003D3469"/>
    <w:rsid w:val="003D44F3"/>
    <w:rsid w:val="003E2FBE"/>
    <w:rsid w:val="003E38EF"/>
    <w:rsid w:val="003E4289"/>
    <w:rsid w:val="003F14DE"/>
    <w:rsid w:val="00400E98"/>
    <w:rsid w:val="0040201D"/>
    <w:rsid w:val="00403BD6"/>
    <w:rsid w:val="00413752"/>
    <w:rsid w:val="00420835"/>
    <w:rsid w:val="00420902"/>
    <w:rsid w:val="004269C0"/>
    <w:rsid w:val="00426C3D"/>
    <w:rsid w:val="00433E06"/>
    <w:rsid w:val="004416F4"/>
    <w:rsid w:val="00443204"/>
    <w:rsid w:val="00456875"/>
    <w:rsid w:val="00472F1D"/>
    <w:rsid w:val="0047682E"/>
    <w:rsid w:val="0047683F"/>
    <w:rsid w:val="0047716C"/>
    <w:rsid w:val="00484131"/>
    <w:rsid w:val="00485F5B"/>
    <w:rsid w:val="004871D9"/>
    <w:rsid w:val="004A093B"/>
    <w:rsid w:val="004A15D2"/>
    <w:rsid w:val="004A4CA3"/>
    <w:rsid w:val="004B03F7"/>
    <w:rsid w:val="004C0B20"/>
    <w:rsid w:val="004D1AE1"/>
    <w:rsid w:val="004D2EBA"/>
    <w:rsid w:val="004F3C6E"/>
    <w:rsid w:val="004F46C8"/>
    <w:rsid w:val="004F4BCE"/>
    <w:rsid w:val="00501AD3"/>
    <w:rsid w:val="005036F2"/>
    <w:rsid w:val="005130CC"/>
    <w:rsid w:val="0051691E"/>
    <w:rsid w:val="005205B3"/>
    <w:rsid w:val="005209CB"/>
    <w:rsid w:val="00530064"/>
    <w:rsid w:val="00530439"/>
    <w:rsid w:val="005317B4"/>
    <w:rsid w:val="0054385D"/>
    <w:rsid w:val="005543F5"/>
    <w:rsid w:val="0055637F"/>
    <w:rsid w:val="0057232A"/>
    <w:rsid w:val="0057376F"/>
    <w:rsid w:val="00573B42"/>
    <w:rsid w:val="00582041"/>
    <w:rsid w:val="00593F06"/>
    <w:rsid w:val="00596CD8"/>
    <w:rsid w:val="005A0739"/>
    <w:rsid w:val="005A235C"/>
    <w:rsid w:val="005B1A8A"/>
    <w:rsid w:val="005B7727"/>
    <w:rsid w:val="005C47B9"/>
    <w:rsid w:val="005C66C6"/>
    <w:rsid w:val="005F003C"/>
    <w:rsid w:val="005F0A31"/>
    <w:rsid w:val="005F1BD3"/>
    <w:rsid w:val="00602930"/>
    <w:rsid w:val="0061529A"/>
    <w:rsid w:val="00617040"/>
    <w:rsid w:val="00620086"/>
    <w:rsid w:val="006228F9"/>
    <w:rsid w:val="00623E23"/>
    <w:rsid w:val="0062514C"/>
    <w:rsid w:val="006328B5"/>
    <w:rsid w:val="0063773F"/>
    <w:rsid w:val="006513C0"/>
    <w:rsid w:val="0065214E"/>
    <w:rsid w:val="00652401"/>
    <w:rsid w:val="00660908"/>
    <w:rsid w:val="0066529A"/>
    <w:rsid w:val="00682D3E"/>
    <w:rsid w:val="00684BD0"/>
    <w:rsid w:val="006864FB"/>
    <w:rsid w:val="00692200"/>
    <w:rsid w:val="006A00B6"/>
    <w:rsid w:val="006A0105"/>
    <w:rsid w:val="006A2C5A"/>
    <w:rsid w:val="006A337F"/>
    <w:rsid w:val="006B20AD"/>
    <w:rsid w:val="006B2561"/>
    <w:rsid w:val="006C41F2"/>
    <w:rsid w:val="006C4A3D"/>
    <w:rsid w:val="006C4F55"/>
    <w:rsid w:val="006D16B3"/>
    <w:rsid w:val="006D2F1C"/>
    <w:rsid w:val="006E39E9"/>
    <w:rsid w:val="006F05AE"/>
    <w:rsid w:val="006F4AFE"/>
    <w:rsid w:val="006F6B5C"/>
    <w:rsid w:val="006F7321"/>
    <w:rsid w:val="00710031"/>
    <w:rsid w:val="007128D7"/>
    <w:rsid w:val="00722108"/>
    <w:rsid w:val="00722B1A"/>
    <w:rsid w:val="00724605"/>
    <w:rsid w:val="0073105B"/>
    <w:rsid w:val="0074071D"/>
    <w:rsid w:val="00756069"/>
    <w:rsid w:val="00757FAC"/>
    <w:rsid w:val="00763F32"/>
    <w:rsid w:val="00774716"/>
    <w:rsid w:val="00774B8B"/>
    <w:rsid w:val="0077502F"/>
    <w:rsid w:val="0077793B"/>
    <w:rsid w:val="007858F7"/>
    <w:rsid w:val="00786F79"/>
    <w:rsid w:val="00787A13"/>
    <w:rsid w:val="0079584C"/>
    <w:rsid w:val="007A37FE"/>
    <w:rsid w:val="007B7BBF"/>
    <w:rsid w:val="007C2F2C"/>
    <w:rsid w:val="007D797B"/>
    <w:rsid w:val="007E56A0"/>
    <w:rsid w:val="007E5ADE"/>
    <w:rsid w:val="0080243A"/>
    <w:rsid w:val="00802CB6"/>
    <w:rsid w:val="00803981"/>
    <w:rsid w:val="008114A0"/>
    <w:rsid w:val="008230DE"/>
    <w:rsid w:val="00830133"/>
    <w:rsid w:val="00837402"/>
    <w:rsid w:val="00837451"/>
    <w:rsid w:val="00842876"/>
    <w:rsid w:val="0084676D"/>
    <w:rsid w:val="0085129B"/>
    <w:rsid w:val="008543F2"/>
    <w:rsid w:val="00863DA4"/>
    <w:rsid w:val="00863F11"/>
    <w:rsid w:val="00872100"/>
    <w:rsid w:val="00881713"/>
    <w:rsid w:val="008819C2"/>
    <w:rsid w:val="008851E6"/>
    <w:rsid w:val="00887C01"/>
    <w:rsid w:val="008956F4"/>
    <w:rsid w:val="008B00EE"/>
    <w:rsid w:val="008B578F"/>
    <w:rsid w:val="008B6F5E"/>
    <w:rsid w:val="008D231F"/>
    <w:rsid w:val="008D36B7"/>
    <w:rsid w:val="008D6E30"/>
    <w:rsid w:val="008E59D3"/>
    <w:rsid w:val="008E77BE"/>
    <w:rsid w:val="008F2717"/>
    <w:rsid w:val="008F42C5"/>
    <w:rsid w:val="008F5528"/>
    <w:rsid w:val="008F6A92"/>
    <w:rsid w:val="00900502"/>
    <w:rsid w:val="00902A78"/>
    <w:rsid w:val="00905547"/>
    <w:rsid w:val="00905A44"/>
    <w:rsid w:val="00906B92"/>
    <w:rsid w:val="009139BA"/>
    <w:rsid w:val="00914F01"/>
    <w:rsid w:val="00917022"/>
    <w:rsid w:val="009176D8"/>
    <w:rsid w:val="00926A64"/>
    <w:rsid w:val="0093506B"/>
    <w:rsid w:val="00935E47"/>
    <w:rsid w:val="00946055"/>
    <w:rsid w:val="009639C1"/>
    <w:rsid w:val="009765E9"/>
    <w:rsid w:val="0098160F"/>
    <w:rsid w:val="00984984"/>
    <w:rsid w:val="0098573E"/>
    <w:rsid w:val="00985B11"/>
    <w:rsid w:val="00987C77"/>
    <w:rsid w:val="009900F9"/>
    <w:rsid w:val="009933BB"/>
    <w:rsid w:val="009961A1"/>
    <w:rsid w:val="009A0F9C"/>
    <w:rsid w:val="009A600A"/>
    <w:rsid w:val="009A745D"/>
    <w:rsid w:val="009B6455"/>
    <w:rsid w:val="009B646B"/>
    <w:rsid w:val="009B7D9C"/>
    <w:rsid w:val="009C0969"/>
    <w:rsid w:val="009C27BF"/>
    <w:rsid w:val="009D0410"/>
    <w:rsid w:val="009D393C"/>
    <w:rsid w:val="009D532A"/>
    <w:rsid w:val="009F3760"/>
    <w:rsid w:val="00A043D2"/>
    <w:rsid w:val="00A12E6D"/>
    <w:rsid w:val="00A130AF"/>
    <w:rsid w:val="00A14D91"/>
    <w:rsid w:val="00A21169"/>
    <w:rsid w:val="00A24147"/>
    <w:rsid w:val="00A31AEE"/>
    <w:rsid w:val="00A51872"/>
    <w:rsid w:val="00A579A6"/>
    <w:rsid w:val="00A57A35"/>
    <w:rsid w:val="00A66409"/>
    <w:rsid w:val="00A7081F"/>
    <w:rsid w:val="00A97B80"/>
    <w:rsid w:val="00AA4A86"/>
    <w:rsid w:val="00AB0C0A"/>
    <w:rsid w:val="00AB5FCE"/>
    <w:rsid w:val="00AC6D7C"/>
    <w:rsid w:val="00AD05DF"/>
    <w:rsid w:val="00AD0BBB"/>
    <w:rsid w:val="00AE0302"/>
    <w:rsid w:val="00AE1DC4"/>
    <w:rsid w:val="00AE5C31"/>
    <w:rsid w:val="00AF321A"/>
    <w:rsid w:val="00AF4E38"/>
    <w:rsid w:val="00B03736"/>
    <w:rsid w:val="00B2088F"/>
    <w:rsid w:val="00B23CAC"/>
    <w:rsid w:val="00B362B3"/>
    <w:rsid w:val="00B47645"/>
    <w:rsid w:val="00B47691"/>
    <w:rsid w:val="00B71710"/>
    <w:rsid w:val="00B763C0"/>
    <w:rsid w:val="00B773C0"/>
    <w:rsid w:val="00B9083D"/>
    <w:rsid w:val="00BA3E35"/>
    <w:rsid w:val="00BB4771"/>
    <w:rsid w:val="00BC13AC"/>
    <w:rsid w:val="00BC18A8"/>
    <w:rsid w:val="00BC381F"/>
    <w:rsid w:val="00BC6569"/>
    <w:rsid w:val="00BD2113"/>
    <w:rsid w:val="00BD5956"/>
    <w:rsid w:val="00BF1F35"/>
    <w:rsid w:val="00C027A9"/>
    <w:rsid w:val="00C032C8"/>
    <w:rsid w:val="00C04FD9"/>
    <w:rsid w:val="00C1048A"/>
    <w:rsid w:val="00C104DB"/>
    <w:rsid w:val="00C17515"/>
    <w:rsid w:val="00C23754"/>
    <w:rsid w:val="00C23A02"/>
    <w:rsid w:val="00C2583D"/>
    <w:rsid w:val="00C30CDD"/>
    <w:rsid w:val="00C30D40"/>
    <w:rsid w:val="00C31694"/>
    <w:rsid w:val="00C35C77"/>
    <w:rsid w:val="00C4761B"/>
    <w:rsid w:val="00C9086F"/>
    <w:rsid w:val="00C92A44"/>
    <w:rsid w:val="00C9640A"/>
    <w:rsid w:val="00CA0868"/>
    <w:rsid w:val="00CB2720"/>
    <w:rsid w:val="00CD25AE"/>
    <w:rsid w:val="00CD2DAF"/>
    <w:rsid w:val="00CD7C73"/>
    <w:rsid w:val="00CE09F1"/>
    <w:rsid w:val="00CE48FF"/>
    <w:rsid w:val="00CE7CC6"/>
    <w:rsid w:val="00CF1774"/>
    <w:rsid w:val="00CF2BCB"/>
    <w:rsid w:val="00D11970"/>
    <w:rsid w:val="00D17CAB"/>
    <w:rsid w:val="00D23DE4"/>
    <w:rsid w:val="00D31B22"/>
    <w:rsid w:val="00D31F71"/>
    <w:rsid w:val="00D4656F"/>
    <w:rsid w:val="00D63124"/>
    <w:rsid w:val="00D71FAA"/>
    <w:rsid w:val="00D76377"/>
    <w:rsid w:val="00D87206"/>
    <w:rsid w:val="00DA6ECA"/>
    <w:rsid w:val="00DB1C05"/>
    <w:rsid w:val="00DB4C35"/>
    <w:rsid w:val="00DC69EC"/>
    <w:rsid w:val="00DD5A85"/>
    <w:rsid w:val="00DD6085"/>
    <w:rsid w:val="00DE740A"/>
    <w:rsid w:val="00DE7B33"/>
    <w:rsid w:val="00E05D41"/>
    <w:rsid w:val="00E3626F"/>
    <w:rsid w:val="00E37FF7"/>
    <w:rsid w:val="00E40006"/>
    <w:rsid w:val="00E47A68"/>
    <w:rsid w:val="00E47C83"/>
    <w:rsid w:val="00E517B0"/>
    <w:rsid w:val="00E547A6"/>
    <w:rsid w:val="00E555A2"/>
    <w:rsid w:val="00E62E8B"/>
    <w:rsid w:val="00E72615"/>
    <w:rsid w:val="00E77AE1"/>
    <w:rsid w:val="00E85C74"/>
    <w:rsid w:val="00E86888"/>
    <w:rsid w:val="00E91657"/>
    <w:rsid w:val="00E91FD7"/>
    <w:rsid w:val="00E974D0"/>
    <w:rsid w:val="00EA6F80"/>
    <w:rsid w:val="00EB24A4"/>
    <w:rsid w:val="00EB5BB7"/>
    <w:rsid w:val="00EB7CF1"/>
    <w:rsid w:val="00EC1808"/>
    <w:rsid w:val="00EC4C06"/>
    <w:rsid w:val="00EC6F5B"/>
    <w:rsid w:val="00ED4A01"/>
    <w:rsid w:val="00EF0C0A"/>
    <w:rsid w:val="00EF2615"/>
    <w:rsid w:val="00EF48A3"/>
    <w:rsid w:val="00F031E0"/>
    <w:rsid w:val="00F0401F"/>
    <w:rsid w:val="00F04245"/>
    <w:rsid w:val="00F15FD4"/>
    <w:rsid w:val="00F169C3"/>
    <w:rsid w:val="00F17BFE"/>
    <w:rsid w:val="00F333CC"/>
    <w:rsid w:val="00F37939"/>
    <w:rsid w:val="00F45196"/>
    <w:rsid w:val="00F650AE"/>
    <w:rsid w:val="00F671D1"/>
    <w:rsid w:val="00F72FB8"/>
    <w:rsid w:val="00F7595F"/>
    <w:rsid w:val="00F822A3"/>
    <w:rsid w:val="00F83EB2"/>
    <w:rsid w:val="00F947CE"/>
    <w:rsid w:val="00F952CA"/>
    <w:rsid w:val="00FA2167"/>
    <w:rsid w:val="00FA303F"/>
    <w:rsid w:val="00FA6F24"/>
    <w:rsid w:val="00FB4B30"/>
    <w:rsid w:val="00FB4CDC"/>
    <w:rsid w:val="00FC1F56"/>
    <w:rsid w:val="00FC38A9"/>
    <w:rsid w:val="00FC5704"/>
    <w:rsid w:val="00FC7C62"/>
    <w:rsid w:val="00FD3817"/>
    <w:rsid w:val="00FE206A"/>
    <w:rsid w:val="00FE3E6F"/>
    <w:rsid w:val="00FE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87CA11E-BEE4-4867-A390-2CF90C58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93F06"/>
    <w:rPr>
      <w:rFonts w:ascii="Arial" w:hAnsi="Arial"/>
      <w:sz w:val="18"/>
      <w:szCs w:val="18"/>
    </w:rPr>
  </w:style>
  <w:style w:type="table" w:styleId="a4">
    <w:name w:val="Table Grid"/>
    <w:basedOn w:val="a1"/>
    <w:rsid w:val="0020787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3C2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3C26EF"/>
    <w:rPr>
      <w:kern w:val="2"/>
    </w:rPr>
  </w:style>
  <w:style w:type="paragraph" w:styleId="a7">
    <w:name w:val="footer"/>
    <w:basedOn w:val="a"/>
    <w:link w:val="a8"/>
    <w:uiPriority w:val="99"/>
    <w:rsid w:val="003C2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C26EF"/>
    <w:rPr>
      <w:kern w:val="2"/>
    </w:rPr>
  </w:style>
  <w:style w:type="paragraph" w:customStyle="1" w:styleId="031">
    <w:name w:val="031條文"/>
    <w:basedOn w:val="a"/>
    <w:next w:val="a"/>
    <w:rsid w:val="00926A64"/>
    <w:pPr>
      <w:autoSpaceDE w:val="0"/>
      <w:autoSpaceDN w:val="0"/>
      <w:adjustRightInd w:val="0"/>
    </w:pPr>
    <w:rPr>
      <w:rFonts w:ascii="新細明體"/>
      <w:kern w:val="0"/>
    </w:rPr>
  </w:style>
  <w:style w:type="paragraph" w:customStyle="1" w:styleId="032">
    <w:name w:val="032條文一"/>
    <w:basedOn w:val="a"/>
    <w:next w:val="a"/>
    <w:rsid w:val="00E547A6"/>
    <w:pPr>
      <w:autoSpaceDE w:val="0"/>
      <w:autoSpaceDN w:val="0"/>
      <w:adjustRightInd w:val="0"/>
    </w:pPr>
    <w:rPr>
      <w:rFonts w:ascii="新細明體"/>
      <w:kern w:val="0"/>
    </w:rPr>
  </w:style>
  <w:style w:type="paragraph" w:styleId="a9">
    <w:name w:val="Block Text"/>
    <w:basedOn w:val="a"/>
    <w:rsid w:val="008F5528"/>
    <w:pPr>
      <w:tabs>
        <w:tab w:val="left" w:pos="9360"/>
      </w:tabs>
      <w:ind w:leftChars="183" w:left="839" w:right="30" w:hangingChars="200" w:hanging="400"/>
    </w:pPr>
    <w:rPr>
      <w:snapToGrid w:val="0"/>
      <w:sz w:val="20"/>
    </w:rPr>
  </w:style>
  <w:style w:type="character" w:styleId="aa">
    <w:name w:val="page number"/>
    <w:basedOn w:val="a0"/>
    <w:rsid w:val="00722108"/>
  </w:style>
  <w:style w:type="paragraph" w:styleId="ab">
    <w:name w:val="Note Heading"/>
    <w:basedOn w:val="a"/>
    <w:next w:val="a"/>
    <w:rsid w:val="00902A78"/>
    <w:pPr>
      <w:jc w:val="center"/>
    </w:pPr>
    <w:rPr>
      <w:rFonts w:eastAsia="標楷體"/>
      <w:szCs w:val="20"/>
    </w:rPr>
  </w:style>
  <w:style w:type="paragraph" w:styleId="ac">
    <w:name w:val="List Paragraph"/>
    <w:basedOn w:val="a"/>
    <w:uiPriority w:val="34"/>
    <w:qFormat/>
    <w:rsid w:val="009C27BF"/>
    <w:pPr>
      <w:spacing w:beforeLines="50" w:afterLines="50" w:line="400" w:lineRule="exact"/>
      <w:ind w:leftChars="200" w:left="480"/>
      <w:jc w:val="both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4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33237-BC27-497A-9D9F-04F0BA5CD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國立高雄海洋技術學院動物實驗管理小組設置要點</dc:title>
  <dc:subject/>
  <dc:creator>admin</dc:creator>
  <cp:keywords/>
  <dc:description/>
  <cp:lastModifiedBy>水圈學院 高雄海洋科技大學</cp:lastModifiedBy>
  <cp:revision>4</cp:revision>
  <cp:lastPrinted>2018-07-12T02:49:00Z</cp:lastPrinted>
  <dcterms:created xsi:type="dcterms:W3CDTF">2018-11-16T08:48:00Z</dcterms:created>
  <dcterms:modified xsi:type="dcterms:W3CDTF">2018-12-05T10:08:00Z</dcterms:modified>
</cp:coreProperties>
</file>