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header1.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tabs>
          <w:tab w:val="center" w:pos="4320"/>
          <w:tab w:val="right" w:pos="8640"/>
        </w:tabs>
        <w:spacing w:after="0"/>
        <w:jc w:val="center"/>
        <w:rPr>
          <w:rFonts w:ascii="Times New Roman Bold" w:cs="Times New Roman Bold" w:hAnsi="Times New Roman Bold" w:eastAsia="Times New Roman Bold"/>
          <w:sz w:val="28"/>
          <w:szCs w:val="28"/>
        </w:rPr>
      </w:pPr>
      <w:r>
        <w:rPr>
          <w:rFonts w:ascii="Times New Roman Bold"/>
          <w:sz w:val="28"/>
          <w:szCs w:val="28"/>
          <w:rtl w:val="0"/>
          <w:lang w:val="en-US"/>
        </w:rPr>
        <w:t>Concurrent Task Performance</w:t>
      </w:r>
      <w:r>
        <w:rPr>
          <w:rFonts w:ascii="Times New Roman Bold"/>
          <w:sz w:val="28"/>
          <w:szCs w:val="28"/>
          <w:rtl w:val="0"/>
          <w:lang w:val="en-US"/>
        </w:rPr>
        <w:t xml:space="preserve"> Enhances Procedural </w:t>
      </w:r>
      <w:r>
        <w:rPr>
          <w:rFonts w:ascii="Times New Roman Bold"/>
          <w:sz w:val="28"/>
          <w:szCs w:val="28"/>
          <w:rtl w:val="0"/>
          <w:lang w:val="en-US"/>
        </w:rPr>
        <w:t xml:space="preserve">Skill </w:t>
      </w:r>
      <w:r>
        <w:rPr>
          <w:rFonts w:ascii="Times New Roman Bold"/>
          <w:sz w:val="28"/>
          <w:szCs w:val="28"/>
          <w:rtl w:val="0"/>
          <w:lang w:val="en-US"/>
        </w:rPr>
        <w:t>Unlearning</w:t>
      </w:r>
    </w:p>
    <w:p>
      <w:pPr>
        <w:pStyle w:val="Body A"/>
        <w:tabs>
          <w:tab w:val="center" w:pos="4320"/>
          <w:tab w:val="right" w:pos="8640"/>
        </w:tabs>
        <w:spacing w:after="0"/>
        <w:rPr>
          <w:rFonts w:ascii="Times New Roman Bold" w:cs="Times New Roman Bold" w:hAnsi="Times New Roman Bold" w:eastAsia="Times New Roman Bold"/>
        </w:rPr>
      </w:pPr>
    </w:p>
    <w:p>
      <w:pPr>
        <w:pStyle w:val="Body A"/>
        <w:tabs>
          <w:tab w:val="center" w:pos="4320"/>
          <w:tab w:val="right" w:pos="8640"/>
        </w:tabs>
        <w:spacing w:after="0"/>
        <w:jc w:val="center"/>
        <w:rPr>
          <w:rFonts w:ascii="Times New Roman Bold" w:cs="Times New Roman Bold" w:hAnsi="Times New Roman Bold" w:eastAsia="Times New Roman Bold"/>
        </w:rPr>
      </w:pPr>
    </w:p>
    <w:p>
      <w:pPr>
        <w:pStyle w:val="Body A"/>
        <w:tabs>
          <w:tab w:val="center" w:pos="4320"/>
          <w:tab w:val="right" w:pos="8640"/>
        </w:tabs>
        <w:spacing w:after="0"/>
        <w:jc w:val="center"/>
        <w:rPr>
          <w:rFonts w:ascii="Times New Roman Bold" w:cs="Times New Roman Bold" w:hAnsi="Times New Roman Bold" w:eastAsia="Times New Roman Bold"/>
        </w:rPr>
      </w:pPr>
    </w:p>
    <w:p>
      <w:pPr>
        <w:pStyle w:val="Body A"/>
        <w:tabs>
          <w:tab w:val="center" w:pos="4320"/>
          <w:tab w:val="right" w:pos="8640"/>
        </w:tabs>
        <w:spacing w:after="0"/>
        <w:jc w:val="center"/>
        <w:rPr>
          <w:rFonts w:ascii="Times New Roman Bold" w:cs="Times New Roman Bold" w:hAnsi="Times New Roman Bold" w:eastAsia="Times New Roman Bold"/>
        </w:rPr>
      </w:pPr>
    </w:p>
    <w:p>
      <w:pPr>
        <w:pStyle w:val="Body A"/>
        <w:tabs>
          <w:tab w:val="center" w:pos="4320"/>
          <w:tab w:val="right" w:pos="8640"/>
        </w:tabs>
        <w:spacing w:after="0"/>
        <w:jc w:val="center"/>
        <w:rPr>
          <w:rFonts w:ascii="Times New Roman" w:cs="Times New Roman" w:hAnsi="Times New Roman" w:eastAsia="Times New Roman"/>
          <w:sz w:val="24"/>
          <w:szCs w:val="24"/>
          <w:vertAlign w:val="superscript"/>
        </w:rPr>
      </w:pPr>
      <w:r>
        <w:rPr>
          <w:rFonts w:ascii="Times New Roman"/>
          <w:sz w:val="24"/>
          <w:szCs w:val="24"/>
          <w:rtl w:val="0"/>
          <w:lang w:val="en-US"/>
        </w:rPr>
        <w:t>Matthew J. Crossley</w:t>
      </w:r>
      <w:r>
        <w:rPr>
          <w:rFonts w:ascii="Times New Roman"/>
          <w:sz w:val="24"/>
          <w:szCs w:val="24"/>
          <w:vertAlign w:val="superscript"/>
          <w:rtl w:val="0"/>
          <w:lang w:val="en-US"/>
        </w:rPr>
        <w:t>1</w:t>
      </w:r>
      <w:r>
        <w:rPr>
          <w:rFonts w:ascii="Times New Roman"/>
          <w:sz w:val="24"/>
          <w:szCs w:val="24"/>
          <w:rtl w:val="0"/>
          <w:lang w:val="en-US"/>
        </w:rPr>
        <w:t>, F. Gregory Ashby</w:t>
      </w:r>
      <w:r>
        <w:rPr>
          <w:rFonts w:ascii="Times New Roman"/>
          <w:sz w:val="24"/>
          <w:szCs w:val="24"/>
          <w:vertAlign w:val="superscript"/>
          <w:rtl w:val="0"/>
          <w:lang w:val="en-US"/>
        </w:rPr>
        <w:t>2</w:t>
      </w:r>
      <w:r>
        <w:rPr>
          <w:rFonts w:ascii="Times New Roman"/>
          <w:sz w:val="24"/>
          <w:szCs w:val="24"/>
          <w:rtl w:val="0"/>
          <w:lang w:val="en-US"/>
        </w:rPr>
        <w:t xml:space="preserve"> &amp; W. Todd Maddox</w:t>
      </w:r>
      <w:r>
        <w:rPr>
          <w:rFonts w:ascii="Times New Roman"/>
          <w:sz w:val="24"/>
          <w:szCs w:val="24"/>
          <w:vertAlign w:val="superscript"/>
          <w:rtl w:val="0"/>
          <w:lang w:val="en-US"/>
        </w:rPr>
        <w:t>3</w:t>
      </w:r>
    </w:p>
    <w:p>
      <w:pPr>
        <w:pStyle w:val="Body A"/>
        <w:tabs>
          <w:tab w:val="center" w:pos="4320"/>
          <w:tab w:val="right" w:pos="8640"/>
        </w:tabs>
        <w:spacing w:after="0"/>
        <w:jc w:val="center"/>
        <w:rPr>
          <w:rFonts w:ascii="Times New Roman" w:cs="Times New Roman" w:hAnsi="Times New Roman" w:eastAsia="Times New Roman"/>
          <w:sz w:val="24"/>
          <w:szCs w:val="24"/>
          <w:vertAlign w:val="superscript"/>
        </w:rPr>
      </w:pPr>
    </w:p>
    <w:p>
      <w:pPr>
        <w:pStyle w:val="Body A"/>
        <w:tabs>
          <w:tab w:val="center" w:pos="4320"/>
          <w:tab w:val="right" w:pos="8640"/>
        </w:tabs>
        <w:spacing w:after="0"/>
        <w:jc w:val="center"/>
        <w:rPr>
          <w:rFonts w:ascii="Times New Roman" w:cs="Times New Roman" w:hAnsi="Times New Roman" w:eastAsia="Times New Roman"/>
          <w:sz w:val="24"/>
          <w:szCs w:val="24"/>
          <w:vertAlign w:val="superscript"/>
        </w:rPr>
      </w:pPr>
    </w:p>
    <w:p>
      <w:pPr>
        <w:pStyle w:val="Body A"/>
        <w:tabs>
          <w:tab w:val="center" w:pos="4320"/>
          <w:tab w:val="right" w:pos="8640"/>
        </w:tabs>
        <w:spacing w:after="0"/>
        <w:jc w:val="center"/>
        <w:rPr>
          <w:rFonts w:ascii="Times New Roman" w:cs="Times New Roman" w:hAnsi="Times New Roman" w:eastAsia="Times New Roman"/>
          <w:sz w:val="24"/>
          <w:szCs w:val="24"/>
          <w:vertAlign w:val="superscript"/>
        </w:rPr>
      </w:pPr>
    </w:p>
    <w:p>
      <w:pPr>
        <w:pStyle w:val="Body A"/>
        <w:spacing w:after="0"/>
        <w:jc w:val="center"/>
        <w:rPr>
          <w:rFonts w:ascii="Times New Roman" w:cs="Times New Roman" w:hAnsi="Times New Roman" w:eastAsia="Times New Roman"/>
          <w:sz w:val="24"/>
          <w:szCs w:val="24"/>
        </w:rPr>
      </w:pPr>
    </w:p>
    <w:p>
      <w:pPr>
        <w:pStyle w:val="Body A"/>
        <w:spacing w:after="0"/>
        <w:jc w:val="center"/>
        <w:rPr>
          <w:rFonts w:ascii="Times New Roman" w:cs="Times New Roman" w:hAnsi="Times New Roman" w:eastAsia="Times New Roman"/>
          <w:sz w:val="24"/>
          <w:szCs w:val="24"/>
        </w:rPr>
      </w:pPr>
      <w:r>
        <w:rPr>
          <w:rFonts w:ascii="Times New Roman"/>
          <w:sz w:val="24"/>
          <w:szCs w:val="24"/>
          <w:vertAlign w:val="superscript"/>
          <w:rtl w:val="0"/>
          <w:lang w:val="en-US"/>
        </w:rPr>
        <w:t>1</w:t>
      </w:r>
      <w:r>
        <w:rPr>
          <w:rFonts w:ascii="Times New Roman"/>
          <w:sz w:val="24"/>
          <w:szCs w:val="24"/>
          <w:rtl w:val="0"/>
          <w:lang w:val="en-US"/>
        </w:rPr>
        <w:t xml:space="preserve"> Department of Psychology, University of California, Berkeley</w:t>
      </w:r>
    </w:p>
    <w:p>
      <w:pPr>
        <w:pStyle w:val="Body A"/>
        <w:spacing w:after="0"/>
        <w:jc w:val="center"/>
        <w:rPr>
          <w:rFonts w:ascii="Times New Roman" w:cs="Times New Roman" w:hAnsi="Times New Roman" w:eastAsia="Times New Roman"/>
          <w:sz w:val="24"/>
          <w:szCs w:val="24"/>
          <w:vertAlign w:val="superscript"/>
        </w:rPr>
      </w:pPr>
    </w:p>
    <w:p>
      <w:pPr>
        <w:pStyle w:val="Body A"/>
        <w:spacing w:after="0"/>
        <w:jc w:val="center"/>
        <w:rPr>
          <w:rFonts w:ascii="Times New Roman" w:cs="Times New Roman" w:hAnsi="Times New Roman" w:eastAsia="Times New Roman"/>
          <w:sz w:val="24"/>
          <w:szCs w:val="24"/>
        </w:rPr>
      </w:pPr>
      <w:r>
        <w:rPr>
          <w:rFonts w:ascii="Times New Roman"/>
          <w:sz w:val="24"/>
          <w:szCs w:val="24"/>
          <w:vertAlign w:val="superscript"/>
          <w:rtl w:val="0"/>
          <w:lang w:val="en-US"/>
        </w:rPr>
        <w:t>2</w:t>
      </w:r>
      <w:r>
        <w:rPr>
          <w:rFonts w:ascii="Times New Roman"/>
          <w:sz w:val="24"/>
          <w:szCs w:val="24"/>
          <w:rtl w:val="0"/>
          <w:lang w:val="en-US"/>
        </w:rPr>
        <w:t xml:space="preserve"> Department of Psychological &amp; Brain Sciences, University of California, Santa Barbara</w:t>
      </w:r>
    </w:p>
    <w:p>
      <w:pPr>
        <w:pStyle w:val="Body A"/>
        <w:spacing w:after="0"/>
        <w:jc w:val="center"/>
        <w:rPr>
          <w:rFonts w:ascii="Times New Roman" w:cs="Times New Roman" w:hAnsi="Times New Roman" w:eastAsia="Times New Roman"/>
          <w:sz w:val="24"/>
          <w:szCs w:val="24"/>
        </w:rPr>
      </w:pPr>
    </w:p>
    <w:p>
      <w:pPr>
        <w:pStyle w:val="Body A"/>
        <w:spacing w:after="0"/>
        <w:jc w:val="center"/>
        <w:rPr>
          <w:rFonts w:ascii="Times New Roman" w:cs="Times New Roman" w:hAnsi="Times New Roman" w:eastAsia="Times New Roman"/>
          <w:sz w:val="24"/>
          <w:szCs w:val="24"/>
        </w:rPr>
      </w:pPr>
      <w:r>
        <w:rPr>
          <w:rFonts w:ascii="Times New Roman"/>
          <w:sz w:val="24"/>
          <w:szCs w:val="24"/>
          <w:vertAlign w:val="superscript"/>
          <w:rtl w:val="0"/>
          <w:lang w:val="en-US"/>
        </w:rPr>
        <w:t>3</w:t>
      </w:r>
      <w:r>
        <w:rPr>
          <w:rFonts w:ascii="Times New Roman"/>
          <w:sz w:val="24"/>
          <w:szCs w:val="24"/>
          <w:rtl w:val="0"/>
          <w:lang w:val="en-US"/>
        </w:rPr>
        <w:t xml:space="preserve"> Department of Psychology, University of Texas, Austin</w:t>
      </w:r>
    </w:p>
    <w:p>
      <w:pPr>
        <w:pStyle w:val="Body A"/>
        <w:spacing w:after="0"/>
        <w:rPr>
          <w:rFonts w:ascii="Times New Roman" w:cs="Times New Roman" w:hAnsi="Times New Roman" w:eastAsia="Times New Roman"/>
          <w:sz w:val="24"/>
          <w:szCs w:val="24"/>
        </w:rPr>
      </w:pPr>
    </w:p>
    <w:p>
      <w:pPr>
        <w:pStyle w:val="Body A"/>
        <w:spacing w:after="0"/>
        <w:jc w:val="center"/>
        <w:rPr>
          <w:rFonts w:ascii="Times New Roman" w:cs="Times New Roman" w:hAnsi="Times New Roman" w:eastAsia="Times New Roman"/>
          <w:sz w:val="24"/>
          <w:szCs w:val="24"/>
        </w:rPr>
      </w:pPr>
    </w:p>
    <w:p>
      <w:pPr>
        <w:pStyle w:val="Body A"/>
        <w:spacing w:after="0"/>
        <w:jc w:val="center"/>
        <w:rPr>
          <w:rFonts w:ascii="Times New Roman" w:cs="Times New Roman" w:hAnsi="Times New Roman" w:eastAsia="Times New Roman"/>
          <w:sz w:val="24"/>
          <w:szCs w:val="24"/>
        </w:rPr>
      </w:pPr>
    </w:p>
    <w:p>
      <w:pPr>
        <w:pStyle w:val="Body A"/>
        <w:spacing w:after="0"/>
        <w:jc w:val="center"/>
        <w:rPr>
          <w:rFonts w:ascii="Times New Roman" w:cs="Times New Roman" w:hAnsi="Times New Roman" w:eastAsia="Times New Roman"/>
          <w:sz w:val="24"/>
          <w:szCs w:val="24"/>
        </w:rPr>
      </w:pPr>
    </w:p>
    <w:p>
      <w:pPr>
        <w:pStyle w:val="Body A"/>
        <w:spacing w:after="0"/>
        <w:jc w:val="center"/>
        <w:rPr>
          <w:rFonts w:ascii="Times New Roman" w:cs="Times New Roman" w:hAnsi="Times New Roman" w:eastAsia="Times New Roman"/>
          <w:sz w:val="24"/>
          <w:szCs w:val="24"/>
        </w:rPr>
      </w:pPr>
    </w:p>
    <w:p>
      <w:pPr>
        <w:pStyle w:val="Body A"/>
        <w:spacing w:after="0"/>
        <w:jc w:val="center"/>
        <w:rPr>
          <w:rFonts w:ascii="Times New Roman" w:cs="Times New Roman" w:hAnsi="Times New Roman" w:eastAsia="Times New Roman"/>
          <w:sz w:val="24"/>
          <w:szCs w:val="24"/>
        </w:rPr>
      </w:pPr>
    </w:p>
    <w:p>
      <w:pPr>
        <w:pStyle w:val="Body A"/>
        <w:spacing w:after="0"/>
        <w:jc w:val="center"/>
        <w:rPr>
          <w:rFonts w:ascii="Times New Roman" w:cs="Times New Roman" w:hAnsi="Times New Roman" w:eastAsia="Times New Roman"/>
          <w:sz w:val="24"/>
          <w:szCs w:val="24"/>
        </w:rPr>
      </w:pPr>
      <w:r>
        <w:rPr>
          <w:rFonts w:ascii="Times New Roman"/>
          <w:sz w:val="24"/>
          <w:szCs w:val="24"/>
          <w:rtl w:val="0"/>
          <w:lang w:val="en-US"/>
        </w:rPr>
        <w:t>March</w:t>
      </w:r>
      <w:r>
        <w:rPr>
          <w:rFonts w:ascii="Times New Roman"/>
          <w:sz w:val="24"/>
          <w:szCs w:val="24"/>
          <w:rtl w:val="0"/>
          <w:lang w:val="en-US"/>
        </w:rPr>
        <w:t xml:space="preserve"> </w:t>
      </w:r>
      <w:r>
        <w:rPr>
          <w:rFonts w:ascii="Times New Roman"/>
          <w:sz w:val="24"/>
          <w:szCs w:val="24"/>
          <w:rtl w:val="0"/>
          <w:lang w:val="en-US"/>
        </w:rPr>
        <w:t>7</w:t>
      </w:r>
      <w:r>
        <w:rPr>
          <w:rFonts w:ascii="Times New Roman"/>
          <w:sz w:val="24"/>
          <w:szCs w:val="24"/>
          <w:rtl w:val="0"/>
          <w:lang w:val="en-US"/>
        </w:rPr>
        <w:t>, 2014</w:t>
      </w:r>
    </w:p>
    <w:p>
      <w:pPr>
        <w:pStyle w:val="Body A"/>
        <w:spacing w:after="0"/>
        <w:jc w:val="center"/>
        <w:rPr>
          <w:rFonts w:ascii="Times New Roman" w:cs="Times New Roman" w:hAnsi="Times New Roman" w:eastAsia="Times New Roman"/>
          <w:sz w:val="24"/>
          <w:szCs w:val="24"/>
        </w:rPr>
      </w:pPr>
    </w:p>
    <w:p>
      <w:pPr>
        <w:pStyle w:val="Body A"/>
        <w:spacing w:after="0"/>
        <w:jc w:val="center"/>
        <w:rPr>
          <w:rFonts w:ascii="Times New Roman" w:cs="Times New Roman" w:hAnsi="Times New Roman" w:eastAsia="Times New Roman"/>
          <w:sz w:val="24"/>
          <w:szCs w:val="24"/>
        </w:rPr>
      </w:pPr>
    </w:p>
    <w:p>
      <w:pPr>
        <w:pStyle w:val="Body A"/>
        <w:spacing w:after="0"/>
        <w:jc w:val="center"/>
        <w:rPr>
          <w:rFonts w:ascii="Times New Roman" w:cs="Times New Roman" w:hAnsi="Times New Roman" w:eastAsia="Times New Roman"/>
          <w:sz w:val="24"/>
          <w:szCs w:val="24"/>
        </w:rPr>
      </w:pPr>
    </w:p>
    <w:p>
      <w:pPr>
        <w:pStyle w:val="Body A"/>
        <w:spacing w:after="0"/>
        <w:rPr>
          <w:rFonts w:ascii="Times New Roman" w:cs="Times New Roman" w:hAnsi="Times New Roman" w:eastAsia="Times New Roman"/>
          <w:sz w:val="24"/>
          <w:szCs w:val="24"/>
        </w:rPr>
      </w:pPr>
    </w:p>
    <w:p>
      <w:pPr>
        <w:pStyle w:val="Body A"/>
        <w:spacing w:after="0"/>
        <w:rPr>
          <w:rFonts w:ascii="Times New Roman" w:cs="Times New Roman" w:hAnsi="Times New Roman" w:eastAsia="Times New Roman"/>
          <w:sz w:val="24"/>
          <w:szCs w:val="24"/>
        </w:rPr>
      </w:pPr>
    </w:p>
    <w:p>
      <w:pPr>
        <w:pStyle w:val="Body A"/>
        <w:spacing w:after="0"/>
        <w:rPr>
          <w:rFonts w:ascii="Times New Roman" w:cs="Times New Roman" w:hAnsi="Times New Roman" w:eastAsia="Times New Roman"/>
          <w:sz w:val="24"/>
          <w:szCs w:val="24"/>
        </w:rPr>
      </w:pPr>
    </w:p>
    <w:p>
      <w:pPr>
        <w:pStyle w:val="Body A"/>
        <w:spacing w:after="0"/>
        <w:rPr>
          <w:rFonts w:ascii="Times New Roman" w:cs="Times New Roman" w:hAnsi="Times New Roman" w:eastAsia="Times New Roman"/>
          <w:sz w:val="24"/>
          <w:szCs w:val="24"/>
        </w:rPr>
      </w:pPr>
      <w:r>
        <w:rPr>
          <w:rFonts w:ascii="Times New Roman"/>
          <w:sz w:val="24"/>
          <w:szCs w:val="24"/>
          <w:rtl w:val="0"/>
          <w:lang w:val="en-US"/>
        </w:rPr>
        <w:t>Address:</w:t>
        <w:tab/>
        <w:t>Matthew J. Crossley</w:t>
      </w:r>
    </w:p>
    <w:p>
      <w:pPr>
        <w:pStyle w:val="Body A"/>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Department of Psychology</w:t>
      </w:r>
    </w:p>
    <w:p>
      <w:pPr>
        <w:pStyle w:val="Body A"/>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University of California</w:t>
      </w:r>
    </w:p>
    <w:p>
      <w:pPr>
        <w:pStyle w:val="Body A"/>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Berkeley, CA 94720</w:t>
      </w:r>
    </w:p>
    <w:p>
      <w:pPr>
        <w:pStyle w:val="Body A"/>
        <w:spacing w:after="0"/>
        <w:rPr>
          <w:rFonts w:ascii="Times New Roman" w:cs="Times New Roman" w:hAnsi="Times New Roman" w:eastAsia="Times New Roman"/>
          <w:sz w:val="24"/>
          <w:szCs w:val="24"/>
        </w:rPr>
      </w:pPr>
    </w:p>
    <w:p>
      <w:pPr>
        <w:pStyle w:val="Body A"/>
        <w:spacing w:after="0"/>
        <w:rPr>
          <w:rFonts w:ascii="Times New Roman" w:cs="Times New Roman" w:hAnsi="Times New Roman" w:eastAsia="Times New Roman"/>
          <w:sz w:val="24"/>
          <w:szCs w:val="24"/>
        </w:rPr>
      </w:pPr>
      <w:r>
        <w:rPr>
          <w:rFonts w:ascii="Times New Roman"/>
          <w:sz w:val="24"/>
          <w:szCs w:val="24"/>
          <w:rtl w:val="0"/>
          <w:lang w:val="en-US"/>
        </w:rPr>
        <w:t>Email:</w:t>
        <w:tab/>
        <w:tab/>
      </w:r>
      <w:hyperlink r:id="rId4" w:history="1">
        <w:r>
          <w:rPr>
            <w:rStyle w:val="Hyperlink.0"/>
            <w:rFonts w:ascii="Times New Roman"/>
            <w:color w:val="0000ff"/>
            <w:sz w:val="24"/>
            <w:szCs w:val="24"/>
            <w:u w:val="single" w:color="0000ff"/>
            <w:rtl w:val="0"/>
            <w:lang w:val="en-US"/>
          </w:rPr>
          <w:t>mjcrossley@berkeley.edu</w:t>
        </w:r>
      </w:hyperlink>
    </w:p>
    <w:p>
      <w:pPr>
        <w:pStyle w:val="Body A"/>
        <w:spacing w:after="0"/>
        <w:rPr>
          <w:rFonts w:ascii="Times New Roman" w:cs="Times New Roman" w:hAnsi="Times New Roman" w:eastAsia="Times New Roman"/>
          <w:sz w:val="24"/>
          <w:szCs w:val="24"/>
        </w:rPr>
      </w:pPr>
      <w:r>
        <w:rPr>
          <w:rFonts w:ascii="Times New Roman"/>
          <w:sz w:val="24"/>
          <w:szCs w:val="24"/>
          <w:rtl w:val="0"/>
          <w:lang w:val="en-US"/>
        </w:rPr>
        <w:t>Phone:</w:t>
        <w:tab/>
        <w:tab/>
        <w:t>(510) 642-0135</w:t>
      </w:r>
    </w:p>
    <w:p>
      <w:pPr>
        <w:pStyle w:val="Body A"/>
        <w:spacing w:after="0"/>
        <w:rPr>
          <w:rFonts w:ascii="Times New Roman" w:cs="Times New Roman" w:hAnsi="Times New Roman" w:eastAsia="Times New Roman"/>
          <w:sz w:val="24"/>
          <w:szCs w:val="24"/>
        </w:rPr>
      </w:pPr>
      <w:r>
        <w:rPr>
          <w:rFonts w:ascii="Times New Roman"/>
          <w:sz w:val="24"/>
          <w:szCs w:val="24"/>
          <w:rtl w:val="0"/>
          <w:lang w:val="en-US"/>
        </w:rPr>
        <w:t>Fax:</w:t>
        <w:tab/>
        <w:tab/>
        <w:t>(510) 642-0135</w:t>
      </w:r>
    </w:p>
    <w:p>
      <w:pPr>
        <w:pStyle w:val="Body A"/>
        <w:spacing w:after="0"/>
      </w:pPr>
      <w:r>
        <w:rPr>
          <w:rFonts w:ascii="Times New Roman"/>
          <w:sz w:val="24"/>
          <w:szCs w:val="24"/>
          <w:rtl w:val="0"/>
          <w:lang w:val="en-US"/>
        </w:rPr>
        <w:t>Running Head: Cognitive Load Potentiates Unlearning</w:t>
        <w:br w:type="page"/>
      </w:r>
    </w:p>
    <w:p>
      <w:pPr>
        <w:pStyle w:val="Body A"/>
        <w:spacing w:after="0"/>
        <w:rPr>
          <w:rFonts w:ascii="Times New Roman" w:cs="Times New Roman" w:hAnsi="Times New Roman" w:eastAsia="Times New Roman"/>
          <w:sz w:val="24"/>
          <w:szCs w:val="24"/>
          <w:rtl w:val="0"/>
        </w:rPr>
      </w:pPr>
    </w:p>
    <w:p>
      <w:pPr>
        <w:pStyle w:val="Body A"/>
        <w:spacing w:after="0" w:line="240" w:lineRule="auto"/>
        <w:rPr>
          <w:rFonts w:ascii="Times New Roman" w:cs="Times New Roman" w:hAnsi="Times New Roman" w:eastAsia="Times New Roman"/>
          <w:sz w:val="24"/>
          <w:szCs w:val="24"/>
        </w:rPr>
      </w:pPr>
    </w:p>
    <w:p>
      <w:pPr>
        <w:pStyle w:val="Body A"/>
        <w:spacing w:after="0" w:line="480" w:lineRule="auto"/>
        <w:jc w:val="center"/>
        <w:rPr>
          <w:rFonts w:ascii="Times New Roman Bold" w:cs="Times New Roman Bold" w:hAnsi="Times New Roman Bold" w:eastAsia="Times New Roman Bold"/>
          <w:sz w:val="24"/>
          <w:szCs w:val="24"/>
        </w:rPr>
      </w:pPr>
      <w:r>
        <w:rPr>
          <w:rFonts w:ascii="Times New Roman Bold"/>
          <w:sz w:val="24"/>
          <w:szCs w:val="24"/>
          <w:rtl w:val="0"/>
          <w:lang w:val="de-DE"/>
        </w:rPr>
        <w:t>Abstract</w:t>
      </w:r>
    </w:p>
    <w:p>
      <w:pPr>
        <w:pStyle w:val="Body A"/>
        <w:spacing w:after="0" w:line="480" w:lineRule="auto"/>
      </w:pPr>
      <w:r>
        <w:rPr>
          <w:rFonts w:ascii="Times New Roman Bold"/>
          <w:sz w:val="24"/>
          <w:szCs w:val="24"/>
          <w:rtl w:val="0"/>
          <w:lang w:val="en-US"/>
        </w:rPr>
        <w:t xml:space="preserve">Skill learning is often plagued by the development of bad habits that are very difficult to fix. Moreover, the most problematic aspect of all current treatments for addiction and other maladaptive states is relapse. Thus, a variety of perspectives highlight the need for effective intervention protocols that can erase bad habits and replace them with stable good behaviors. </w:t>
      </w:r>
      <w:r>
        <w:rPr>
          <w:rFonts w:ascii="Times New Roman"/>
          <w:sz w:val="24"/>
          <w:szCs w:val="24"/>
          <w:rtl w:val="0"/>
          <w:lang w:val="en-US"/>
        </w:rPr>
        <w:t xml:space="preserve">Relapse is often </w:t>
      </w:r>
      <w:r>
        <w:rPr>
          <w:rFonts w:ascii="Times New Roman"/>
          <w:sz w:val="24"/>
          <w:szCs w:val="24"/>
          <w:rtl w:val="0"/>
          <w:lang w:val="en-US"/>
        </w:rPr>
        <w:t>estimated in laboratory settings as</w:t>
      </w:r>
      <w:r>
        <w:rPr>
          <w:rFonts w:ascii="Times New Roman"/>
          <w:sz w:val="24"/>
          <w:szCs w:val="24"/>
          <w:rtl w:val="0"/>
          <w:lang w:val="en-US"/>
        </w:rPr>
        <w:t xml:space="preserve"> the amount of savings in relearning following an intervention protocol that causes some trained behavior to disappear. Savings is often inferred by observing that relearning occurs more quickly than original learning We recently reported the efficacy of various intervention protocols in unlearning procedural categorization (Crossley, Ashby &amp; Maddox, 201</w:t>
      </w:r>
      <w:r>
        <w:rPr>
          <w:rFonts w:ascii="Times New Roman"/>
          <w:sz w:val="24"/>
          <w:szCs w:val="24"/>
          <w:rtl w:val="0"/>
          <w:lang w:val="en-US"/>
        </w:rPr>
        <w:t>3</w:t>
      </w:r>
      <w:r>
        <w:rPr>
          <w:rFonts w:ascii="Times New Roman"/>
          <w:sz w:val="24"/>
          <w:szCs w:val="24"/>
          <w:rtl w:val="0"/>
          <w:lang w:val="en-US"/>
        </w:rPr>
        <w:t xml:space="preserve">, J. of Experimental Psychology: General). This work demonstrated that an intervention protocol composed of random feedback effectively reduced accuracy during intervention, but </w:t>
      </w:r>
      <w:r>
        <w:rPr>
          <w:rFonts w:ascii="Times New Roman"/>
          <w:sz w:val="24"/>
          <w:szCs w:val="24"/>
          <w:rtl w:val="0"/>
          <w:lang w:val="en-US"/>
        </w:rPr>
        <w:t>did not eliminate savings</w:t>
      </w:r>
      <w:r>
        <w:rPr>
          <w:rFonts w:ascii="Times New Roman"/>
          <w:sz w:val="24"/>
          <w:szCs w:val="24"/>
          <w:rtl w:val="0"/>
          <w:lang w:val="en-US"/>
        </w:rPr>
        <w:t xml:space="preserve"> in relearning (i.e., intervention failed to induce true unlearning). However, an intervention protocol composed of a mixture of random and veridical feedback </w:t>
      </w:r>
      <w:r>
        <w:rPr>
          <w:rFonts w:ascii="Times New Roman"/>
          <w:sz w:val="24"/>
          <w:szCs w:val="24"/>
          <w:rtl w:val="0"/>
          <w:lang w:val="en-US"/>
        </w:rPr>
        <w:t xml:space="preserve">did </w:t>
      </w:r>
      <w:r>
        <w:rPr>
          <w:rFonts w:ascii="Times New Roman"/>
          <w:sz w:val="24"/>
          <w:szCs w:val="24"/>
          <w:rtl w:val="0"/>
          <w:lang w:val="en-US"/>
        </w:rPr>
        <w:t>eliminate savings (i.e., caused true unlearning). This article shows that concurrent</w:t>
      </w:r>
      <w:r>
        <w:rPr>
          <w:rFonts w:ascii="Times New Roman"/>
          <w:sz w:val="24"/>
          <w:szCs w:val="24"/>
          <w:rtl w:val="0"/>
          <w:lang w:val="en-US"/>
        </w:rPr>
        <w:t>ly</w:t>
      </w:r>
      <w:r>
        <w:rPr>
          <w:rFonts w:ascii="Times New Roman"/>
          <w:sz w:val="24"/>
          <w:szCs w:val="24"/>
          <w:rtl w:val="0"/>
          <w:lang w:val="en-US"/>
        </w:rPr>
        <w:t xml:space="preserve"> performing a demanding working memory task during an intervention phases consisting of random feedback reduces or fully eliminates savings in relearning. This suggests that the mechanism that protects learning during random feedback relies on prefrontal mechanisms. </w:t>
      </w:r>
      <w:r>
        <w:rPr>
          <w:rFonts w:ascii="Times New Roman Bold" w:cs="Times New Roman Bold" w:hAnsi="Times New Roman Bold" w:eastAsia="Times New Roman Bold"/>
          <w:sz w:val="24"/>
          <w:szCs w:val="24"/>
        </w:rPr>
        <w:br w:type="page"/>
      </w:r>
    </w:p>
    <w:p>
      <w:pPr>
        <w:pStyle w:val="Body A"/>
        <w:spacing w:after="0" w:line="480" w:lineRule="auto"/>
        <w:rPr>
          <w:rFonts w:ascii="Times New Roman Bold" w:cs="Times New Roman Bold" w:hAnsi="Times New Roman Bold" w:eastAsia="Times New Roman Bold"/>
          <w:sz w:val="24"/>
          <w:szCs w:val="24"/>
          <w:rtl w:val="0"/>
        </w:rPr>
      </w:pPr>
    </w:p>
    <w:p>
      <w:pPr>
        <w:pStyle w:val="Body A"/>
        <w:spacing w:after="0" w:line="480" w:lineRule="auto"/>
        <w:jc w:val="center"/>
        <w:rPr>
          <w:rFonts w:ascii="Times New Roman" w:cs="Times New Roman" w:hAnsi="Times New Roman" w:eastAsia="Times New Roman"/>
          <w:sz w:val="24"/>
          <w:szCs w:val="24"/>
        </w:rPr>
      </w:pPr>
      <w:r>
        <w:rPr>
          <w:rFonts w:ascii="Times New Roman Bold"/>
          <w:sz w:val="24"/>
          <w:szCs w:val="24"/>
          <w:rtl w:val="0"/>
          <w:lang w:val="en-US"/>
        </w:rPr>
        <w:t>In</w:t>
      </w:r>
      <w:r>
        <w:rPr>
          <w:rFonts w:ascii="Times New Roman Bold"/>
          <w:sz w:val="24"/>
          <w:szCs w:val="24"/>
          <w:rtl w:val="0"/>
          <w:lang w:val="fr-FR"/>
        </w:rPr>
        <w:t>troduction</w:t>
      </w:r>
    </w:p>
    <w:p>
      <w:pPr>
        <w:pStyle w:val="Body A"/>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firstLine="720"/>
        <w:rPr>
          <w:rFonts w:ascii="Times New Roman" w:cs="Times New Roman" w:hAnsi="Times New Roman" w:eastAsia="Times New Roman"/>
          <w:sz w:val="24"/>
          <w:szCs w:val="24"/>
        </w:rPr>
      </w:pPr>
      <w:r>
        <w:rPr>
          <w:rFonts w:ascii="Times New Roman"/>
          <w:sz w:val="24"/>
          <w:szCs w:val="24"/>
          <w:rtl w:val="0"/>
          <w:lang w:val="en-US"/>
        </w:rPr>
        <w:t xml:space="preserve">Skill learning is often plagued by the development of bad habits that are notoriously difficult to fix. For example, people who try to teach themselves golf (or any other skilled behavior for that matter) will usually end up with several gross technique flaws that can take months or </w:t>
      </w:r>
      <w:r>
        <w:rPr>
          <w:rFonts w:ascii="Times New Roman"/>
          <w:sz w:val="24"/>
          <w:szCs w:val="24"/>
          <w:rtl w:val="0"/>
          <w:lang w:val="en-US"/>
        </w:rPr>
        <w:t xml:space="preserve">even </w:t>
      </w:r>
      <w:r>
        <w:rPr>
          <w:rFonts w:ascii="Times New Roman"/>
          <w:sz w:val="24"/>
          <w:szCs w:val="24"/>
          <w:rtl w:val="0"/>
          <w:lang w:val="en-US"/>
        </w:rPr>
        <w:t xml:space="preserve">years of coaching to fix. Even then, every athlete that has tried to overcome a bad habit will tell you that the process is grueling, and often unsuccessful. Moreover, the neurobiological and psychological basis of skill learning overlaps with that of behaviors commonly used to study drug addiction and other maladaptive states. Thus, it may be the case that discovering treatments that help eliminate bad habits in skill learning, will also help to eliminate </w:t>
      </w:r>
      <w:r>
        <w:rPr>
          <w:rFonts w:ascii="Times New Roman"/>
          <w:sz w:val="24"/>
          <w:szCs w:val="24"/>
          <w:rtl w:val="0"/>
          <w:lang w:val="en-US"/>
        </w:rPr>
        <w:t>these dangerous and tragic</w:t>
      </w:r>
      <w:r>
        <w:rPr>
          <w:rFonts w:ascii="Times New Roman"/>
          <w:sz w:val="24"/>
          <w:szCs w:val="24"/>
          <w:rtl w:val="0"/>
          <w:lang w:val="en-US"/>
        </w:rPr>
        <w:t xml:space="preserve"> states. The present experiment shows that engaging in an explicit dual task during treatment can enhance the efficacy of an intervention protocol intended to change a procedural skill.</w:t>
      </w:r>
    </w:p>
    <w:p>
      <w:pPr>
        <w:pStyle w:val="Body A"/>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firstLine="720"/>
        <w:rPr>
          <w:rFonts w:ascii="Times New Roman" w:cs="Times New Roman" w:hAnsi="Times New Roman" w:eastAsia="Times New Roman"/>
          <w:sz w:val="24"/>
          <w:szCs w:val="24"/>
        </w:rPr>
      </w:pPr>
      <w:r>
        <w:rPr>
          <w:rFonts w:ascii="Times New Roman"/>
          <w:sz w:val="24"/>
          <w:szCs w:val="24"/>
          <w:rtl w:val="0"/>
          <w:lang w:val="en-US"/>
        </w:rPr>
        <w:t xml:space="preserve">The propensity for </w:t>
      </w:r>
      <w:r>
        <w:rPr>
          <w:rFonts w:ascii="Times New Roman"/>
          <w:sz w:val="24"/>
          <w:szCs w:val="24"/>
          <w:rtl w:val="0"/>
          <w:lang w:val="en-US"/>
        </w:rPr>
        <w:t>a behavior (good or bad) to persist</w:t>
      </w:r>
      <w:r>
        <w:rPr>
          <w:rFonts w:ascii="Times New Roman"/>
          <w:sz w:val="24"/>
          <w:szCs w:val="24"/>
          <w:rtl w:val="0"/>
          <w:lang w:val="en-US"/>
        </w:rPr>
        <w:t xml:space="preserve"> is often estimated experimentally by measuring savings in relearning</w:t>
      </w:r>
      <w:r>
        <w:rPr>
          <w:rFonts w:ascii="Times New Roman"/>
          <w:sz w:val="24"/>
          <w:szCs w:val="24"/>
          <w:rtl w:val="0"/>
          <w:lang w:val="en-US"/>
        </w:rPr>
        <w:t xml:space="preserve">. These experiments first train a target behavior, and then expose participants to an </w:t>
      </w:r>
      <w:r>
        <w:rPr>
          <w:rFonts w:ascii="Times New Roman"/>
          <w:sz w:val="24"/>
          <w:szCs w:val="24"/>
          <w:rtl w:val="0"/>
          <w:lang w:val="en-US"/>
        </w:rPr>
        <w:t>intervention protocol that cause</w:t>
      </w:r>
      <w:r>
        <w:rPr>
          <w:rFonts w:ascii="Times New Roman"/>
          <w:sz w:val="24"/>
          <w:szCs w:val="24"/>
          <w:rtl w:val="0"/>
          <w:lang w:val="en-US"/>
        </w:rPr>
        <w:t>s</w:t>
      </w:r>
      <w:r>
        <w:rPr>
          <w:rFonts w:ascii="Times New Roman"/>
          <w:sz w:val="24"/>
          <w:szCs w:val="24"/>
          <w:rtl w:val="0"/>
          <w:lang w:val="en-US"/>
        </w:rPr>
        <w:t xml:space="preserve"> </w:t>
      </w:r>
      <w:r>
        <w:rPr>
          <w:rFonts w:ascii="Times New Roman"/>
          <w:sz w:val="24"/>
          <w:szCs w:val="24"/>
          <w:rtl w:val="0"/>
          <w:lang w:val="en-US"/>
        </w:rPr>
        <w:t xml:space="preserve">this </w:t>
      </w:r>
      <w:r>
        <w:rPr>
          <w:rFonts w:ascii="Times New Roman"/>
          <w:sz w:val="24"/>
          <w:szCs w:val="24"/>
          <w:rtl w:val="0"/>
          <w:lang w:val="en-US"/>
        </w:rPr>
        <w:t xml:space="preserve">behavior to disappear (e.g., a lever press in simple instrumental conditioning paradigms). Savings of the original learning is </w:t>
      </w:r>
      <w:r>
        <w:rPr>
          <w:rFonts w:ascii="Times New Roman"/>
          <w:sz w:val="24"/>
          <w:szCs w:val="24"/>
          <w:rtl w:val="0"/>
          <w:lang w:val="en-US"/>
        </w:rPr>
        <w:t>then</w:t>
      </w:r>
      <w:r>
        <w:rPr>
          <w:rFonts w:ascii="Times New Roman"/>
          <w:sz w:val="24"/>
          <w:szCs w:val="24"/>
          <w:rtl w:val="0"/>
          <w:lang w:val="en-US"/>
        </w:rPr>
        <w:t xml:space="preserve"> inferred by observing that relearning occurs more quickly than original learning (e.g., rapid reacquisition). Savings </w:t>
      </w:r>
      <w:r>
        <w:rPr>
          <w:rFonts w:ascii="Times New Roman"/>
          <w:sz w:val="24"/>
          <w:szCs w:val="24"/>
          <w:rtl w:val="0"/>
          <w:lang w:val="en-US"/>
        </w:rPr>
        <w:t>in relearning is incredibly common across all forms of procedural skill learning, which reflects our anecdotal observation that bad habits in skill learning are notoriously difficult to fix.</w:t>
      </w:r>
    </w:p>
    <w:p>
      <w:pPr>
        <w:pStyle w:val="Body A"/>
        <w:spacing w:after="0" w:line="480" w:lineRule="auto"/>
        <w:ind w:firstLine="720"/>
        <w:rPr>
          <w:rFonts w:ascii="Times New Roman" w:cs="Times New Roman" w:hAnsi="Times New Roman" w:eastAsia="Times New Roman"/>
          <w:sz w:val="24"/>
          <w:szCs w:val="24"/>
        </w:rPr>
      </w:pPr>
      <w:r>
        <w:rPr>
          <w:rFonts w:ascii="Times New Roman"/>
          <w:sz w:val="24"/>
          <w:szCs w:val="24"/>
          <w:rtl w:val="0"/>
          <w:lang w:val="en-US"/>
        </w:rPr>
        <w:t>The present experiment examined savings in relearning in an information-integration (II) category-learning task. A basic category learning task involves learning a many-to-one mapping between a multitude of stimuli and two or more responses. Stimuli are presented one per trial and category membership is learned through trial-and-error across many trials. II tasks are those in which stimuli are assigned to categories in such a way that it is difficult or impossible infer via explicit logical reasoning. More technically, II tasks are those in which accuracy is maximized only if information from two or more non-commensurable stimulus dimensions is integrated at some pre-decisional stage (Ashby &amp; Gott, 1988). The II task we used, as well as illustrations of example trials, are shown in Figure 1. Note that each stimulus is a single black line that varies in length and orientation. The diagonal lines denote the category boundaries. Note that no simple verbal rule (e.g., short lines belong to category A, etc.) correctly separates the lines into the four categories. Nevertheless, many studies have shown that with enough practice, people reliably learn such categories, and the evidence is good that II category learning uses procedural memory and requires dopamine-dependent reinforcement learning in the striatum (e.g., Ashby &amp; Maddox, 2005).</w:t>
      </w:r>
    </w:p>
    <w:p>
      <w:pPr>
        <w:pStyle w:val="Body A"/>
        <w:spacing w:after="0" w:line="480" w:lineRule="auto"/>
        <w:ind w:firstLine="720"/>
        <w:rPr>
          <w:rFonts w:ascii="Times New Roman" w:cs="Times New Roman" w:hAnsi="Times New Roman" w:eastAsia="Times New Roman"/>
          <w:sz w:val="24"/>
          <w:szCs w:val="24"/>
          <w:u w:val="single"/>
        </w:rPr>
      </w:pPr>
      <w:r>
        <w:rPr>
          <w:rFonts w:ascii="Times New Roman"/>
          <w:sz w:val="24"/>
          <w:szCs w:val="24"/>
          <w:rtl w:val="0"/>
          <w:lang w:val="en-US"/>
        </w:rPr>
        <w:t xml:space="preserve">The II task used here included an </w:t>
      </w:r>
      <w:r>
        <w:rPr>
          <w:rFonts w:ascii="Times New Roman"/>
          <w:sz w:val="24"/>
          <w:szCs w:val="24"/>
          <w:rtl w:val="0"/>
          <w:lang w:val="fr-FR"/>
        </w:rPr>
        <w:t>acquisition</w:t>
      </w:r>
      <w:r>
        <w:rPr>
          <w:rFonts w:ascii="Times New Roman"/>
          <w:sz w:val="24"/>
          <w:szCs w:val="24"/>
          <w:rtl w:val="0"/>
          <w:lang w:val="en-US"/>
        </w:rPr>
        <w:t xml:space="preserve"> (300 trials), intervention (400 trials), and a reacquisition (150 trials) phase. These phases differed in the nature of the feedback provided after each response. During acquisition and reacquisition, feedback indicated whether each response was correct or incorrect. The feedback was random during the intervention phase </w:t>
      </w:r>
      <w:r>
        <w:rPr>
          <w:rFonts w:hAnsi="Trebuchet MS" w:hint="default"/>
          <w:sz w:val="24"/>
          <w:szCs w:val="24"/>
          <w:rtl w:val="0"/>
          <w:lang w:val="en-US"/>
        </w:rPr>
        <w:t xml:space="preserve">– </w:t>
      </w:r>
      <w:r>
        <w:rPr>
          <w:rFonts w:ascii="Times New Roman"/>
          <w:sz w:val="24"/>
          <w:szCs w:val="24"/>
          <w:rtl w:val="0"/>
          <w:lang w:val="en-US"/>
        </w:rPr>
        <w:t>indicating a</w:t>
      </w:r>
      <w:r>
        <w:rPr>
          <w:rFonts w:ascii="Times New Roman"/>
          <w:sz w:val="24"/>
          <w:szCs w:val="24"/>
          <w:rtl w:val="0"/>
          <w:lang w:val="pt-PT"/>
        </w:rPr>
        <w:t xml:space="preserve"> correct</w:t>
      </w:r>
      <w:r>
        <w:rPr>
          <w:rFonts w:ascii="Times New Roman"/>
          <w:sz w:val="24"/>
          <w:szCs w:val="24"/>
          <w:rtl w:val="0"/>
          <w:lang w:val="en-US"/>
        </w:rPr>
        <w:t xml:space="preserve"> response with probability </w:t>
      </w:r>
      <w:r>
        <w:rPr>
          <w:rFonts w:hAnsi="Trebuchet MS" w:hint="default"/>
          <w:sz w:val="24"/>
          <w:szCs w:val="24"/>
          <w:rtl w:val="0"/>
          <w:lang w:val="en-US"/>
        </w:rPr>
        <w:t xml:space="preserve">¼ </w:t>
      </w:r>
      <w:r>
        <w:rPr>
          <w:rFonts w:ascii="Times New Roman"/>
          <w:sz w:val="24"/>
          <w:szCs w:val="24"/>
          <w:rtl w:val="0"/>
          <w:lang w:val="en-US"/>
        </w:rPr>
        <w:t>and an</w:t>
      </w:r>
      <w:r>
        <w:rPr>
          <w:rFonts w:ascii="Times New Roman"/>
          <w:sz w:val="24"/>
          <w:szCs w:val="24"/>
          <w:rtl w:val="0"/>
          <w:lang w:val="it-IT"/>
        </w:rPr>
        <w:t xml:space="preserve"> incorrect</w:t>
      </w:r>
      <w:r>
        <w:rPr>
          <w:rFonts w:ascii="Times New Roman"/>
          <w:sz w:val="24"/>
          <w:szCs w:val="24"/>
          <w:rtl w:val="0"/>
          <w:lang w:val="en-US"/>
        </w:rPr>
        <w:t xml:space="preserve"> response with probability </w:t>
      </w:r>
      <w:r>
        <w:rPr>
          <w:rFonts w:hAnsi="Trebuchet MS" w:hint="default"/>
          <w:sz w:val="24"/>
          <w:szCs w:val="24"/>
          <w:rtl w:val="0"/>
          <w:lang w:val="en-US"/>
        </w:rPr>
        <w:t>¾</w:t>
      </w:r>
      <w:r>
        <w:rPr>
          <w:rFonts w:ascii="Times New Roman"/>
          <w:sz w:val="24"/>
          <w:szCs w:val="24"/>
          <w:rtl w:val="0"/>
          <w:lang w:val="en-US"/>
        </w:rPr>
        <w:t>, regardless of what response they actually made. Every stimulus in all three phases of Experiment 1 was a line (as in Figure 1) that varied across trials in length and orientation. Identical II category structures were used in all three phases. These are represented abstractly in Figure 1. Also note that the categories overlap slightly such that the best possible accuracy is 95%.  In these ways, this task is identical to the task used in Experiment 1 of Crossley et al. (201</w:t>
      </w:r>
      <w:r>
        <w:rPr>
          <w:rFonts w:ascii="Times New Roman"/>
          <w:sz w:val="24"/>
          <w:szCs w:val="24"/>
          <w:rtl w:val="0"/>
          <w:lang w:val="en-US"/>
        </w:rPr>
        <w:t>3</w:t>
      </w:r>
      <w:r>
        <w:rPr>
          <w:rFonts w:ascii="Times New Roman"/>
          <w:sz w:val="24"/>
          <w:szCs w:val="24"/>
          <w:rtl w:val="0"/>
          <w:lang w:val="en-US"/>
        </w:rPr>
        <w:t xml:space="preserve">).  </w:t>
      </w:r>
    </w:p>
    <w:p>
      <w:pPr>
        <w:pStyle w:val="Body A"/>
        <w:spacing w:after="0" w:line="480" w:lineRule="auto"/>
        <w:ind w:firstLine="720"/>
        <w:rPr>
          <w:rFonts w:ascii="Times New Roman" w:cs="Times New Roman" w:hAnsi="Times New Roman" w:eastAsia="Times New Roman"/>
          <w:sz w:val="24"/>
          <w:szCs w:val="24"/>
          <w:u w:color="ff0000"/>
        </w:rPr>
      </w:pPr>
      <w:r>
        <w:rPr>
          <w:rFonts w:ascii="Times New Roman"/>
          <w:sz w:val="24"/>
          <w:szCs w:val="24"/>
          <w:u w:color="ff0000"/>
          <w:rtl w:val="0"/>
          <w:lang w:val="en-US"/>
        </w:rPr>
        <w:t>Crossley et al. (2013) found that an intervention protocol composed of purely random feedback did not eliminate savings. This implies that the brain possesses a mechanism through which it can detect when feedback has become random, and protect learning from being erased or overwritten during this time. The goal of the present experiment was to determine if this mechanism depends on prefrontal resources. Our approach was to attempt to interfere with the efficacy of this protective mechanism by reducing the neural resources available to it. Specifically, we introduced a concurrent numerical Stroop task (Algom, Dekel, &amp; Pansky, 1996; Besner &amp; Coltheart, 1979; Stroop, 1935) during a subset of acquisition and intervention categorization trials. Concurrent secondary tasks have long been thought to reduce resources available for a primary task (Pashler, 1994). In this case, the primary task would be detecting the onset of random feedback and protecting learning. Moreover, the evidence is strong that variants of the Stroop task rely on prefrontal resources (Bench et al., 1993). Thus, if this mechanism depends on prefrontal resources, then concurrent numerical Stroop performance will impair it</w:t>
      </w:r>
      <w:r>
        <w:rPr>
          <w:rFonts w:hAnsi="Trebuchet MS" w:hint="default"/>
          <w:sz w:val="24"/>
          <w:szCs w:val="24"/>
          <w:u w:color="ff0000"/>
          <w:rtl w:val="0"/>
          <w:lang w:val="en-US"/>
        </w:rPr>
        <w:t>’</w:t>
      </w:r>
      <w:r>
        <w:rPr>
          <w:rFonts w:ascii="Times New Roman"/>
          <w:sz w:val="24"/>
          <w:szCs w:val="24"/>
          <w:u w:color="ff0000"/>
          <w:rtl w:val="0"/>
          <w:lang w:val="en-US"/>
        </w:rPr>
        <w:t>s ability to protect learning during random feedback. In this case, random feedback will lead to true unlearning. On the other hand, if the protective mechanism is independent of prefrontal resources then we should observe massive savings independent of the presence or absence of the Stroop task. We included a concurrent Stroop component on trials 251-350 in condition 1, 251-450 in condition 2, 251-550 in condition 3 and 400-650 in condition 4.</w:t>
      </w:r>
    </w:p>
    <w:p>
      <w:pPr>
        <w:pStyle w:val="Body A"/>
        <w:spacing w:after="0" w:line="480" w:lineRule="auto"/>
        <w:jc w:val="center"/>
        <w:rPr>
          <w:rFonts w:ascii="Times New Roman" w:cs="Times New Roman" w:hAnsi="Times New Roman" w:eastAsia="Times New Roman"/>
          <w:sz w:val="24"/>
          <w:szCs w:val="24"/>
        </w:rPr>
      </w:pPr>
      <w:r>
        <w:rPr>
          <w:rFonts w:ascii="Times New Roman"/>
          <w:sz w:val="24"/>
          <w:szCs w:val="24"/>
          <w:rtl w:val="0"/>
          <w:lang w:val="en-US"/>
        </w:rPr>
        <w:t>INSERT FIGURE 1 ABOUT HERE</w:t>
      </w:r>
    </w:p>
    <w:p>
      <w:pPr>
        <w:pStyle w:val="Body A"/>
        <w:spacing w:after="0" w:line="480" w:lineRule="auto"/>
        <w:jc w:val="center"/>
        <w:outlineLvl w:val="0"/>
        <w:rPr>
          <w:rFonts w:ascii="Times New Roman Bold" w:cs="Times New Roman Bold" w:hAnsi="Times New Roman Bold" w:eastAsia="Times New Roman Bold"/>
          <w:sz w:val="24"/>
          <w:szCs w:val="24"/>
        </w:rPr>
      </w:pPr>
      <w:r>
        <w:rPr>
          <w:rFonts w:ascii="Times New Roman Bold"/>
          <w:sz w:val="24"/>
          <w:szCs w:val="24"/>
          <w:rtl w:val="0"/>
          <w:lang w:val="en-US"/>
        </w:rPr>
        <w:t>Methods</w:t>
      </w:r>
    </w:p>
    <w:p>
      <w:pPr>
        <w:pStyle w:val="Body A"/>
        <w:spacing w:after="0" w:line="480" w:lineRule="auto"/>
        <w:outlineLvl w:val="0"/>
        <w:rPr>
          <w:rFonts w:ascii="Times New Roman" w:cs="Times New Roman" w:hAnsi="Times New Roman" w:eastAsia="Times New Roman"/>
          <w:sz w:val="24"/>
          <w:szCs w:val="24"/>
        </w:rPr>
      </w:pPr>
      <w:r>
        <w:rPr>
          <w:rFonts w:ascii="Times New Roman"/>
          <w:i w:val="1"/>
          <w:iCs w:val="1"/>
          <w:sz w:val="24"/>
          <w:szCs w:val="24"/>
          <w:rtl w:val="0"/>
          <w:lang w:val="fr-FR"/>
        </w:rPr>
        <w:t>Participants</w:t>
      </w:r>
    </w:p>
    <w:p>
      <w:pPr>
        <w:pStyle w:val="Body A"/>
        <w:spacing w:after="0" w:line="480" w:lineRule="auto"/>
        <w:ind w:firstLine="720"/>
        <w:rPr>
          <w:rFonts w:ascii="Times New Roman" w:cs="Times New Roman" w:hAnsi="Times New Roman" w:eastAsia="Times New Roman"/>
          <w:sz w:val="24"/>
          <w:szCs w:val="24"/>
        </w:rPr>
      </w:pPr>
      <w:r>
        <w:rPr>
          <w:rFonts w:ascii="Times New Roman"/>
          <w:sz w:val="24"/>
          <w:szCs w:val="24"/>
          <w:rtl w:val="0"/>
          <w:lang w:val="en-US"/>
        </w:rPr>
        <w:t>There were 30 participants in Conditions 1 and 2, 28 participants in Condition 3, and 27 participants in Condition 4. All participants completed the study and received course credit for their participation. All participants had normal or corrected to normal vision. To ensure that our analyses included only participants who performed well above chance on the category learning task - while sufficiently attending to the concurrent numerical Stroop</w:t>
      </w:r>
      <w:r>
        <w:rPr>
          <w:rFonts w:hAnsi="Trebuchet MS" w:hint="default"/>
          <w:sz w:val="24"/>
          <w:szCs w:val="24"/>
          <w:rtl w:val="0"/>
          <w:lang w:val="en-US"/>
        </w:rPr>
        <w:t xml:space="preserve"> – </w:t>
      </w:r>
      <w:r>
        <w:rPr>
          <w:rFonts w:ascii="Times New Roman"/>
          <w:sz w:val="24"/>
          <w:szCs w:val="24"/>
          <w:rtl w:val="0"/>
          <w:lang w:val="en-US"/>
        </w:rPr>
        <w:t>two exclusion criteria were applied. First, a learning criterion of 40% correct (25% is chance) during acquisition trials 200-250 was applied. Note that these trials correspond to the last 50 trials of initial learning in which no dual task was present across all four conditions. Second, any participant whose mean overall performance on the Stroop task was less than 85% correct was excluded. Using these criteria, we excluded 8 participants from Condition 1, 11 participants from Condition 2, 7 participants from Condition 3, and 9 participants from Condition 4. The experimental design for each condition is shown in Figure 2.</w:t>
      </w:r>
    </w:p>
    <w:p>
      <w:pPr>
        <w:pStyle w:val="Body A"/>
        <w:spacing w:after="0" w:line="480" w:lineRule="auto"/>
        <w:ind w:firstLine="720"/>
        <w:jc w:val="center"/>
        <w:rPr>
          <w:rFonts w:ascii="Times New Roman" w:cs="Times New Roman" w:hAnsi="Times New Roman" w:eastAsia="Times New Roman"/>
          <w:sz w:val="24"/>
          <w:szCs w:val="24"/>
        </w:rPr>
      </w:pPr>
      <w:r>
        <w:rPr>
          <w:rFonts w:ascii="Times New Roman"/>
          <w:sz w:val="24"/>
          <w:szCs w:val="24"/>
          <w:rtl w:val="0"/>
          <w:lang w:val="en-US"/>
        </w:rPr>
        <w:t>INSERT FIGURE 2 ABOUT HERE</w:t>
      </w:r>
    </w:p>
    <w:p>
      <w:pPr>
        <w:pStyle w:val="Body A"/>
        <w:spacing w:after="0" w:line="480" w:lineRule="auto"/>
        <w:rPr>
          <w:rFonts w:ascii="Times New Roman" w:cs="Times New Roman" w:hAnsi="Times New Roman" w:eastAsia="Times New Roman"/>
          <w:i w:val="1"/>
          <w:iCs w:val="1"/>
          <w:sz w:val="24"/>
          <w:szCs w:val="24"/>
        </w:rPr>
      </w:pPr>
      <w:r>
        <w:rPr>
          <w:rFonts w:ascii="Times New Roman"/>
          <w:i w:val="1"/>
          <w:iCs w:val="1"/>
          <w:sz w:val="24"/>
          <w:szCs w:val="24"/>
          <w:rtl w:val="0"/>
          <w:lang w:val="da-DK"/>
        </w:rPr>
        <w:t>Stimuli</w:t>
      </w:r>
    </w:p>
    <w:p>
      <w:pPr>
        <w:pStyle w:val="Body A"/>
        <w:spacing w:after="0" w:line="480" w:lineRule="auto"/>
        <w:ind w:firstLine="720"/>
        <w:rPr>
          <w:rFonts w:ascii="Times New Roman" w:cs="Times New Roman" w:hAnsi="Times New Roman" w:eastAsia="Times New Roman"/>
          <w:sz w:val="24"/>
          <w:szCs w:val="24"/>
        </w:rPr>
      </w:pPr>
      <w:r>
        <w:rPr>
          <w:rFonts w:ascii="Times New Roman"/>
          <w:sz w:val="24"/>
          <w:szCs w:val="24"/>
          <w:rtl w:val="0"/>
          <w:lang w:val="en-US"/>
        </w:rPr>
        <w:t xml:space="preserve">Stimuli were black lines that varied across trials only in length (pixels) and orientation (degrees counterclockwise rotation from horizontal). The stimuli are illustrated graphically in Figure </w:t>
      </w:r>
      <w:r>
        <w:rPr>
          <w:rFonts w:ascii="Times New Roman"/>
          <w:sz w:val="24"/>
          <w:szCs w:val="24"/>
          <w:rtl w:val="0"/>
          <w:lang w:val="en-US"/>
        </w:rPr>
        <w:t>1</w:t>
      </w:r>
      <w:r>
        <w:rPr>
          <w:rFonts w:ascii="Times New Roman"/>
          <w:sz w:val="24"/>
          <w:szCs w:val="24"/>
          <w:rtl w:val="0"/>
          <w:lang w:val="en-US"/>
        </w:rPr>
        <w:t>, and were identical to those used by Crossley et al. (2012).</w:t>
      </w:r>
    </w:p>
    <w:p>
      <w:pPr>
        <w:pStyle w:val="Body A"/>
        <w:spacing w:after="0" w:line="480" w:lineRule="auto"/>
        <w:outlineLvl w:val="0"/>
        <w:rPr>
          <w:rFonts w:ascii="Times New Roman" w:cs="Times New Roman" w:hAnsi="Times New Roman" w:eastAsia="Times New Roman"/>
          <w:i w:val="1"/>
          <w:iCs w:val="1"/>
          <w:sz w:val="24"/>
          <w:szCs w:val="24"/>
        </w:rPr>
      </w:pPr>
      <w:r>
        <w:rPr>
          <w:rFonts w:ascii="Times New Roman"/>
          <w:i w:val="1"/>
          <w:iCs w:val="1"/>
          <w:sz w:val="24"/>
          <w:szCs w:val="24"/>
          <w:rtl w:val="0"/>
          <w:lang w:val="en-US"/>
        </w:rPr>
        <w:t>Procedure</w:t>
      </w:r>
    </w:p>
    <w:p>
      <w:pPr>
        <w:pStyle w:val="List Paragraph"/>
        <w:spacing w:after="0" w:line="480" w:lineRule="auto"/>
        <w:ind w:left="0" w:firstLine="720"/>
        <w:rPr>
          <w:rFonts w:ascii="Times New Roman" w:cs="Times New Roman" w:hAnsi="Times New Roman" w:eastAsia="Times New Roman"/>
          <w:sz w:val="24"/>
          <w:szCs w:val="24"/>
        </w:rPr>
      </w:pPr>
      <w:r>
        <w:rPr>
          <w:rFonts w:ascii="Times New Roman"/>
          <w:sz w:val="24"/>
          <w:szCs w:val="24"/>
          <w:rtl w:val="0"/>
          <w:lang w:val="en-US"/>
        </w:rPr>
        <w:t xml:space="preserve">Participants in all conditions were told that they were to categorize lines on the basis of their length and orientation, that there were four equally-likely categories, and that high levels of accuracy could be achieved. At the start of each non-Stroop trial, a fixation point was displayed for 1 second and then the stimulus appeared. The stimulus remained on the screen until the participant generated a response by pressing the </w:t>
      </w:r>
      <w:r>
        <w:rPr>
          <w:rFonts w:hAnsi="Trebuchet MS" w:hint="default"/>
          <w:sz w:val="24"/>
          <w:szCs w:val="24"/>
          <w:rtl w:val="0"/>
          <w:lang w:val="en-US"/>
        </w:rPr>
        <w:t>“</w:t>
      </w:r>
      <w:r>
        <w:rPr>
          <w:rFonts w:ascii="Times New Roman"/>
          <w:sz w:val="24"/>
          <w:szCs w:val="24"/>
          <w:rtl w:val="0"/>
          <w:lang w:val="en-US"/>
        </w:rPr>
        <w:t>Z</w:t>
      </w:r>
      <w:r>
        <w:rPr>
          <w:rFonts w:hAnsi="Trebuchet MS" w:hint="default"/>
          <w:sz w:val="24"/>
          <w:szCs w:val="24"/>
          <w:rtl w:val="0"/>
          <w:lang w:val="en-US"/>
        </w:rPr>
        <w:t xml:space="preserve">” </w:t>
      </w:r>
      <w:r>
        <w:rPr>
          <w:rFonts w:ascii="Times New Roman"/>
          <w:sz w:val="24"/>
          <w:szCs w:val="24"/>
          <w:rtl w:val="0"/>
          <w:lang w:val="en-US"/>
        </w:rPr>
        <w:t xml:space="preserve">key for category A, the </w:t>
      </w:r>
      <w:r>
        <w:rPr>
          <w:rFonts w:hAnsi="Trebuchet MS" w:hint="default"/>
          <w:sz w:val="24"/>
          <w:szCs w:val="24"/>
          <w:rtl w:val="0"/>
          <w:lang w:val="en-US"/>
        </w:rPr>
        <w:t>“</w:t>
      </w:r>
      <w:r>
        <w:rPr>
          <w:rFonts w:ascii="Times New Roman"/>
          <w:sz w:val="24"/>
          <w:szCs w:val="24"/>
          <w:rtl w:val="0"/>
          <w:lang w:val="en-US"/>
        </w:rPr>
        <w:t>W</w:t>
      </w:r>
      <w:r>
        <w:rPr>
          <w:rFonts w:hAnsi="Trebuchet MS" w:hint="default"/>
          <w:sz w:val="24"/>
          <w:szCs w:val="24"/>
          <w:rtl w:val="0"/>
          <w:lang w:val="en-US"/>
        </w:rPr>
        <w:t xml:space="preserve">” </w:t>
      </w:r>
      <w:r>
        <w:rPr>
          <w:rFonts w:ascii="Times New Roman"/>
          <w:sz w:val="24"/>
          <w:szCs w:val="24"/>
          <w:rtl w:val="0"/>
          <w:lang w:val="en-US"/>
        </w:rPr>
        <w:t xml:space="preserve">key for category B, the </w:t>
      </w:r>
      <w:r>
        <w:rPr>
          <w:rFonts w:hAnsi="Trebuchet MS" w:hint="default"/>
          <w:sz w:val="24"/>
          <w:szCs w:val="24"/>
          <w:rtl w:val="0"/>
          <w:lang w:val="en-US"/>
        </w:rPr>
        <w:t>“</w:t>
      </w:r>
      <w:r>
        <w:rPr>
          <w:rFonts w:ascii="Times New Roman"/>
          <w:sz w:val="24"/>
          <w:szCs w:val="24"/>
          <w:rtl w:val="0"/>
          <w:lang w:val="en-US"/>
        </w:rPr>
        <w:t>/</w:t>
      </w:r>
      <w:r>
        <w:rPr>
          <w:rFonts w:hAnsi="Trebuchet MS" w:hint="default"/>
          <w:sz w:val="24"/>
          <w:szCs w:val="24"/>
          <w:rtl w:val="0"/>
          <w:lang w:val="en-US"/>
        </w:rPr>
        <w:t xml:space="preserve">” </w:t>
      </w:r>
      <w:r>
        <w:rPr>
          <w:rFonts w:ascii="Times New Roman"/>
          <w:sz w:val="24"/>
          <w:szCs w:val="24"/>
          <w:rtl w:val="0"/>
          <w:lang w:val="en-US"/>
        </w:rPr>
        <w:t xml:space="preserve">key for category C, or the </w:t>
      </w:r>
      <w:r>
        <w:rPr>
          <w:rFonts w:hAnsi="Trebuchet MS" w:hint="default"/>
          <w:sz w:val="24"/>
          <w:szCs w:val="24"/>
          <w:rtl w:val="0"/>
          <w:lang w:val="en-US"/>
        </w:rPr>
        <w:t>“</w:t>
      </w:r>
      <w:r>
        <w:rPr>
          <w:rFonts w:ascii="Times New Roman"/>
          <w:sz w:val="24"/>
          <w:szCs w:val="24"/>
          <w:rtl w:val="0"/>
          <w:lang w:val="en-US"/>
        </w:rPr>
        <w:t>P</w:t>
      </w:r>
      <w:r>
        <w:rPr>
          <w:rFonts w:hAnsi="Trebuchet MS" w:hint="default"/>
          <w:sz w:val="24"/>
          <w:szCs w:val="24"/>
          <w:rtl w:val="0"/>
          <w:lang w:val="en-US"/>
        </w:rPr>
        <w:t xml:space="preserve">” </w:t>
      </w:r>
      <w:r>
        <w:rPr>
          <w:rFonts w:ascii="Times New Roman"/>
          <w:sz w:val="24"/>
          <w:szCs w:val="24"/>
          <w:rtl w:val="0"/>
          <w:lang w:val="en-US"/>
        </w:rPr>
        <w:t xml:space="preserve">key for category D. Written instructions informed participants of the category label to button mappings. An </w:t>
      </w:r>
      <w:r>
        <w:rPr>
          <w:rFonts w:hAnsi="Trebuchet MS" w:hint="default"/>
          <w:sz w:val="24"/>
          <w:szCs w:val="24"/>
          <w:rtl w:val="0"/>
          <w:lang w:val="en-US"/>
        </w:rPr>
        <w:t>“</w:t>
      </w:r>
      <w:r>
        <w:rPr>
          <w:rFonts w:ascii="Times New Roman"/>
          <w:sz w:val="24"/>
          <w:szCs w:val="24"/>
          <w:rtl w:val="0"/>
          <w:lang w:val="en-US"/>
        </w:rPr>
        <w:t>invalid key</w:t>
      </w:r>
      <w:r>
        <w:rPr>
          <w:rFonts w:hAnsi="Trebuchet MS" w:hint="default"/>
          <w:sz w:val="24"/>
          <w:szCs w:val="24"/>
          <w:rtl w:val="0"/>
          <w:lang w:val="en-US"/>
        </w:rPr>
        <w:t xml:space="preserve">” </w:t>
      </w:r>
      <w:r>
        <w:rPr>
          <w:rFonts w:ascii="Times New Roman"/>
          <w:sz w:val="24"/>
          <w:szCs w:val="24"/>
          <w:rtl w:val="0"/>
          <w:lang w:val="en-US"/>
        </w:rPr>
        <w:t xml:space="preserve">message was displayed if any other button was pressed. The word </w:t>
      </w:r>
      <w:r>
        <w:rPr>
          <w:rFonts w:hAnsi="Trebuchet MS" w:hint="default"/>
          <w:sz w:val="24"/>
          <w:szCs w:val="24"/>
          <w:rtl w:val="0"/>
          <w:lang w:val="en-US"/>
        </w:rPr>
        <w:t>“</w:t>
      </w:r>
      <w:r>
        <w:rPr>
          <w:rFonts w:ascii="Times New Roman"/>
          <w:sz w:val="24"/>
          <w:szCs w:val="24"/>
          <w:rtl w:val="0"/>
          <w:lang w:val="en-US"/>
        </w:rPr>
        <w:t>Correct</w:t>
      </w:r>
      <w:r>
        <w:rPr>
          <w:rFonts w:hAnsi="Trebuchet MS" w:hint="default"/>
          <w:sz w:val="24"/>
          <w:szCs w:val="24"/>
          <w:rtl w:val="0"/>
          <w:lang w:val="en-US"/>
        </w:rPr>
        <w:t xml:space="preserve">” </w:t>
      </w:r>
      <w:r>
        <w:rPr>
          <w:rFonts w:ascii="Times New Roman"/>
          <w:sz w:val="24"/>
          <w:szCs w:val="24"/>
          <w:rtl w:val="0"/>
          <w:lang w:val="en-US"/>
        </w:rPr>
        <w:t xml:space="preserve">was presented for 1 second if the response was correct or the word </w:t>
      </w:r>
      <w:r>
        <w:rPr>
          <w:rFonts w:hAnsi="Trebuchet MS" w:hint="default"/>
          <w:sz w:val="24"/>
          <w:szCs w:val="24"/>
          <w:rtl w:val="0"/>
          <w:lang w:val="en-US"/>
        </w:rPr>
        <w:t>“</w:t>
      </w:r>
      <w:r>
        <w:rPr>
          <w:rFonts w:ascii="Times New Roman"/>
          <w:sz w:val="24"/>
          <w:szCs w:val="24"/>
          <w:rtl w:val="0"/>
          <w:lang w:val="en-US"/>
        </w:rPr>
        <w:t>Wrong</w:t>
      </w:r>
      <w:r>
        <w:rPr>
          <w:rFonts w:hAnsi="Trebuchet MS" w:hint="default"/>
          <w:sz w:val="24"/>
          <w:szCs w:val="24"/>
          <w:rtl w:val="0"/>
          <w:lang w:val="en-US"/>
        </w:rPr>
        <w:t xml:space="preserve">” </w:t>
      </w:r>
      <w:r>
        <w:rPr>
          <w:rFonts w:ascii="Times New Roman"/>
          <w:sz w:val="24"/>
          <w:szCs w:val="24"/>
          <w:rtl w:val="0"/>
          <w:lang w:val="en-US"/>
        </w:rPr>
        <w:t>was presented for 1 second if the response was incorrect (except during the intervention phase in which feedback was completely random).</w:t>
      </w:r>
    </w:p>
    <w:p>
      <w:pPr>
        <w:pStyle w:val="List Paragraph"/>
        <w:spacing w:after="0" w:line="480" w:lineRule="auto"/>
        <w:ind w:left="0" w:firstLine="720"/>
        <w:rPr>
          <w:rFonts w:ascii="Times New Roman" w:cs="Times New Roman" w:hAnsi="Times New Roman" w:eastAsia="Times New Roman"/>
          <w:sz w:val="24"/>
          <w:szCs w:val="24"/>
        </w:rPr>
      </w:pPr>
      <w:r>
        <w:rPr>
          <w:rFonts w:ascii="Times New Roman"/>
          <w:sz w:val="24"/>
          <w:szCs w:val="24"/>
          <w:rtl w:val="0"/>
          <w:lang w:val="en-US"/>
        </w:rPr>
        <w:t xml:space="preserve">Stroop trials began with a fixation point that was displayed for 1 second. The category stimulus and the Stroop stimuli (numbers flanking the category stimulus) were displayed simultaneously. After 200 ms the Stroop stimuli were replaced by white rectangles </w:t>
      </w:r>
      <w:r>
        <w:rPr>
          <w:rFonts w:ascii="Times New Roman"/>
          <w:sz w:val="24"/>
          <w:szCs w:val="24"/>
          <w:rtl w:val="0"/>
          <w:lang w:val="en-US"/>
        </w:rPr>
        <w:t xml:space="preserve">which remained on the screen until they made </w:t>
      </w:r>
      <w:r>
        <w:rPr>
          <w:rFonts w:ascii="Times New Roman"/>
          <w:sz w:val="24"/>
          <w:szCs w:val="24"/>
          <w:rtl w:val="0"/>
          <w:lang w:val="en-US"/>
        </w:rPr>
        <w:t xml:space="preserve">a category response. </w:t>
      </w:r>
      <w:r>
        <w:rPr>
          <w:rFonts w:ascii="Times New Roman"/>
          <w:sz w:val="24"/>
          <w:szCs w:val="24"/>
          <w:rtl w:val="0"/>
          <w:lang w:val="en-US"/>
        </w:rPr>
        <w:t xml:space="preserve">Responses emitted before the Stroop stimuli were replaced by white rectangles were not accepted. </w:t>
      </w:r>
      <w:r>
        <w:rPr>
          <w:rFonts w:ascii="Times New Roman"/>
          <w:sz w:val="24"/>
          <w:szCs w:val="24"/>
          <w:rtl w:val="0"/>
          <w:lang w:val="en-US"/>
        </w:rPr>
        <w:t xml:space="preserve">Feedback about the category response was given immediately in the same fashion as on non-Stroop trials. The word </w:t>
      </w:r>
      <w:r>
        <w:rPr>
          <w:rFonts w:hAnsi="Trebuchet MS" w:hint="default"/>
          <w:sz w:val="24"/>
          <w:szCs w:val="24"/>
          <w:rtl w:val="0"/>
          <w:lang w:val="en-US"/>
        </w:rPr>
        <w:t>“</w:t>
      </w:r>
      <w:r>
        <w:rPr>
          <w:rFonts w:ascii="Times New Roman"/>
          <w:sz w:val="24"/>
          <w:szCs w:val="24"/>
          <w:rtl w:val="0"/>
          <w:lang w:val="en-US"/>
        </w:rPr>
        <w:t>value</w:t>
      </w:r>
      <w:r>
        <w:rPr>
          <w:rFonts w:hAnsi="Trebuchet MS" w:hint="default"/>
          <w:sz w:val="24"/>
          <w:szCs w:val="24"/>
          <w:rtl w:val="0"/>
          <w:lang w:val="en-US"/>
        </w:rPr>
        <w:t xml:space="preserve">” </w:t>
      </w:r>
      <w:r>
        <w:rPr>
          <w:rFonts w:ascii="Times New Roman"/>
          <w:sz w:val="24"/>
          <w:szCs w:val="24"/>
          <w:rtl w:val="0"/>
          <w:lang w:val="en-US"/>
        </w:rPr>
        <w:t xml:space="preserve">or </w:t>
      </w:r>
      <w:r>
        <w:rPr>
          <w:rFonts w:hAnsi="Trebuchet MS" w:hint="default"/>
          <w:sz w:val="24"/>
          <w:szCs w:val="24"/>
          <w:rtl w:val="0"/>
          <w:lang w:val="en-US"/>
        </w:rPr>
        <w:t>“</w:t>
      </w:r>
      <w:r>
        <w:rPr>
          <w:rFonts w:ascii="Times New Roman"/>
          <w:sz w:val="24"/>
          <w:szCs w:val="24"/>
          <w:rtl w:val="0"/>
          <w:lang w:val="en-US"/>
        </w:rPr>
        <w:t>size</w:t>
      </w:r>
      <w:r>
        <w:rPr>
          <w:rFonts w:hAnsi="Trebuchet MS" w:hint="default"/>
          <w:sz w:val="24"/>
          <w:szCs w:val="24"/>
          <w:rtl w:val="0"/>
          <w:lang w:val="en-US"/>
        </w:rPr>
        <w:t xml:space="preserve">” </w:t>
      </w:r>
      <w:r>
        <w:rPr>
          <w:rFonts w:ascii="Times New Roman"/>
          <w:sz w:val="24"/>
          <w:szCs w:val="24"/>
          <w:rtl w:val="0"/>
          <w:lang w:val="en-US"/>
        </w:rPr>
        <w:t xml:space="preserve">then appeared on the screen prompting participants to indicate which side contained the numerically larger or the physically larger number. Participants pressed the </w:t>
      </w:r>
      <w:r>
        <w:rPr>
          <w:rFonts w:hAnsi="Trebuchet MS" w:hint="default"/>
          <w:sz w:val="24"/>
          <w:szCs w:val="24"/>
          <w:rtl w:val="0"/>
          <w:lang w:val="en-US"/>
        </w:rPr>
        <w:t>‘</w:t>
      </w:r>
      <w:r>
        <w:rPr>
          <w:rFonts w:ascii="Times New Roman"/>
          <w:sz w:val="24"/>
          <w:szCs w:val="24"/>
          <w:rtl w:val="0"/>
          <w:lang w:val="en-US"/>
        </w:rPr>
        <w:t>F</w:t>
      </w:r>
      <w:r>
        <w:rPr>
          <w:rFonts w:hAnsi="Trebuchet MS" w:hint="default"/>
          <w:sz w:val="24"/>
          <w:szCs w:val="24"/>
          <w:rtl w:val="0"/>
          <w:lang w:val="en-US"/>
        </w:rPr>
        <w:t xml:space="preserve">’ </w:t>
      </w:r>
      <w:r>
        <w:rPr>
          <w:rFonts w:ascii="Times New Roman"/>
          <w:sz w:val="24"/>
          <w:szCs w:val="24"/>
          <w:rtl w:val="0"/>
          <w:lang w:val="en-US"/>
        </w:rPr>
        <w:t xml:space="preserve">key to choose the number on the left or the </w:t>
      </w:r>
      <w:r>
        <w:rPr>
          <w:rFonts w:hAnsi="Trebuchet MS" w:hint="default"/>
          <w:sz w:val="24"/>
          <w:szCs w:val="24"/>
          <w:rtl w:val="0"/>
          <w:lang w:val="en-US"/>
        </w:rPr>
        <w:t>‘</w:t>
      </w:r>
      <w:r>
        <w:rPr>
          <w:rFonts w:ascii="Times New Roman"/>
          <w:sz w:val="24"/>
          <w:szCs w:val="24"/>
          <w:rtl w:val="0"/>
          <w:lang w:val="en-US"/>
        </w:rPr>
        <w:t>J</w:t>
      </w:r>
      <w:r>
        <w:rPr>
          <w:rFonts w:hAnsi="Trebuchet MS" w:hint="default"/>
          <w:sz w:val="24"/>
          <w:szCs w:val="24"/>
          <w:rtl w:val="0"/>
          <w:lang w:val="en-US"/>
        </w:rPr>
        <w:t xml:space="preserve">’ </w:t>
      </w:r>
      <w:r>
        <w:rPr>
          <w:rFonts w:ascii="Times New Roman"/>
          <w:sz w:val="24"/>
          <w:szCs w:val="24"/>
          <w:rtl w:val="0"/>
          <w:lang w:val="en-US"/>
        </w:rPr>
        <w:t xml:space="preserve">key to choose the number on the right. The word </w:t>
      </w:r>
      <w:r>
        <w:rPr>
          <w:rFonts w:hAnsi="Trebuchet MS" w:hint="default"/>
          <w:sz w:val="24"/>
          <w:szCs w:val="24"/>
          <w:rtl w:val="0"/>
          <w:lang w:val="en-US"/>
        </w:rPr>
        <w:t>“</w:t>
      </w:r>
      <w:r>
        <w:rPr>
          <w:rFonts w:ascii="Times New Roman"/>
          <w:sz w:val="24"/>
          <w:szCs w:val="24"/>
          <w:rtl w:val="0"/>
          <w:lang w:val="en-US"/>
        </w:rPr>
        <w:t>Correct</w:t>
      </w:r>
      <w:r>
        <w:rPr>
          <w:rFonts w:hAnsi="Trebuchet MS" w:hint="default"/>
          <w:sz w:val="24"/>
          <w:szCs w:val="24"/>
          <w:rtl w:val="0"/>
          <w:lang w:val="en-US"/>
        </w:rPr>
        <w:t xml:space="preserve">” </w:t>
      </w:r>
      <w:r>
        <w:rPr>
          <w:rFonts w:ascii="Times New Roman"/>
          <w:sz w:val="24"/>
          <w:szCs w:val="24"/>
          <w:rtl w:val="0"/>
          <w:lang w:val="en-US"/>
        </w:rPr>
        <w:t xml:space="preserve">was then again presented for 1 second if the response to the Stroop task was correct or the word </w:t>
      </w:r>
      <w:r>
        <w:rPr>
          <w:rFonts w:hAnsi="Trebuchet MS" w:hint="default"/>
          <w:sz w:val="24"/>
          <w:szCs w:val="24"/>
          <w:rtl w:val="0"/>
          <w:lang w:val="en-US"/>
        </w:rPr>
        <w:t>“</w:t>
      </w:r>
      <w:r>
        <w:rPr>
          <w:rFonts w:ascii="Times New Roman"/>
          <w:sz w:val="24"/>
          <w:szCs w:val="24"/>
          <w:rtl w:val="0"/>
          <w:lang w:val="en-US"/>
        </w:rPr>
        <w:t>Wrong</w:t>
      </w:r>
      <w:r>
        <w:rPr>
          <w:rFonts w:hAnsi="Trebuchet MS" w:hint="default"/>
          <w:sz w:val="24"/>
          <w:szCs w:val="24"/>
          <w:rtl w:val="0"/>
          <w:lang w:val="en-US"/>
        </w:rPr>
        <w:t xml:space="preserve">” </w:t>
      </w:r>
      <w:r>
        <w:rPr>
          <w:rFonts w:ascii="Times New Roman"/>
          <w:sz w:val="24"/>
          <w:szCs w:val="24"/>
          <w:rtl w:val="0"/>
          <w:lang w:val="en-US"/>
        </w:rPr>
        <w:t>was presented for 1 second if the response was incorrect.</w:t>
      </w:r>
      <w:r>
        <w:rPr>
          <w:rFonts w:ascii="Times New Roman"/>
          <w:sz w:val="24"/>
          <w:szCs w:val="24"/>
          <w:rtl w:val="0"/>
          <w:lang w:val="en-US"/>
        </w:rPr>
        <w:t xml:space="preserve"> See Figure 1 for example trials both including and excluding the Stroop component. </w:t>
      </w:r>
    </w:p>
    <w:p>
      <w:pPr>
        <w:pStyle w:val="List Paragraph"/>
        <w:spacing w:after="0" w:line="480" w:lineRule="auto"/>
        <w:ind w:left="0" w:firstLine="720"/>
        <w:rPr>
          <w:rFonts w:ascii="Times New Roman" w:cs="Times New Roman" w:hAnsi="Times New Roman" w:eastAsia="Times New Roman"/>
          <w:color w:val="ff2600"/>
          <w:position w:val="8"/>
          <w:sz w:val="24"/>
          <w:szCs w:val="24"/>
          <w:u w:color="000000"/>
        </w:rPr>
      </w:pPr>
      <w:r>
        <w:rPr>
          <w:rFonts w:ascii="Times New Roman"/>
          <w:sz w:val="24"/>
          <w:szCs w:val="24"/>
          <w:rtl w:val="0"/>
          <w:lang w:val="en-US"/>
        </w:rPr>
        <w:t xml:space="preserve">Participants were instructed to try their hardest on both task components but to prioritize performance on the Stroop task. Both the category learning task and the Stroop task were explained to participants prior to beginning the experiment, and on screen messages warned them when the Stroop component would begin, and again when it would end. These messages read, </w:t>
      </w:r>
      <w:r>
        <w:rPr>
          <w:rFonts w:hAnsi="Trebuchet MS" w:hint="default"/>
          <w:sz w:val="24"/>
          <w:szCs w:val="24"/>
          <w:rtl w:val="0"/>
          <w:lang w:val="en-US"/>
        </w:rPr>
        <w:t>“</w:t>
      </w:r>
      <w:r>
        <w:rPr>
          <w:rFonts w:ascii="Times New Roman"/>
          <w:sz w:val="24"/>
          <w:szCs w:val="24"/>
          <w:rtl w:val="0"/>
          <w:lang w:val="en-US"/>
        </w:rPr>
        <w:t>You will now perform both the categorization task and the paired numbers task simultaneously. Keep trying your hardest!</w:t>
      </w:r>
      <w:r>
        <w:rPr>
          <w:rFonts w:hAnsi="Trebuchet MS" w:hint="default"/>
          <w:sz w:val="24"/>
          <w:szCs w:val="24"/>
          <w:rtl w:val="0"/>
          <w:lang w:val="en-US"/>
        </w:rPr>
        <w:t xml:space="preserve">” </w:t>
      </w:r>
      <w:r>
        <w:rPr>
          <w:rFonts w:ascii="Times New Roman"/>
          <w:sz w:val="24"/>
          <w:szCs w:val="24"/>
          <w:rtl w:val="0"/>
          <w:lang w:val="en-US"/>
        </w:rPr>
        <w:t xml:space="preserve">and </w:t>
      </w:r>
      <w:r>
        <w:rPr>
          <w:rFonts w:hAnsi="Trebuchet MS" w:hint="default"/>
          <w:sz w:val="24"/>
          <w:szCs w:val="24"/>
          <w:rtl w:val="0"/>
          <w:lang w:val="en-US"/>
        </w:rPr>
        <w:t>“</w:t>
      </w:r>
      <w:r>
        <w:rPr>
          <w:rFonts w:ascii="Times New Roman"/>
          <w:sz w:val="24"/>
          <w:szCs w:val="24"/>
          <w:rtl w:val="0"/>
          <w:lang w:val="en-US"/>
        </w:rPr>
        <w:t>You have now finished the section with the paired numbers task. You will now be shown only the line categorization task. Keep trying your hardest.</w:t>
      </w:r>
      <w:r>
        <w:rPr>
          <w:rFonts w:hAnsi="Trebuchet MS" w:hint="default"/>
          <w:sz w:val="24"/>
          <w:szCs w:val="24"/>
          <w:rtl w:val="0"/>
          <w:lang w:val="en-US"/>
        </w:rPr>
        <w:t xml:space="preserve">” </w:t>
      </w:r>
      <w:r>
        <w:rPr>
          <w:rFonts w:ascii="Times New Roman"/>
          <w:sz w:val="24"/>
          <w:szCs w:val="24"/>
          <w:u w:color="ff0000"/>
          <w:rtl w:val="0"/>
          <w:lang w:val="en-US"/>
        </w:rPr>
        <w:t xml:space="preserve">85% of Stroop trials the numerically larger number was physically smaller. The proportion of Stroop trials that prompted </w:t>
      </w:r>
      <w:r>
        <w:rPr>
          <w:rFonts w:hAnsi="Trebuchet MS" w:hint="default"/>
          <w:sz w:val="24"/>
          <w:szCs w:val="24"/>
          <w:u w:color="ff0000"/>
          <w:rtl w:val="0"/>
          <w:lang w:val="en-US"/>
        </w:rPr>
        <w:t>“</w:t>
      </w:r>
      <w:r>
        <w:rPr>
          <w:rFonts w:ascii="Times New Roman"/>
          <w:sz w:val="24"/>
          <w:szCs w:val="24"/>
          <w:u w:color="ff0000"/>
          <w:rtl w:val="0"/>
          <w:lang w:val="en-US"/>
        </w:rPr>
        <w:t>size</w:t>
      </w:r>
      <w:r>
        <w:rPr>
          <w:rFonts w:hAnsi="Trebuchet MS" w:hint="default"/>
          <w:sz w:val="24"/>
          <w:szCs w:val="24"/>
          <w:u w:color="ff0000"/>
          <w:rtl w:val="0"/>
          <w:lang w:val="en-US"/>
        </w:rPr>
        <w:t xml:space="preserve">” </w:t>
      </w:r>
      <w:r>
        <w:rPr>
          <w:rFonts w:ascii="Times New Roman"/>
          <w:sz w:val="24"/>
          <w:szCs w:val="24"/>
          <w:u w:color="ff0000"/>
          <w:rtl w:val="0"/>
          <w:lang w:val="en-US"/>
        </w:rPr>
        <w:t xml:space="preserve">or </w:t>
      </w:r>
      <w:r>
        <w:rPr>
          <w:rFonts w:hAnsi="Trebuchet MS" w:hint="default"/>
          <w:sz w:val="24"/>
          <w:szCs w:val="24"/>
          <w:u w:color="ff0000"/>
          <w:rtl w:val="0"/>
          <w:lang w:val="en-US"/>
        </w:rPr>
        <w:t>“</w:t>
      </w:r>
      <w:r>
        <w:rPr>
          <w:rFonts w:ascii="Times New Roman"/>
          <w:sz w:val="24"/>
          <w:szCs w:val="24"/>
          <w:u w:color="ff0000"/>
          <w:rtl w:val="0"/>
          <w:lang w:val="en-US"/>
        </w:rPr>
        <w:t>value</w:t>
      </w:r>
      <w:r>
        <w:rPr>
          <w:rFonts w:hAnsi="Trebuchet MS" w:hint="default"/>
          <w:sz w:val="24"/>
          <w:szCs w:val="24"/>
          <w:u w:color="ff0000"/>
          <w:rtl w:val="0"/>
          <w:lang w:val="en-US"/>
        </w:rPr>
        <w:t xml:space="preserve">” </w:t>
      </w:r>
      <w:r>
        <w:rPr>
          <w:rFonts w:ascii="Times New Roman"/>
          <w:sz w:val="24"/>
          <w:szCs w:val="24"/>
          <w:u w:color="ff0000"/>
          <w:rtl w:val="0"/>
          <w:lang w:val="en-US"/>
        </w:rPr>
        <w:t xml:space="preserve">was split 50/50. Accuracy on the numerical Stroop task was indicated at the top of the screen when they received feedback regarding their performance on the concurrent task on each trial.  This score was displayed in green if it was above 80% and red if it was below 80%. </w:t>
      </w:r>
    </w:p>
    <w:p>
      <w:pPr>
        <w:pStyle w:val="Body A"/>
        <w:spacing w:after="0" w:line="480" w:lineRule="auto"/>
        <w:jc w:val="center"/>
        <w:outlineLvl w:val="0"/>
        <w:rPr>
          <w:rFonts w:ascii="Times New Roman Bold" w:cs="Times New Roman Bold" w:hAnsi="Times New Roman Bold" w:eastAsia="Times New Roman Bold"/>
          <w:sz w:val="24"/>
          <w:szCs w:val="24"/>
        </w:rPr>
      </w:pPr>
      <w:r>
        <w:rPr>
          <w:rFonts w:ascii="Times New Roman Bold"/>
          <w:sz w:val="24"/>
          <w:szCs w:val="24"/>
          <w:rtl w:val="0"/>
          <w:lang w:val="en-US"/>
        </w:rPr>
        <w:t>Results</w:t>
      </w:r>
    </w:p>
    <w:p>
      <w:pPr>
        <w:pStyle w:val="Body A"/>
        <w:spacing w:after="0" w:line="480" w:lineRule="auto"/>
        <w:outlineLvl w:val="0"/>
        <w:rPr>
          <w:rFonts w:ascii="Times New Roman" w:cs="Times New Roman" w:hAnsi="Times New Roman" w:eastAsia="Times New Roman"/>
          <w:sz w:val="24"/>
          <w:szCs w:val="24"/>
        </w:rPr>
      </w:pPr>
      <w:r>
        <w:rPr>
          <w:rFonts w:ascii="Times New Roman"/>
          <w:i w:val="1"/>
          <w:iCs w:val="1"/>
          <w:sz w:val="24"/>
          <w:szCs w:val="24"/>
          <w:rtl w:val="0"/>
          <w:lang w:val="en-US"/>
        </w:rPr>
        <w:t>Accuracy-based results</w:t>
      </w:r>
    </w:p>
    <w:p>
      <w:pPr>
        <w:pStyle w:val="Body A"/>
        <w:spacing w:after="0" w:line="480" w:lineRule="auto"/>
        <w:ind w:firstLine="720"/>
        <w:outlineLvl w:val="0"/>
        <w:rPr>
          <w:rFonts w:ascii="Times New Roman" w:cs="Times New Roman" w:hAnsi="Times New Roman" w:eastAsia="Times New Roman"/>
          <w:sz w:val="24"/>
          <w:szCs w:val="24"/>
        </w:rPr>
      </w:pPr>
      <w:r>
        <w:rPr>
          <w:rFonts w:ascii="Times New Roman"/>
          <w:sz w:val="24"/>
          <w:szCs w:val="24"/>
          <w:rtl w:val="0"/>
          <w:lang w:val="en-US"/>
        </w:rPr>
        <w:t>The top panel of Figure 3 displays the mean accuracy for each 25-trial block in all conditions. During intervention, a response was coded as correct if it agreed with the category membership shown in Figure 1. Recall that the categories and feedback were identical in all conditions throughout the entire experiment, with the exception of the concurrent Stroop task components. Note that participants from all conditions were able to learn the categories, and that accuracy dropped significantly during intervention. Figure 4 shows that conditions 1, 2 and 4 trended towards savings, but failed to reach significance, and condition 3 showed an interference.</w:t>
      </w:r>
    </w:p>
    <w:p>
      <w:pPr>
        <w:pStyle w:val="Body A"/>
        <w:spacing w:after="0" w:line="480" w:lineRule="auto"/>
        <w:jc w:val="center"/>
        <w:outlineLvl w:val="0"/>
        <w:rPr>
          <w:rFonts w:ascii="Times New Roman" w:cs="Times New Roman" w:hAnsi="Times New Roman" w:eastAsia="Times New Roman"/>
          <w:sz w:val="24"/>
          <w:szCs w:val="24"/>
        </w:rPr>
      </w:pPr>
      <w:r>
        <w:rPr>
          <w:rFonts w:ascii="Times New Roman"/>
          <w:sz w:val="24"/>
          <w:szCs w:val="24"/>
          <w:rtl w:val="0"/>
          <w:lang w:val="en-US"/>
        </w:rPr>
        <w:t>INSERT FIGURE 3 ABOUT HERE</w:t>
      </w:r>
    </w:p>
    <w:p>
      <w:pPr>
        <w:pStyle w:val="Body A"/>
        <w:spacing w:after="0" w:line="480" w:lineRule="auto"/>
        <w:ind w:firstLine="720"/>
        <w:outlineLvl w:val="0"/>
        <w:rPr>
          <w:rFonts w:ascii="Times New Roman" w:cs="Times New Roman" w:hAnsi="Times New Roman" w:eastAsia="Times New Roman"/>
          <w:sz w:val="24"/>
          <w:szCs w:val="24"/>
        </w:rPr>
      </w:pPr>
      <w:r>
        <w:rPr>
          <w:rFonts w:ascii="Times New Roman"/>
          <w:sz w:val="24"/>
          <w:szCs w:val="24"/>
          <w:rtl w:val="0"/>
          <w:lang w:val="en-US"/>
        </w:rPr>
        <w:t>All effects</w:t>
      </w:r>
      <w:r>
        <w:rPr>
          <w:rFonts w:ascii="Times New Roman"/>
          <w:sz w:val="24"/>
          <w:szCs w:val="24"/>
          <w:rtl w:val="0"/>
          <w:lang w:val="en-US"/>
        </w:rPr>
        <w:t xml:space="preserve"> in a</w:t>
      </w:r>
      <w:r>
        <w:rPr>
          <w:rFonts w:ascii="Times New Roman"/>
          <w:sz w:val="24"/>
          <w:szCs w:val="24"/>
          <w:rtl w:val="0"/>
          <w:lang w:val="en-US"/>
        </w:rPr>
        <w:t xml:space="preserve"> 4 condition (1, 2, 3, 4) </w:t>
      </w:r>
      <w:r>
        <w:rPr>
          <w:rFonts w:hAnsi="Trebuchet MS" w:hint="default"/>
          <w:sz w:val="24"/>
          <w:szCs w:val="24"/>
          <w:rtl w:val="0"/>
          <w:lang w:val="en-US"/>
        </w:rPr>
        <w:t xml:space="preserve">× </w:t>
      </w:r>
      <w:r>
        <w:rPr>
          <w:rFonts w:ascii="Times New Roman"/>
          <w:sz w:val="24"/>
          <w:szCs w:val="24"/>
          <w:rtl w:val="0"/>
          <w:lang w:val="en-US"/>
        </w:rPr>
        <w:t>3 phase (Acquisition, Intervention, Reacquisition) repeated measures ANOVA</w:t>
      </w:r>
      <w:r>
        <w:rPr>
          <w:rFonts w:ascii="Times New Roman"/>
          <w:sz w:val="24"/>
          <w:szCs w:val="24"/>
          <w:rtl w:val="0"/>
          <w:lang w:val="en-US"/>
        </w:rPr>
        <w:t xml:space="preserve"> were significant </w:t>
      </w:r>
      <w:r>
        <w:rPr>
          <w:rFonts w:ascii="Times New Roman"/>
          <w:sz w:val="24"/>
          <w:szCs w:val="24"/>
          <w:rtl w:val="0"/>
          <w:lang w:val="en-US"/>
        </w:rPr>
        <w:t xml:space="preserve">[Condition: F(3, 69) = 6.56, p &lt; 0.001; Phase: F(2, 2596) = 120.05, p &lt; 0.001; Interaction: F(6, 2596) = 4.93, p &lt; 0.001]. </w:t>
      </w:r>
      <w:r>
        <w:rPr>
          <w:rFonts w:ascii="Times New Roman"/>
          <w:sz w:val="24"/>
          <w:szCs w:val="24"/>
          <w:rtl w:val="0"/>
          <w:lang w:val="en-US"/>
        </w:rPr>
        <w:t>The key result was that s</w:t>
      </w:r>
      <w:r>
        <w:rPr>
          <w:rFonts w:ascii="Times New Roman"/>
          <w:sz w:val="24"/>
          <w:szCs w:val="24"/>
          <w:rtl w:val="0"/>
          <w:lang w:val="en-US"/>
        </w:rPr>
        <w:t xml:space="preserve">avings </w:t>
      </w:r>
      <w:r>
        <w:rPr>
          <w:rFonts w:ascii="Times New Roman"/>
          <w:sz w:val="24"/>
          <w:szCs w:val="24"/>
          <w:rtl w:val="0"/>
          <w:lang w:val="en-US"/>
        </w:rPr>
        <w:t>(</w:t>
      </w:r>
      <w:r>
        <w:rPr>
          <w:rFonts w:ascii="Times New Roman"/>
          <w:sz w:val="24"/>
          <w:szCs w:val="24"/>
          <w:rtl w:val="0"/>
          <w:lang w:val="en-US"/>
        </w:rPr>
        <w:t>estimated as the first 6 blocks of acquisition - all blocks of reacquisition</w:t>
      </w:r>
      <w:r>
        <w:rPr>
          <w:rFonts w:ascii="Times New Roman"/>
          <w:sz w:val="24"/>
          <w:szCs w:val="24"/>
          <w:rtl w:val="0"/>
          <w:lang w:val="en-US"/>
        </w:rPr>
        <w:t>) in</w:t>
      </w:r>
      <w:r>
        <w:rPr>
          <w:rFonts w:ascii="Times New Roman"/>
          <w:sz w:val="24"/>
          <w:szCs w:val="24"/>
          <w:rtl w:val="0"/>
          <w:lang w:val="en-US"/>
        </w:rPr>
        <w:t xml:space="preserve"> conditions 1, 2, and 4 trended towards savings but failed to reach significance, and condition 3 showed a significant impairment.</w:t>
      </w:r>
      <w:r>
        <w:rPr>
          <w:rFonts w:ascii="Times New Roman"/>
          <w:sz w:val="24"/>
          <w:szCs w:val="24"/>
          <w:rtl w:val="0"/>
          <w:lang w:val="en-US"/>
        </w:rPr>
        <w:t xml:space="preserve"> [1: t(2586) = -0.11, p = 0.91; 2: t(2586) = -0.74, p = 0.46; 3: t(2586) = 2.35, p &lt; 0.05; 4: t(2586) = -1.82, p = 0.07].</w:t>
      </w:r>
      <w:r>
        <w:rPr>
          <w:rFonts w:ascii="Times New Roman"/>
          <w:sz w:val="24"/>
          <w:szCs w:val="24"/>
          <w:rtl w:val="0"/>
          <w:lang w:val="en-US"/>
        </w:rPr>
        <w:t xml:space="preserve"> Between-condition comparison of savings is complicated by the results of serval pairwise comparisons that show significant differences between the groups during acquisition and intervention (See Table 1 for details).  </w:t>
      </w:r>
      <w:r>
        <w:rPr>
          <w:rFonts w:ascii="Times New Roman"/>
          <w:sz w:val="24"/>
          <w:szCs w:val="24"/>
          <w:rtl w:val="0"/>
          <w:lang w:val="en-US"/>
        </w:rPr>
        <w:t xml:space="preserve">For instance, accuracy during acquisition in condition 3 was higher than it was in condition 1 or 2.  Accuracy during intervention was higher in condition 3 than it was in conditions 1 or 2. Accuracy in condition 4 was higher than condition 1 during intervention. Accuracy in conditions 3 and 4 were higher than in conditions 1 and 2 during reacquisition. However, note that none of these result will have any effect on our within-condition estimate of savings. </w:t>
      </w:r>
    </w:p>
    <w:p>
      <w:pPr>
        <w:pStyle w:val="Body A"/>
        <w:spacing w:after="0" w:line="480" w:lineRule="auto"/>
        <w:jc w:val="center"/>
        <w:outlineLvl w:val="0"/>
        <w:rPr>
          <w:rFonts w:ascii="Times New Roman" w:cs="Times New Roman" w:hAnsi="Times New Roman" w:eastAsia="Times New Roman"/>
          <w:sz w:val="24"/>
          <w:szCs w:val="24"/>
        </w:rPr>
      </w:pPr>
      <w:r>
        <w:rPr>
          <w:rFonts w:ascii="Times New Roman"/>
          <w:sz w:val="24"/>
          <w:szCs w:val="24"/>
          <w:rtl w:val="0"/>
          <w:lang w:val="en-US"/>
        </w:rPr>
        <w:t>INSERT FIGURE 4 ABOUT HERE</w:t>
      </w:r>
    </w:p>
    <w:p>
      <w:pPr>
        <w:pStyle w:val="Body A"/>
        <w:spacing w:after="0" w:line="480" w:lineRule="auto"/>
        <w:jc w:val="center"/>
        <w:outlineLvl w:val="0"/>
        <w:rPr>
          <w:rFonts w:ascii="Times New Roman" w:cs="Times New Roman" w:hAnsi="Times New Roman" w:eastAsia="Times New Roman"/>
          <w:sz w:val="24"/>
          <w:szCs w:val="24"/>
        </w:rPr>
      </w:pPr>
      <w:r>
        <w:rPr>
          <w:rFonts w:ascii="Times New Roman"/>
          <w:sz w:val="24"/>
          <w:szCs w:val="24"/>
          <w:rtl w:val="0"/>
          <w:lang w:val="en-US"/>
        </w:rPr>
        <w:t>INSERT TABLES 1 ABOUT HERE</w:t>
      </w:r>
    </w:p>
    <w:p>
      <w:pPr>
        <w:pStyle w:val="Body A"/>
        <w:spacing w:after="0" w:line="480" w:lineRule="auto"/>
        <w:outlineLvl w:val="0"/>
        <w:rPr>
          <w:rFonts w:ascii="Times New Roman" w:cs="Times New Roman" w:hAnsi="Times New Roman" w:eastAsia="Times New Roman"/>
          <w:i w:val="1"/>
          <w:iCs w:val="1"/>
          <w:sz w:val="24"/>
          <w:szCs w:val="24"/>
        </w:rPr>
      </w:pPr>
      <w:r>
        <w:rPr>
          <w:rFonts w:ascii="Times New Roman"/>
          <w:i w:val="1"/>
          <w:iCs w:val="1"/>
          <w:sz w:val="24"/>
          <w:szCs w:val="24"/>
          <w:rtl w:val="0"/>
          <w:lang w:val="en-US"/>
        </w:rPr>
        <w:t>Decision Bound Modeling</w:t>
      </w:r>
    </w:p>
    <w:p>
      <w:pPr>
        <w:pStyle w:val="Body A"/>
        <w:spacing w:after="0" w:line="480" w:lineRule="auto"/>
        <w:ind w:firstLine="720"/>
        <w:rPr>
          <w:rFonts w:ascii="Times New Roman" w:cs="Times New Roman" w:hAnsi="Times New Roman" w:eastAsia="Times New Roman"/>
          <w:sz w:val="24"/>
          <w:szCs w:val="24"/>
        </w:rPr>
      </w:pPr>
      <w:r>
        <w:rPr>
          <w:rFonts w:ascii="Times New Roman"/>
          <w:sz w:val="24"/>
          <w:szCs w:val="24"/>
          <w:rtl w:val="0"/>
          <w:lang w:val="en-US"/>
        </w:rPr>
        <w:t>Optimal performance on the category structures used here can only be obtained via a procedural strategy. However, explicit strategies can nevertheless yield better-than-chance performance</w:t>
      </w:r>
      <w:r>
        <w:rPr>
          <w:rFonts w:ascii="Times New Roman"/>
          <w:sz w:val="24"/>
          <w:szCs w:val="24"/>
          <w:rtl w:val="0"/>
          <w:lang w:val="en-US"/>
        </w:rPr>
        <w:t>, and some strategies can even generate accuracy levels similar to those observed in our experiment</w:t>
      </w:r>
      <w:r>
        <w:rPr>
          <w:rFonts w:ascii="Times New Roman"/>
          <w:sz w:val="24"/>
          <w:szCs w:val="24"/>
          <w:rtl w:val="0"/>
          <w:lang w:val="en-US"/>
        </w:rPr>
        <w:t>. Since our goal is to examine savings in procedural learning, we must carefully rule out the contribution to savings from explicit strategies. To this end, we partitioned the data from each participant into blocks of 100 trials and fit different types of decision bound models (e.g., Maddox &amp; Ashby, 1993; Ashby, Waldron, Lee, &amp; Berkman, 2001) to each block of data from every participant. One type assumed a rule-based decision strategy, one type assumed an II (i.e., procedural) strategy, and one type assumed random guessing. See Appendix 1 of Crossley et al. (2012) for more details.</w:t>
      </w:r>
    </w:p>
    <w:p>
      <w:pPr>
        <w:pStyle w:val="Body A"/>
        <w:spacing w:after="0" w:line="480" w:lineRule="auto"/>
        <w:ind w:firstLine="720"/>
        <w:rPr>
          <w:rFonts w:ascii="Times New Roman" w:cs="Times New Roman" w:hAnsi="Times New Roman" w:eastAsia="Times New Roman"/>
          <w:sz w:val="24"/>
          <w:szCs w:val="24"/>
        </w:rPr>
      </w:pPr>
      <w:r>
        <w:rPr>
          <w:rFonts w:ascii="Times New Roman"/>
          <w:sz w:val="24"/>
          <w:szCs w:val="24"/>
          <w:rtl w:val="0"/>
          <w:lang w:val="en-US"/>
        </w:rPr>
        <w:t>Table 2 shows the number of participants in the four conditions best fit by a model of these three types.</w:t>
      </w:r>
      <w:r>
        <w:rPr>
          <w:rFonts w:ascii="Times New Roman"/>
          <w:sz w:val="24"/>
          <w:szCs w:val="24"/>
          <w:u w:color="ff0000"/>
          <w:rtl w:val="0"/>
          <w:lang w:val="en-US"/>
        </w:rPr>
        <w:t xml:space="preserve"> Note that the proportion of II users during the last block of acquisition in every condition is about the same (69%) and that this proportion is reduced by a similar amount in every condition (about 45%). In conditions 1, 2, and 3 this drop in II users is driven almost entirely by an increase in the number of guessers, but in condition 4 this drop is driven by an increase in the number RB users. This suggests that while condition 4 showed the best evidence for savings (though it failed to reach significance), this most likely reflects a shift to suboptimal RB responding and does not reflect a true recovery of the response strategy used during acquisition. </w:t>
      </w:r>
    </w:p>
    <w:p>
      <w:pPr>
        <w:pStyle w:val="Body A"/>
        <w:spacing w:after="0" w:line="480" w:lineRule="auto"/>
        <w:jc w:val="center"/>
        <w:outlineLvl w:val="0"/>
        <w:rPr>
          <w:rFonts w:ascii="Times New Roman" w:cs="Times New Roman" w:hAnsi="Times New Roman" w:eastAsia="Times New Roman"/>
          <w:sz w:val="24"/>
          <w:szCs w:val="24"/>
        </w:rPr>
      </w:pPr>
      <w:r>
        <w:rPr>
          <w:rFonts w:ascii="Times New Roman"/>
          <w:sz w:val="24"/>
          <w:szCs w:val="24"/>
          <w:rtl w:val="0"/>
          <w:lang w:val="en-US"/>
        </w:rPr>
        <w:t xml:space="preserve">INSERT TABLE 2 ABOUT HERE </w:t>
      </w:r>
    </w:p>
    <w:p>
      <w:pPr>
        <w:pStyle w:val="Body A"/>
        <w:spacing w:after="0" w:line="480" w:lineRule="auto"/>
        <w:jc w:val="center"/>
        <w:rPr>
          <w:rFonts w:ascii="Times New Roman" w:cs="Times New Roman" w:hAnsi="Times New Roman" w:eastAsia="Times New Roman"/>
          <w:color w:val="ff0000"/>
          <w:sz w:val="24"/>
          <w:szCs w:val="24"/>
          <w:u w:color="ff0000"/>
        </w:rPr>
      </w:pPr>
      <w:r>
        <w:rPr>
          <w:rFonts w:ascii="Times New Roman Bold"/>
          <w:sz w:val="24"/>
          <w:szCs w:val="24"/>
          <w:rtl w:val="0"/>
          <w:lang w:val="it-IT"/>
        </w:rPr>
        <w:t>Discussion</w:t>
      </w:r>
    </w:p>
    <w:p>
      <w:pPr>
        <w:pStyle w:val="Body A"/>
        <w:spacing w:after="0" w:line="480" w:lineRule="auto"/>
        <w:ind w:firstLine="720"/>
        <w:rPr>
          <w:rFonts w:ascii="Times New Roman" w:cs="Times New Roman" w:hAnsi="Times New Roman" w:eastAsia="Times New Roman"/>
          <w:sz w:val="24"/>
          <w:szCs w:val="24"/>
          <w:u w:color="ff0000"/>
        </w:rPr>
      </w:pPr>
      <w:r>
        <w:rPr>
          <w:rFonts w:ascii="Times New Roman"/>
          <w:sz w:val="24"/>
          <w:szCs w:val="24"/>
          <w:u w:color="ff0000"/>
          <w:rtl w:val="0"/>
          <w:lang w:val="en-US"/>
        </w:rPr>
        <w:t xml:space="preserve">We previously reported savings in procedural categorization after an intervention phase consisting of the presentation of random feedback (crossley et al. 2013). The current results show that a concurrent numerical Stroop task can significantly reduce or else eliminate savings in this paradigm. The trend towards savings in condition 4 suggests that it is critical for the Stroop task to be introduced prior to the transition from the acquisition phase to the intervention phase.  The significant interference in condition 3, but not in conditions 1 or 2, suggests that the longer the Stroop task remains present during the intervention, the smaller the savings. </w:t>
      </w:r>
    </w:p>
    <w:p>
      <w:pPr>
        <w:pStyle w:val="Body A"/>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firstLine="720"/>
        <w:rPr>
          <w:rFonts w:ascii="Helvetica" w:cs="Helvetica" w:hAnsi="Helvetica" w:eastAsia="Helvetica"/>
          <w:sz w:val="24"/>
          <w:szCs w:val="24"/>
          <w:u w:color="ff0000"/>
        </w:rPr>
      </w:pPr>
      <w:r>
        <w:rPr>
          <w:rFonts w:ascii="Times New Roman"/>
          <w:sz w:val="24"/>
          <w:szCs w:val="24"/>
          <w:rtl w:val="0"/>
          <w:lang w:val="en-US"/>
        </w:rPr>
        <w:t>Crossley et al. (2013) proposed a model that assumed that procedural category learning is instantiated via plasticity at cortical-striatal synapses and that this plasticity is gated by striatal cholinergic interneurons (called TANs for tonically active neurons). They assumed that the TANs act as a gate on procedural learning, and that during periods of random feedback they learn to prevent the modification and expression of procedural skills. This model successfully accounted for a broad array of savings-based phenomena, while simultaneously respecting a range of neurobiological constraints including single-cell recordings from striatal projection neurons and TANs. This model did not, however, specif</w:t>
      </w:r>
      <w:r>
        <w:rPr>
          <w:rFonts w:ascii="Times New Roman"/>
          <w:sz w:val="24"/>
          <w:szCs w:val="24"/>
          <w:rtl w:val="0"/>
          <w:lang w:val="en-US"/>
        </w:rPr>
        <w:t>y</w:t>
      </w:r>
      <w:r>
        <w:rPr>
          <w:rFonts w:ascii="Times New Roman"/>
          <w:sz w:val="24"/>
          <w:szCs w:val="24"/>
          <w:rtl w:val="0"/>
          <w:lang w:val="en-US"/>
        </w:rPr>
        <w:t xml:space="preserve"> a neurobiological mechanism through which the TANs could become sensitive to the presence of random feedback. </w:t>
      </w:r>
      <w:r>
        <w:rPr>
          <w:rFonts w:ascii="Times New Roman"/>
          <w:sz w:val="24"/>
          <w:szCs w:val="24"/>
          <w:u w:color="ff0000"/>
          <w:rtl w:val="0"/>
          <w:lang w:val="en-US"/>
        </w:rPr>
        <w:t xml:space="preserve">This article was aimed at testing the hypothesis that </w:t>
      </w:r>
      <w:r>
        <w:rPr>
          <w:rFonts w:ascii="Times New Roman"/>
          <w:sz w:val="24"/>
          <w:szCs w:val="24"/>
          <w:u w:color="ff0000"/>
          <w:rtl w:val="0"/>
          <w:lang w:val="en-US"/>
        </w:rPr>
        <w:t xml:space="preserve">this </w:t>
      </w:r>
      <w:r>
        <w:rPr>
          <w:rFonts w:ascii="Times New Roman"/>
          <w:sz w:val="24"/>
          <w:szCs w:val="24"/>
          <w:u w:color="ff0000"/>
          <w:rtl w:val="0"/>
          <w:lang w:val="en-US"/>
        </w:rPr>
        <w:t>mechanism depends on prefrontal resources, and our results are indeed consistent with this idea.</w:t>
      </w:r>
    </w:p>
    <w:p>
      <w:pPr>
        <w:pStyle w:val="Body A"/>
        <w:spacing w:after="0" w:line="480" w:lineRule="auto"/>
        <w:ind w:firstLine="720"/>
        <w:rPr>
          <w:rFonts w:ascii="Times New Roman" w:cs="Times New Roman" w:hAnsi="Times New Roman" w:eastAsia="Times New Roman"/>
          <w:sz w:val="24"/>
          <w:szCs w:val="24"/>
        </w:rPr>
      </w:pPr>
    </w:p>
    <w:p>
      <w:pPr>
        <w:pStyle w:val="Body A"/>
        <w:spacing w:after="0" w:line="480" w:lineRule="auto"/>
        <w:ind w:firstLine="720"/>
        <w:rPr>
          <w:rFonts w:ascii="Times New Roman" w:cs="Times New Roman" w:hAnsi="Times New Roman" w:eastAsia="Times New Roman"/>
          <w:sz w:val="24"/>
          <w:szCs w:val="24"/>
        </w:rPr>
      </w:pPr>
    </w:p>
    <w:p>
      <w:pPr>
        <w:pStyle w:val="Body A"/>
        <w:spacing w:after="0" w:line="480" w:lineRule="auto"/>
        <w:ind w:firstLine="720"/>
      </w:pPr>
      <w:r>
        <w:rPr>
          <w:rFonts w:ascii="Times New Roman" w:cs="Times New Roman" w:hAnsi="Times New Roman" w:eastAsia="Times New Roman"/>
          <w:sz w:val="24"/>
          <w:szCs w:val="24"/>
          <w:rtl w:val="0"/>
        </w:rPr>
        <w:br w:type="page"/>
      </w:r>
    </w:p>
    <w:p>
      <w:pPr>
        <w:pStyle w:val="Body A"/>
        <w:spacing w:after="0" w:line="480" w:lineRule="auto"/>
        <w:ind w:firstLine="720"/>
        <w:rPr>
          <w:rFonts w:ascii="Times New Roman" w:cs="Times New Roman" w:hAnsi="Times New Roman" w:eastAsia="Times New Roman"/>
          <w:sz w:val="24"/>
          <w:szCs w:val="24"/>
          <w:rtl w:val="0"/>
        </w:rPr>
      </w:pPr>
    </w:p>
    <w:p>
      <w:pPr>
        <w:pStyle w:val="Body A"/>
        <w:spacing w:after="0" w:line="480" w:lineRule="auto"/>
        <w:jc w:val="center"/>
        <w:rPr>
          <w:rFonts w:ascii="Times New Roman Bold" w:cs="Times New Roman Bold" w:hAnsi="Times New Roman Bold" w:eastAsia="Times New Roman Bold"/>
          <w:sz w:val="24"/>
          <w:szCs w:val="24"/>
        </w:rPr>
      </w:pPr>
      <w:r>
        <w:rPr>
          <w:rFonts w:ascii="Times New Roman Bold"/>
          <w:sz w:val="24"/>
          <w:szCs w:val="24"/>
          <w:rtl w:val="0"/>
          <w:lang w:val="en-US"/>
        </w:rPr>
        <w:t xml:space="preserve">References </w:t>
      </w:r>
      <w:r>
        <w:rPr>
          <w:rFonts w:hAnsi="Trebuchet MS" w:hint="default"/>
          <w:sz w:val="24"/>
          <w:szCs w:val="24"/>
          <w:rtl w:val="0"/>
          <w:lang w:val="en-US"/>
        </w:rPr>
        <w:t xml:space="preserve">– </w:t>
      </w:r>
      <w:r>
        <w:rPr>
          <w:rFonts w:ascii="Times New Roman Bold"/>
          <w:color w:val="ff0000"/>
          <w:sz w:val="24"/>
          <w:szCs w:val="24"/>
          <w:u w:color="ff0000"/>
          <w:rtl w:val="0"/>
          <w:lang w:val="en-US"/>
        </w:rPr>
        <w:t>N</w:t>
      </w:r>
      <w:r>
        <w:rPr>
          <w:rFonts w:ascii="Times New Roman Bold"/>
          <w:color w:val="ff0000"/>
          <w:sz w:val="24"/>
          <w:szCs w:val="24"/>
          <w:u w:color="ff0000"/>
          <w:rtl w:val="0"/>
          <w:lang w:val="nl-NL"/>
        </w:rPr>
        <w:t>eed</w:t>
      </w:r>
      <w:r>
        <w:rPr>
          <w:rFonts w:ascii="Times New Roman Bold"/>
          <w:color w:val="ff0000"/>
          <w:sz w:val="24"/>
          <w:szCs w:val="24"/>
          <w:u w:color="ff0000"/>
          <w:rtl w:val="0"/>
          <w:lang w:val="en-US"/>
        </w:rPr>
        <w:t>s updating</w:t>
      </w:r>
    </w:p>
    <w:p>
      <w:pPr>
        <w:pStyle w:val="Body A"/>
        <w:spacing w:after="0" w:line="480" w:lineRule="auto"/>
        <w:ind w:left="720" w:hanging="720"/>
        <w:rPr>
          <w:rFonts w:ascii="Times New Roman" w:cs="Times New Roman" w:hAnsi="Times New Roman" w:eastAsia="Times New Roman"/>
          <w:color w:val="ff2600"/>
          <w:sz w:val="24"/>
          <w:szCs w:val="24"/>
          <w:u w:color="ff0000"/>
          <w:rtl w:val="0"/>
        </w:rPr>
      </w:pPr>
      <w:r>
        <w:rPr>
          <w:rFonts w:ascii="Times New Roman"/>
          <w:color w:val="ff2600"/>
          <w:sz w:val="24"/>
          <w:szCs w:val="24"/>
          <w:u w:color="ff0000"/>
          <w:rtl w:val="0"/>
          <w:lang w:val="en-US"/>
        </w:rPr>
        <w:t>Algom, D., Dekel, A., &amp; Pansky, A. (1996). The perception of number from the separability of the stimulus: The Stroop effect revisited. Memory &amp; Cognition, 24(5), 557-572.</w:t>
      </w:r>
    </w:p>
    <w:p>
      <w:pPr>
        <w:pStyle w:val="Body A"/>
        <w:spacing w:after="0" w:line="480" w:lineRule="auto"/>
        <w:ind w:left="720" w:hanging="720"/>
        <w:rPr>
          <w:rFonts w:ascii="Times New Roman Bold" w:cs="Times New Roman Bold" w:hAnsi="Times New Roman Bold" w:eastAsia="Times New Roman Bold"/>
          <w:color w:val="ff2600"/>
          <w:sz w:val="24"/>
          <w:szCs w:val="24"/>
        </w:rPr>
      </w:pPr>
      <w:r>
        <w:rPr>
          <w:rFonts w:ascii="Times New Roman"/>
          <w:color w:val="ff2600"/>
          <w:sz w:val="24"/>
          <w:szCs w:val="24"/>
          <w:u w:color="ff0000"/>
          <w:rtl w:val="0"/>
          <w:lang w:val="en-US"/>
        </w:rPr>
        <w:t>Bench, C., Frith, C. D., Grasby, P. M., Friston, K. J., Paulesu, E., Frackowiak, R. S. J., &amp; Dolan, R. J. (1993). Investigations of the functional anatomy of attention using the Stroop test. Neuropsychologia, 31(9), 907-922.</w:t>
      </w:r>
    </w:p>
    <w:p>
      <w:pPr>
        <w:pStyle w:val="Body A"/>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 xml:space="preserve">Ashby, F. G., Alfonso-Reese, L. A., Turken, A. U., &amp; Waldron, E. M. (1998). A neuropsychological theory of multiple systems in category learning. </w:t>
      </w:r>
      <w:r>
        <w:rPr>
          <w:rFonts w:ascii="Times New Roman"/>
          <w:i w:val="1"/>
          <w:iCs w:val="1"/>
          <w:sz w:val="24"/>
          <w:szCs w:val="24"/>
          <w:rtl w:val="0"/>
          <w:lang w:val="en-US"/>
        </w:rPr>
        <w:t>Psychological Review, 105</w:t>
      </w:r>
      <w:r>
        <w:rPr>
          <w:rFonts w:ascii="Times New Roman"/>
          <w:sz w:val="24"/>
          <w:szCs w:val="24"/>
          <w:rtl w:val="0"/>
          <w:lang w:val="en-US"/>
        </w:rPr>
        <w:t xml:space="preserve">, 442-481. </w:t>
      </w:r>
    </w:p>
    <w:p>
      <w:pPr>
        <w:pStyle w:val="style4"/>
        <w:spacing w:before="0" w:after="0" w:line="480" w:lineRule="auto"/>
        <w:ind w:left="720" w:hanging="720"/>
        <w:rPr>
          <w:rtl w:val="0"/>
        </w:rPr>
      </w:pPr>
      <w:r>
        <w:rPr>
          <w:rtl w:val="0"/>
          <w:lang w:val="en-US"/>
        </w:rPr>
        <w:t xml:space="preserve">Ashby, F. G., &amp; Crossley, M. J. (2011). A computational model of how cholinergic interneurons protect striatal-dependent learning. </w:t>
      </w:r>
      <w:r>
        <w:rPr>
          <w:i w:val="1"/>
          <w:iCs w:val="1"/>
          <w:rtl w:val="0"/>
          <w:lang w:val="en-US"/>
        </w:rPr>
        <w:t>Journal of Cognitive Neuroscience, 23</w:t>
      </w:r>
      <w:r>
        <w:rPr>
          <w:rtl w:val="0"/>
          <w:lang w:val="en-US"/>
        </w:rPr>
        <w:t xml:space="preserve">, 1549-1566. </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 xml:space="preserve">Ashby, F., Ell, S., &amp; Waldron, E. (2003). Procedural learning in perceptual </w:t>
      </w:r>
      <w:r>
        <w:rPr>
          <w:rFonts w:ascii="Times New Roman"/>
          <w:rtl w:val="0"/>
          <w:lang w:val="en-US"/>
        </w:rPr>
        <w:t xml:space="preserve">categorization. </w:t>
      </w:r>
      <w:r>
        <w:rPr>
          <w:rFonts w:ascii="Times New Roman"/>
          <w:i w:val="1"/>
          <w:iCs w:val="1"/>
          <w:sz w:val="24"/>
          <w:szCs w:val="24"/>
          <w:rtl w:val="0"/>
          <w:lang w:val="en-US"/>
        </w:rPr>
        <w:t>Memory &amp; Cognition</w:t>
      </w:r>
      <w:r>
        <w:rPr>
          <w:rFonts w:ascii="Times New Roman"/>
          <w:sz w:val="24"/>
          <w:szCs w:val="24"/>
          <w:rtl w:val="0"/>
          <w:lang w:val="en-US"/>
        </w:rPr>
        <w:t xml:space="preserve">, </w:t>
      </w:r>
      <w:r>
        <w:rPr>
          <w:rFonts w:ascii="Times New Roman"/>
          <w:i w:val="1"/>
          <w:iCs w:val="1"/>
          <w:sz w:val="24"/>
          <w:szCs w:val="24"/>
          <w:rtl w:val="0"/>
          <w:lang w:val="en-US"/>
        </w:rPr>
        <w:t>31</w:t>
      </w:r>
      <w:r>
        <w:rPr>
          <w:rFonts w:ascii="Times New Roman"/>
          <w:sz w:val="24"/>
          <w:szCs w:val="24"/>
          <w:rtl w:val="0"/>
          <w:lang w:val="en-US"/>
        </w:rPr>
        <w:t>, 1114</w:t>
      </w:r>
      <w:r>
        <w:rPr>
          <w:rFonts w:hAnsi="Trebuchet MS" w:hint="default"/>
          <w:sz w:val="24"/>
          <w:szCs w:val="24"/>
          <w:rtl w:val="0"/>
          <w:lang w:val="en-US"/>
        </w:rPr>
        <w:t>–</w:t>
      </w:r>
      <w:r>
        <w:rPr>
          <w:rFonts w:ascii="Times New Roman"/>
          <w:sz w:val="24"/>
          <w:szCs w:val="24"/>
          <w:rtl w:val="0"/>
          <w:lang w:val="en-US"/>
        </w:rPr>
        <w:t>1125.</w:t>
      </w:r>
    </w:p>
    <w:p>
      <w:pPr>
        <w:pStyle w:val="Body A"/>
        <w:tabs>
          <w:tab w:val="left" w:pos="360"/>
        </w:tabs>
        <w:suppressAutoHyphens w:val="1"/>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 xml:space="preserve">Ashby, F. G., &amp; Gott, R. E. (1988). Decision rules in the perception and categorization of multidimensional stimuli. </w:t>
      </w:r>
      <w:r>
        <w:rPr>
          <w:rFonts w:ascii="Times New Roman"/>
          <w:i w:val="1"/>
          <w:iCs w:val="1"/>
          <w:sz w:val="24"/>
          <w:szCs w:val="24"/>
          <w:rtl w:val="0"/>
          <w:lang w:val="en-US"/>
        </w:rPr>
        <w:t>Journal of Experimental Psychology: Learning, Memory and cognition, 14</w:t>
      </w:r>
      <w:r>
        <w:rPr>
          <w:rFonts w:ascii="Times New Roman"/>
          <w:sz w:val="24"/>
          <w:szCs w:val="24"/>
          <w:rtl w:val="0"/>
          <w:lang w:val="en-US"/>
        </w:rPr>
        <w:t>, 33-53.</w:t>
      </w:r>
    </w:p>
    <w:p>
      <w:pPr>
        <w:pStyle w:val="Body A"/>
        <w:spacing w:after="0" w:line="480" w:lineRule="auto"/>
        <w:ind w:left="720" w:hanging="720"/>
        <w:rPr>
          <w:rFonts w:ascii="Times New Roman" w:cs="Times New Roman" w:hAnsi="Times New Roman" w:eastAsia="Times New Roman"/>
          <w:i w:val="1"/>
          <w:iCs w:val="1"/>
        </w:rPr>
      </w:pPr>
      <w:r>
        <w:rPr>
          <w:rFonts w:ascii="Times New Roman"/>
          <w:sz w:val="24"/>
          <w:szCs w:val="24"/>
          <w:rtl w:val="0"/>
          <w:lang w:val="en-US"/>
        </w:rPr>
        <w:t xml:space="preserve">Ashby, F. G., &amp; Maddox, W. T. (2005). Human category learning. </w:t>
      </w:r>
      <w:r>
        <w:rPr>
          <w:rFonts w:ascii="Times New Roman"/>
          <w:i w:val="1"/>
          <w:iCs w:val="1"/>
          <w:sz w:val="24"/>
          <w:szCs w:val="24"/>
          <w:rtl w:val="0"/>
          <w:lang w:val="en-US"/>
        </w:rPr>
        <w:t xml:space="preserve">Annual Review of Psychology, 56, </w:t>
      </w:r>
      <w:r>
        <w:rPr>
          <w:rFonts w:ascii="Times New Roman"/>
          <w:sz w:val="24"/>
          <w:szCs w:val="24"/>
          <w:rtl w:val="0"/>
          <w:lang w:val="en-US"/>
        </w:rPr>
        <w:t>149-178</w:t>
      </w:r>
      <w:r>
        <w:rPr>
          <w:rFonts w:ascii="Times New Roman"/>
          <w:i w:val="1"/>
          <w:iCs w:val="1"/>
          <w:sz w:val="24"/>
          <w:szCs w:val="24"/>
          <w:rtl w:val="0"/>
          <w:lang w:val="en-US"/>
        </w:rPr>
        <w:t>.</w:t>
      </w:r>
    </w:p>
    <w:p>
      <w:pPr>
        <w:pStyle w:val="Body A"/>
        <w:tabs>
          <w:tab w:val="left" w:pos="360"/>
        </w:tabs>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 xml:space="preserve">Ashby, F. G., &amp; Waldron, E. M. (1999). On the nature of implicit categorization. </w:t>
      </w:r>
      <w:r>
        <w:rPr>
          <w:rFonts w:ascii="Times New Roman"/>
          <w:i w:val="1"/>
          <w:iCs w:val="1"/>
          <w:sz w:val="24"/>
          <w:szCs w:val="24"/>
          <w:rtl w:val="0"/>
          <w:lang w:val="en-US"/>
        </w:rPr>
        <w:t>Psychonomic Bulletin &amp; Review</w:t>
      </w:r>
      <w:r>
        <w:rPr>
          <w:rFonts w:ascii="Times New Roman"/>
          <w:sz w:val="24"/>
          <w:szCs w:val="24"/>
          <w:rtl w:val="0"/>
          <w:lang w:val="en-US"/>
        </w:rPr>
        <w:t xml:space="preserve">, </w:t>
      </w:r>
      <w:r>
        <w:rPr>
          <w:rFonts w:ascii="Times New Roman"/>
          <w:i w:val="1"/>
          <w:iCs w:val="1"/>
          <w:sz w:val="24"/>
          <w:szCs w:val="24"/>
          <w:rtl w:val="0"/>
          <w:lang w:val="en-US"/>
        </w:rPr>
        <w:t>6</w:t>
      </w:r>
      <w:r>
        <w:rPr>
          <w:rFonts w:ascii="Times New Roman"/>
          <w:sz w:val="24"/>
          <w:szCs w:val="24"/>
          <w:rtl w:val="0"/>
          <w:lang w:val="en-US"/>
        </w:rPr>
        <w:t>, 363-378.</w:t>
      </w:r>
    </w:p>
    <w:p>
      <w:pPr>
        <w:pStyle w:val="Body A"/>
        <w:tabs>
          <w:tab w:val="left" w:pos="360"/>
        </w:tabs>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 xml:space="preserve">Ashby, F. G., Waldron, E. M., Lee, W. W., &amp; Berkman, A. (2001). Suboptimality in human categorization and identification. </w:t>
      </w:r>
      <w:r>
        <w:rPr>
          <w:rFonts w:ascii="Times New Roman"/>
          <w:i w:val="1"/>
          <w:iCs w:val="1"/>
          <w:sz w:val="24"/>
          <w:szCs w:val="24"/>
          <w:rtl w:val="0"/>
          <w:lang w:val="en-US"/>
        </w:rPr>
        <w:t>Journal of Experimental Psychology:</w:t>
      </w:r>
      <w:r>
        <w:rPr>
          <w:rFonts w:ascii="Times New Roman"/>
          <w:sz w:val="24"/>
          <w:szCs w:val="24"/>
          <w:rtl w:val="0"/>
          <w:lang w:val="en-US"/>
        </w:rPr>
        <w:t xml:space="preserve"> </w:t>
      </w:r>
      <w:r>
        <w:rPr>
          <w:rFonts w:ascii="Times New Roman"/>
          <w:i w:val="1"/>
          <w:iCs w:val="1"/>
          <w:sz w:val="24"/>
          <w:szCs w:val="24"/>
          <w:rtl w:val="0"/>
          <w:lang w:val="en-US"/>
        </w:rPr>
        <w:t>General</w:t>
      </w:r>
      <w:r>
        <w:rPr>
          <w:rFonts w:ascii="Times New Roman"/>
          <w:sz w:val="24"/>
          <w:szCs w:val="24"/>
          <w:rtl w:val="0"/>
          <w:lang w:val="en-US"/>
        </w:rPr>
        <w:t xml:space="preserve">, </w:t>
      </w:r>
      <w:r>
        <w:rPr>
          <w:rFonts w:ascii="Times New Roman"/>
          <w:i w:val="1"/>
          <w:iCs w:val="1"/>
          <w:sz w:val="24"/>
          <w:szCs w:val="24"/>
          <w:rtl w:val="0"/>
          <w:lang w:val="en-US"/>
        </w:rPr>
        <w:t>130</w:t>
      </w:r>
      <w:r>
        <w:rPr>
          <w:rFonts w:ascii="Times New Roman"/>
          <w:sz w:val="24"/>
          <w:szCs w:val="24"/>
          <w:rtl w:val="0"/>
          <w:lang w:val="en-US"/>
        </w:rPr>
        <w:t>, 77-96.</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 xml:space="preserve">Bienenstock, E.L., Cooper, L.N., &amp; Munro, P.W. (1982). Theory for the development of neuron selectivity: Orientation specificity and binocular interaction in visual cortex. </w:t>
      </w:r>
      <w:r>
        <w:rPr>
          <w:rFonts w:ascii="Times New Roman"/>
          <w:i w:val="1"/>
          <w:iCs w:val="1"/>
          <w:sz w:val="24"/>
          <w:szCs w:val="24"/>
          <w:rtl w:val="0"/>
          <w:lang w:val="en-US"/>
        </w:rPr>
        <w:t>Journal of Neuroscience</w:t>
      </w:r>
      <w:r>
        <w:rPr>
          <w:rFonts w:ascii="Times New Roman"/>
          <w:sz w:val="24"/>
          <w:szCs w:val="24"/>
          <w:rtl w:val="0"/>
          <w:lang w:val="en-US"/>
        </w:rPr>
        <w:t>, 2, 32</w:t>
      </w:r>
      <w:r>
        <w:rPr>
          <w:rFonts w:hAnsi="Trebuchet MS" w:hint="default"/>
          <w:sz w:val="24"/>
          <w:szCs w:val="24"/>
          <w:rtl w:val="0"/>
          <w:lang w:val="en-US"/>
        </w:rPr>
        <w:t>–</w:t>
      </w:r>
      <w:r>
        <w:rPr>
          <w:rFonts w:ascii="Times New Roman"/>
          <w:sz w:val="24"/>
          <w:szCs w:val="24"/>
          <w:rtl w:val="0"/>
          <w:lang w:val="en-US"/>
        </w:rPr>
        <w:t>48.</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Bouton, M. E., Todd, T. P., Vurbic, D., &amp; Winterbauer, N. E. (2011). Renewal after the extinction of free operant behavior</w:t>
      </w:r>
      <w:r>
        <w:rPr>
          <w:rFonts w:ascii="Times New Roman"/>
          <w:i w:val="1"/>
          <w:iCs w:val="1"/>
          <w:sz w:val="24"/>
          <w:szCs w:val="24"/>
          <w:rtl w:val="0"/>
          <w:lang w:val="en-US"/>
        </w:rPr>
        <w:t>. Learning &amp; behavior</w:t>
      </w:r>
      <w:r>
        <w:rPr>
          <w:rFonts w:ascii="Times New Roman"/>
          <w:sz w:val="24"/>
          <w:szCs w:val="24"/>
          <w:rtl w:val="0"/>
          <w:lang w:val="en-US"/>
        </w:rPr>
        <w:t>, 39(1), 57-67.</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ind w:left="720" w:hanging="720"/>
        <w:rPr>
          <w:rFonts w:ascii="Times New Roman" w:cs="Times New Roman" w:hAnsi="Times New Roman" w:eastAsia="Times New Roman"/>
          <w:i w:val="1"/>
          <w:iCs w:val="1"/>
          <w:sz w:val="24"/>
          <w:szCs w:val="24"/>
        </w:rPr>
      </w:pPr>
      <w:r>
        <w:rPr>
          <w:rFonts w:ascii="Times New Roman"/>
          <w:sz w:val="24"/>
          <w:szCs w:val="24"/>
          <w:rtl w:val="0"/>
          <w:lang w:val="en-US"/>
        </w:rPr>
        <w:t xml:space="preserve">Crossley, M. J., Ashby, F. G., &amp; Maddox, W. T. (2012). Erasing the engram: The unlearning of procedural skills. </w:t>
      </w:r>
      <w:r>
        <w:rPr>
          <w:rFonts w:ascii="Times New Roman"/>
          <w:i w:val="1"/>
          <w:iCs w:val="1"/>
          <w:sz w:val="24"/>
          <w:szCs w:val="24"/>
          <w:rtl w:val="0"/>
          <w:lang w:val="en-US"/>
        </w:rPr>
        <w:t>Journal of Experimental Psychology: General.</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it-IT"/>
        </w:rPr>
        <w:t>Ermentrout, B. (1996). Type i membranes, p</w:t>
      </w:r>
      <w:r>
        <w:rPr>
          <w:rFonts w:ascii="Times New Roman"/>
          <w:rtl w:val="0"/>
          <w:lang w:val="en-US"/>
        </w:rPr>
        <w:t>hase resetting curves, and syn</w:t>
      </w:r>
      <w:r>
        <w:rPr>
          <w:rFonts w:ascii="Times New Roman"/>
          <w:sz w:val="24"/>
          <w:szCs w:val="24"/>
          <w:rtl w:val="0"/>
          <w:lang w:val="en-US"/>
        </w:rPr>
        <w:t xml:space="preserve">chrony. </w:t>
      </w:r>
      <w:r>
        <w:rPr>
          <w:rFonts w:ascii="Times New Roman"/>
          <w:i w:val="1"/>
          <w:iCs w:val="1"/>
          <w:sz w:val="24"/>
          <w:szCs w:val="24"/>
          <w:rtl w:val="0"/>
          <w:lang w:val="en-US"/>
        </w:rPr>
        <w:t>Neural Computation</w:t>
      </w:r>
      <w:r>
        <w:rPr>
          <w:rFonts w:ascii="Times New Roman"/>
          <w:sz w:val="24"/>
          <w:szCs w:val="24"/>
          <w:rtl w:val="0"/>
          <w:lang w:val="en-US"/>
        </w:rPr>
        <w:t xml:space="preserve">, </w:t>
      </w:r>
      <w:r>
        <w:rPr>
          <w:rFonts w:ascii="Times New Roman"/>
          <w:i w:val="1"/>
          <w:iCs w:val="1"/>
          <w:sz w:val="24"/>
          <w:szCs w:val="24"/>
          <w:rtl w:val="0"/>
          <w:lang w:val="en-US"/>
        </w:rPr>
        <w:t>8</w:t>
      </w:r>
      <w:r>
        <w:rPr>
          <w:rFonts w:ascii="Times New Roman"/>
          <w:sz w:val="24"/>
          <w:szCs w:val="24"/>
          <w:rtl w:val="0"/>
          <w:lang w:val="en-US"/>
        </w:rPr>
        <w:t>, 979</w:t>
      </w:r>
      <w:r>
        <w:rPr>
          <w:rFonts w:hAnsi="Trebuchet MS" w:hint="default"/>
          <w:sz w:val="24"/>
          <w:szCs w:val="24"/>
          <w:rtl w:val="0"/>
          <w:lang w:val="en-US"/>
        </w:rPr>
        <w:t>–</w:t>
      </w:r>
      <w:r>
        <w:rPr>
          <w:rFonts w:ascii="Times New Roman"/>
          <w:sz w:val="24"/>
          <w:szCs w:val="24"/>
          <w:rtl w:val="0"/>
          <w:lang w:val="en-US"/>
        </w:rPr>
        <w:t>1001.</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 xml:space="preserve">Gershman, S., Blei, D., &amp; Niv, Y. (2010). Context, learning, and extinction. </w:t>
      </w:r>
      <w:r>
        <w:rPr>
          <w:rFonts w:ascii="Times New Roman"/>
          <w:i w:val="1"/>
          <w:iCs w:val="1"/>
          <w:sz w:val="24"/>
          <w:szCs w:val="24"/>
          <w:rtl w:val="0"/>
          <w:lang w:val="en-US"/>
        </w:rPr>
        <w:t>Psychological Review</w:t>
      </w:r>
      <w:r>
        <w:rPr>
          <w:rFonts w:ascii="Times New Roman"/>
          <w:sz w:val="24"/>
          <w:szCs w:val="24"/>
          <w:rtl w:val="0"/>
          <w:lang w:val="en-US"/>
        </w:rPr>
        <w:t xml:space="preserve">, </w:t>
      </w:r>
      <w:r>
        <w:rPr>
          <w:rFonts w:ascii="Times New Roman"/>
          <w:i w:val="1"/>
          <w:iCs w:val="1"/>
          <w:sz w:val="24"/>
          <w:szCs w:val="24"/>
          <w:rtl w:val="0"/>
          <w:lang w:val="en-US"/>
        </w:rPr>
        <w:t>117</w:t>
      </w:r>
      <w:r>
        <w:rPr>
          <w:rFonts w:ascii="Times New Roman"/>
          <w:sz w:val="24"/>
          <w:szCs w:val="24"/>
          <w:rtl w:val="0"/>
          <w:lang w:val="en-US"/>
        </w:rPr>
        <w:t>, 197-209.</w:t>
      </w:r>
    </w:p>
    <w:p>
      <w:pPr>
        <w:pStyle w:val="Body A"/>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 xml:space="preserve">Higgins, S. T., Budney, A. J., &amp; Bickel, W. K. (1995). Outpatient behavioral treatment for cocaine dependence: One-year outcome. </w:t>
      </w:r>
      <w:r>
        <w:rPr>
          <w:rFonts w:ascii="Times New Roman"/>
          <w:i w:val="1"/>
          <w:iCs w:val="1"/>
          <w:sz w:val="24"/>
          <w:szCs w:val="24"/>
          <w:rtl w:val="0"/>
          <w:lang w:val="en-US"/>
        </w:rPr>
        <w:t>Experimental and Clinical Psychopharmacology, 3</w:t>
      </w:r>
      <w:r>
        <w:rPr>
          <w:rFonts w:ascii="Times New Roman"/>
          <w:sz w:val="24"/>
          <w:szCs w:val="24"/>
          <w:rtl w:val="0"/>
          <w:lang w:val="en-US"/>
        </w:rPr>
        <w:t>, 205-212.</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 xml:space="preserve">Izhikevich, E. (2007). </w:t>
      </w:r>
      <w:r>
        <w:rPr>
          <w:rFonts w:ascii="Times New Roman"/>
          <w:i w:val="1"/>
          <w:iCs w:val="1"/>
          <w:sz w:val="24"/>
          <w:szCs w:val="24"/>
          <w:rtl w:val="0"/>
          <w:lang w:val="en-US"/>
        </w:rPr>
        <w:t>Dynamical systems in neuroscience: The geometry of excitability and bursting</w:t>
      </w:r>
      <w:r>
        <w:rPr>
          <w:rFonts w:ascii="Times New Roman"/>
          <w:sz w:val="24"/>
          <w:szCs w:val="24"/>
          <w:rtl w:val="0"/>
          <w:lang w:val="en-US"/>
        </w:rPr>
        <w:t>. Cambridge, MA: The MIT press.</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 xml:space="preserve">Kirkwood, A., Rioult, M.G. &amp; Bear, M.F. (1996). Experience-dependent modification of synaptic plasticity in visual cortex. </w:t>
      </w:r>
      <w:r>
        <w:rPr>
          <w:rFonts w:ascii="Times New Roman"/>
          <w:i w:val="1"/>
          <w:iCs w:val="1"/>
          <w:sz w:val="24"/>
          <w:szCs w:val="24"/>
          <w:rtl w:val="0"/>
          <w:lang w:val="en-US"/>
        </w:rPr>
        <w:t>Nature</w:t>
      </w:r>
      <w:r>
        <w:rPr>
          <w:rFonts w:ascii="Times New Roman"/>
          <w:sz w:val="24"/>
          <w:szCs w:val="24"/>
          <w:rtl w:val="0"/>
          <w:lang w:val="en-US"/>
        </w:rPr>
        <w:t>, 381, 526-528.</w:t>
      </w:r>
    </w:p>
    <w:p>
      <w:pPr>
        <w:pStyle w:val="Body A"/>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 xml:space="preserve">Kruschke, J. K. (2011). Models of attentional learning. In E. M. Pothos and A. J. Wills (eds.), </w:t>
      </w:r>
      <w:r>
        <w:rPr>
          <w:rFonts w:ascii="Times New Roman"/>
          <w:i w:val="1"/>
          <w:iCs w:val="1"/>
          <w:sz w:val="24"/>
          <w:szCs w:val="24"/>
          <w:rtl w:val="0"/>
          <w:lang w:val="en-US"/>
        </w:rPr>
        <w:t>Formal Approaches in Categorization</w:t>
      </w:r>
      <w:r>
        <w:rPr>
          <w:rFonts w:ascii="Times New Roman"/>
          <w:sz w:val="24"/>
          <w:szCs w:val="24"/>
          <w:rtl w:val="0"/>
          <w:lang w:val="en-US"/>
        </w:rPr>
        <w:t xml:space="preserve">, pp. 120-152. Cambridge University Press. </w:t>
      </w:r>
    </w:p>
    <w:p>
      <w:pPr>
        <w:pStyle w:val="Body A"/>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 xml:space="preserve">Lewandowsky, S., &amp; Kirsner, K. (2000). Expert knowledge is not always integrated: A case of cognitive partition. </w:t>
      </w:r>
      <w:r>
        <w:rPr>
          <w:rFonts w:ascii="Times New Roman"/>
          <w:i w:val="1"/>
          <w:iCs w:val="1"/>
          <w:sz w:val="24"/>
          <w:szCs w:val="24"/>
          <w:rtl w:val="0"/>
          <w:lang w:val="en-US"/>
        </w:rPr>
        <w:t xml:space="preserve">Memory &amp; Cognition, 28, </w:t>
      </w:r>
      <w:r>
        <w:rPr>
          <w:rFonts w:ascii="Times New Roman"/>
          <w:sz w:val="24"/>
          <w:szCs w:val="24"/>
          <w:rtl w:val="0"/>
          <w:lang w:val="en-US"/>
        </w:rPr>
        <w:t>295</w:t>
      </w:r>
      <w:r>
        <w:rPr>
          <w:rFonts w:hAnsi="Trebuchet MS" w:hint="default"/>
          <w:sz w:val="24"/>
          <w:szCs w:val="24"/>
          <w:rtl w:val="0"/>
          <w:lang w:val="en-US"/>
        </w:rPr>
        <w:t>–</w:t>
      </w:r>
      <w:r>
        <w:rPr>
          <w:rFonts w:ascii="Times New Roman"/>
          <w:sz w:val="24"/>
          <w:szCs w:val="24"/>
          <w:rtl w:val="0"/>
          <w:lang w:val="en-US"/>
        </w:rPr>
        <w:t>305.</w:t>
      </w:r>
    </w:p>
    <w:p>
      <w:pPr>
        <w:pStyle w:val="Body A"/>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 xml:space="preserve">Maddox, W. T., &amp; Ashby, F. G. (1993). Comparing decision bound and exemplar models of categorization. </w:t>
      </w:r>
      <w:r>
        <w:rPr>
          <w:rFonts w:ascii="Times New Roman"/>
          <w:i w:val="1"/>
          <w:iCs w:val="1"/>
          <w:sz w:val="24"/>
          <w:szCs w:val="24"/>
          <w:rtl w:val="0"/>
          <w:lang w:val="en-US"/>
        </w:rPr>
        <w:t>Perception &amp; Psychophysics</w:t>
      </w:r>
      <w:r>
        <w:rPr>
          <w:rFonts w:ascii="Times New Roman"/>
          <w:sz w:val="24"/>
          <w:szCs w:val="24"/>
          <w:rtl w:val="0"/>
          <w:lang w:val="en-US"/>
        </w:rPr>
        <w:t xml:space="preserve">, </w:t>
      </w:r>
      <w:r>
        <w:rPr>
          <w:rFonts w:ascii="Times New Roman"/>
          <w:i w:val="1"/>
          <w:iCs w:val="1"/>
          <w:sz w:val="24"/>
          <w:szCs w:val="24"/>
          <w:rtl w:val="0"/>
          <w:lang w:val="en-US"/>
        </w:rPr>
        <w:t>53</w:t>
      </w:r>
      <w:r>
        <w:rPr>
          <w:rFonts w:ascii="Times New Roman"/>
          <w:sz w:val="24"/>
          <w:szCs w:val="24"/>
          <w:rtl w:val="0"/>
          <w:lang w:val="en-US"/>
        </w:rPr>
        <w:t>, 49-70.</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 xml:space="preserve">Maddox, W., Ashby, F., Ing, A., &amp; Pickering, A. (2004). Disrupting feedback processing interferes with rule-based but not information-integration category learning. </w:t>
      </w:r>
      <w:r>
        <w:rPr>
          <w:rFonts w:ascii="Times New Roman"/>
          <w:i w:val="1"/>
          <w:iCs w:val="1"/>
          <w:sz w:val="24"/>
          <w:szCs w:val="24"/>
          <w:rtl w:val="0"/>
          <w:lang w:val="en-US"/>
        </w:rPr>
        <w:t>Memory &amp; Cognition</w:t>
      </w:r>
      <w:r>
        <w:rPr>
          <w:rFonts w:ascii="Times New Roman"/>
          <w:sz w:val="24"/>
          <w:szCs w:val="24"/>
          <w:rtl w:val="0"/>
          <w:lang w:val="en-US"/>
        </w:rPr>
        <w:t xml:space="preserve">, </w:t>
      </w:r>
      <w:r>
        <w:rPr>
          <w:rFonts w:ascii="Times New Roman"/>
          <w:i w:val="1"/>
          <w:iCs w:val="1"/>
          <w:sz w:val="24"/>
          <w:szCs w:val="24"/>
          <w:rtl w:val="0"/>
          <w:lang w:val="en-US"/>
        </w:rPr>
        <w:t>32</w:t>
      </w:r>
      <w:r>
        <w:rPr>
          <w:rFonts w:ascii="Times New Roman"/>
          <w:sz w:val="24"/>
          <w:szCs w:val="24"/>
          <w:rtl w:val="0"/>
          <w:lang w:val="en-US"/>
        </w:rPr>
        <w:t>, 582</w:t>
      </w:r>
      <w:r>
        <w:rPr>
          <w:rFonts w:hAnsi="Trebuchet MS" w:hint="default"/>
          <w:sz w:val="24"/>
          <w:szCs w:val="24"/>
          <w:rtl w:val="0"/>
          <w:lang w:val="en-US"/>
        </w:rPr>
        <w:t>–</w:t>
      </w:r>
      <w:r>
        <w:rPr>
          <w:rFonts w:ascii="Times New Roman"/>
          <w:sz w:val="24"/>
          <w:szCs w:val="24"/>
          <w:rtl w:val="0"/>
          <w:lang w:val="en-US"/>
        </w:rPr>
        <w:t>591.</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 xml:space="preserve">Maddox, W., Bohil, C., &amp; Ing, A. (2004). Evidence for a procedural-learning based system in perceptual category learning. </w:t>
      </w:r>
      <w:r>
        <w:rPr>
          <w:rFonts w:ascii="Times New Roman"/>
          <w:i w:val="1"/>
          <w:iCs w:val="1"/>
          <w:rtl w:val="0"/>
          <w:lang w:val="sv-SE"/>
        </w:rPr>
        <w:t>Psychonomic Bul</w:t>
      </w:r>
      <w:r>
        <w:rPr>
          <w:rFonts w:ascii="Times New Roman"/>
          <w:i w:val="1"/>
          <w:iCs w:val="1"/>
          <w:sz w:val="24"/>
          <w:szCs w:val="24"/>
          <w:rtl w:val="0"/>
          <w:lang w:val="en-US"/>
        </w:rPr>
        <w:t>letin &amp; Review</w:t>
      </w:r>
      <w:r>
        <w:rPr>
          <w:rFonts w:ascii="Times New Roman"/>
          <w:sz w:val="24"/>
          <w:szCs w:val="24"/>
          <w:rtl w:val="0"/>
          <w:lang w:val="en-US"/>
        </w:rPr>
        <w:t xml:space="preserve">, </w:t>
      </w:r>
      <w:r>
        <w:rPr>
          <w:rFonts w:ascii="Times New Roman"/>
          <w:i w:val="1"/>
          <w:iCs w:val="1"/>
          <w:sz w:val="24"/>
          <w:szCs w:val="24"/>
          <w:rtl w:val="0"/>
          <w:lang w:val="en-US"/>
        </w:rPr>
        <w:t>11</w:t>
      </w:r>
      <w:r>
        <w:rPr>
          <w:rFonts w:ascii="Times New Roman"/>
          <w:sz w:val="24"/>
          <w:szCs w:val="24"/>
          <w:rtl w:val="0"/>
          <w:lang w:val="en-US"/>
        </w:rPr>
        <w:t>, 945</w:t>
      </w:r>
      <w:r>
        <w:rPr>
          <w:rFonts w:hAnsi="Trebuchet MS" w:hint="default"/>
          <w:sz w:val="24"/>
          <w:szCs w:val="24"/>
          <w:rtl w:val="0"/>
          <w:lang w:val="en-US"/>
        </w:rPr>
        <w:t>–</w:t>
      </w:r>
      <w:r>
        <w:rPr>
          <w:rFonts w:ascii="Times New Roman"/>
          <w:sz w:val="24"/>
          <w:szCs w:val="24"/>
          <w:rtl w:val="0"/>
          <w:lang w:val="en-US"/>
        </w:rPr>
        <w:t>952.</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ind w:left="720" w:hanging="720"/>
        <w:rPr>
          <w:rFonts w:ascii="Times New Roman Bold" w:cs="Times New Roman Bold" w:hAnsi="Times New Roman Bold" w:eastAsia="Times New Roman Bold"/>
          <w:sz w:val="20"/>
          <w:szCs w:val="20"/>
        </w:rPr>
      </w:pPr>
      <w:r>
        <w:rPr>
          <w:rFonts w:ascii="Times New Roman"/>
          <w:sz w:val="24"/>
          <w:szCs w:val="24"/>
          <w:rtl w:val="0"/>
          <w:lang w:val="en-US"/>
        </w:rPr>
        <w:t>Matsumoto, N., Minamimoto, T., Graybiel, A., &amp; Kimura, M. (2001). Neurons in the thalamic cm-pf complex supply striatal neurons with information about behaviorally signi</w:t>
      </w:r>
      <w:r>
        <w:rPr>
          <w:rFonts w:hAnsi="Trebuchet MS" w:hint="default"/>
          <w:sz w:val="24"/>
          <w:szCs w:val="24"/>
          <w:rtl w:val="0"/>
          <w:lang w:val="en-US"/>
        </w:rPr>
        <w:t>ﬁ</w:t>
      </w:r>
      <w:r>
        <w:rPr>
          <w:rFonts w:ascii="Times New Roman"/>
          <w:sz w:val="24"/>
          <w:szCs w:val="24"/>
          <w:rtl w:val="0"/>
          <w:lang w:val="en-US"/>
        </w:rPr>
        <w:t xml:space="preserve">cant sensory events. </w:t>
      </w:r>
      <w:r>
        <w:rPr>
          <w:rFonts w:ascii="Times New Roman"/>
          <w:i w:val="1"/>
          <w:iCs w:val="1"/>
          <w:sz w:val="24"/>
          <w:szCs w:val="24"/>
          <w:rtl w:val="0"/>
          <w:lang w:val="en-US"/>
        </w:rPr>
        <w:t>Journal of Neurophysiology</w:t>
      </w:r>
      <w:r>
        <w:rPr>
          <w:rFonts w:ascii="Times New Roman"/>
          <w:sz w:val="24"/>
          <w:szCs w:val="24"/>
          <w:rtl w:val="0"/>
          <w:lang w:val="en-US"/>
        </w:rPr>
        <w:t xml:space="preserve">, </w:t>
      </w:r>
      <w:r>
        <w:rPr>
          <w:rFonts w:ascii="Times New Roman"/>
          <w:i w:val="1"/>
          <w:iCs w:val="1"/>
          <w:sz w:val="24"/>
          <w:szCs w:val="24"/>
          <w:rtl w:val="0"/>
          <w:lang w:val="en-US"/>
        </w:rPr>
        <w:t>85</w:t>
      </w:r>
      <w:r>
        <w:rPr>
          <w:rFonts w:ascii="Times New Roman"/>
          <w:sz w:val="24"/>
          <w:szCs w:val="24"/>
          <w:rtl w:val="0"/>
          <w:lang w:val="en-US"/>
        </w:rPr>
        <w:t>, 960-976.</w:t>
      </w:r>
    </w:p>
    <w:p>
      <w:pPr>
        <w:pStyle w:val="Body A"/>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 xml:space="preserve">Nakajima, S., Tanaka, S., Urshihara, K., &amp; Imada, H. (2000). Renewal of extinguished lever-press responses upon return to the training context. </w:t>
      </w:r>
      <w:r>
        <w:rPr>
          <w:rFonts w:ascii="Times New Roman"/>
          <w:i w:val="1"/>
          <w:iCs w:val="1"/>
          <w:sz w:val="24"/>
          <w:szCs w:val="24"/>
          <w:rtl w:val="0"/>
          <w:lang w:val="en-US"/>
        </w:rPr>
        <w:t>Learning &amp; Motivation, 31</w:t>
      </w:r>
      <w:r>
        <w:rPr>
          <w:rFonts w:ascii="Times New Roman"/>
          <w:sz w:val="24"/>
          <w:szCs w:val="24"/>
          <w:rtl w:val="0"/>
          <w:lang w:val="en-US"/>
        </w:rPr>
        <w:t>, 416</w:t>
      </w:r>
      <w:r>
        <w:rPr>
          <w:rFonts w:hAnsi="Trebuchet MS" w:hint="default"/>
          <w:sz w:val="24"/>
          <w:szCs w:val="24"/>
          <w:rtl w:val="0"/>
          <w:lang w:val="en-US"/>
        </w:rPr>
        <w:t>–</w:t>
      </w:r>
      <w:r>
        <w:rPr>
          <w:rFonts w:ascii="Times New Roman"/>
          <w:sz w:val="24"/>
          <w:szCs w:val="24"/>
          <w:rtl w:val="0"/>
          <w:lang w:val="en-US"/>
        </w:rPr>
        <w:t>431.</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ind w:left="720" w:hanging="720"/>
        <w:rPr>
          <w:rFonts w:ascii="Times New Roman" w:cs="Times New Roman" w:hAnsi="Times New Roman" w:eastAsia="Times New Roman"/>
          <w:sz w:val="24"/>
          <w:szCs w:val="24"/>
        </w:rPr>
      </w:pPr>
      <w:r>
        <w:rPr>
          <w:rFonts w:ascii="Times New Roman"/>
          <w:rtl w:val="0"/>
          <w:lang w:val="en-US"/>
        </w:rPr>
        <w:t>Naka</w:t>
      </w:r>
      <w:r>
        <w:rPr>
          <w:rFonts w:ascii="Times New Roman"/>
          <w:sz w:val="24"/>
          <w:szCs w:val="24"/>
          <w:rtl w:val="0"/>
          <w:lang w:val="en-US"/>
        </w:rPr>
        <w:t xml:space="preserve">jima, S., Urushihara, K., &amp; Masaki, T. (2002). Renewal of operant </w:t>
      </w:r>
      <w:r>
        <w:rPr>
          <w:rFonts w:ascii="Times New Roman"/>
          <w:rtl w:val="0"/>
          <w:lang w:val="en-US"/>
        </w:rPr>
        <w:t xml:space="preserve">performance formerly </w:t>
      </w:r>
      <w:r>
        <w:rPr>
          <w:rFonts w:ascii="Times New Roman"/>
          <w:sz w:val="24"/>
          <w:szCs w:val="24"/>
          <w:rtl w:val="0"/>
          <w:lang w:val="en-US"/>
        </w:rPr>
        <w:t>eliminated by omission or noncontingency training upon ret</w:t>
      </w:r>
      <w:r>
        <w:rPr>
          <w:rFonts w:ascii="Times New Roman"/>
          <w:rtl w:val="0"/>
          <w:lang w:val="en-US"/>
        </w:rPr>
        <w:t xml:space="preserve">urn to the acquisition context. </w:t>
      </w:r>
      <w:r>
        <w:rPr>
          <w:rFonts w:ascii="Times New Roman"/>
          <w:i w:val="1"/>
          <w:iCs w:val="1"/>
          <w:sz w:val="24"/>
          <w:szCs w:val="24"/>
          <w:rtl w:val="0"/>
          <w:lang w:val="en-US"/>
        </w:rPr>
        <w:t>Learning and Motivation</w:t>
      </w:r>
      <w:r>
        <w:rPr>
          <w:rFonts w:ascii="Times New Roman"/>
          <w:sz w:val="24"/>
          <w:szCs w:val="24"/>
          <w:rtl w:val="0"/>
          <w:lang w:val="en-US"/>
        </w:rPr>
        <w:t xml:space="preserve">, </w:t>
      </w:r>
      <w:r>
        <w:rPr>
          <w:rFonts w:ascii="Times New Roman"/>
          <w:i w:val="1"/>
          <w:iCs w:val="1"/>
          <w:sz w:val="24"/>
          <w:szCs w:val="24"/>
          <w:rtl w:val="0"/>
          <w:lang w:val="en-US"/>
        </w:rPr>
        <w:t>33</w:t>
      </w:r>
      <w:r>
        <w:rPr>
          <w:rFonts w:ascii="Times New Roman"/>
          <w:sz w:val="24"/>
          <w:szCs w:val="24"/>
          <w:rtl w:val="0"/>
          <w:lang w:val="en-US"/>
        </w:rPr>
        <w:t>, 510</w:t>
      </w:r>
      <w:r>
        <w:rPr>
          <w:rFonts w:hAnsi="Trebuchet MS" w:hint="default"/>
          <w:sz w:val="24"/>
          <w:szCs w:val="24"/>
          <w:rtl w:val="0"/>
          <w:lang w:val="en-US"/>
        </w:rPr>
        <w:t>–</w:t>
      </w:r>
      <w:r>
        <w:rPr>
          <w:rFonts w:ascii="Times New Roman"/>
          <w:sz w:val="24"/>
          <w:szCs w:val="24"/>
          <w:rtl w:val="0"/>
          <w:lang w:val="en-US"/>
        </w:rPr>
        <w:t xml:space="preserve">525. </w:t>
      </w:r>
    </w:p>
    <w:p>
      <w:pPr>
        <w:pStyle w:val="Body A"/>
        <w:widowControl w:val="0"/>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Rall, W. (1967). Distinguishing theoretical synaptic potentials computed for different soma-dendritic distributions of synaptic input</w:t>
      </w:r>
      <w:r>
        <w:rPr>
          <w:rFonts w:ascii="Times New Roman"/>
          <w:i w:val="1"/>
          <w:iCs w:val="1"/>
          <w:sz w:val="24"/>
          <w:szCs w:val="24"/>
          <w:rtl w:val="0"/>
          <w:lang w:val="en-US"/>
        </w:rPr>
        <w:t>. Journal of Neurophysiology, 30</w:t>
      </w:r>
      <w:r>
        <w:rPr>
          <w:rFonts w:ascii="Times New Roman"/>
          <w:sz w:val="24"/>
          <w:szCs w:val="24"/>
          <w:rtl w:val="0"/>
          <w:lang w:val="en-US"/>
        </w:rPr>
        <w:t>(5), 1138-1168.</w:t>
      </w:r>
    </w:p>
    <w:p>
      <w:pPr>
        <w:pStyle w:val="Body A"/>
        <w:suppressAutoHyphens w:val="1"/>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 xml:space="preserve">Redish, A. D., Jensen, S., Johnson, A., &amp; Kurth-Nelson, Z. (2007). Reconciling reinforcement learning models with behavioral extinction and renewal: Implications for addition, relapse, and problem gambling. </w:t>
      </w:r>
      <w:r>
        <w:rPr>
          <w:rFonts w:ascii="Times New Roman"/>
          <w:i w:val="1"/>
          <w:iCs w:val="1"/>
          <w:sz w:val="24"/>
          <w:szCs w:val="24"/>
          <w:rtl w:val="0"/>
          <w:lang w:val="en-US"/>
        </w:rPr>
        <w:t>Psychological Review</w:t>
      </w:r>
      <w:r>
        <w:rPr>
          <w:rFonts w:ascii="Times New Roman"/>
          <w:sz w:val="24"/>
          <w:szCs w:val="24"/>
          <w:rtl w:val="0"/>
          <w:lang w:val="en-US"/>
        </w:rPr>
        <w:t xml:space="preserve">, </w:t>
      </w:r>
      <w:r>
        <w:rPr>
          <w:rFonts w:ascii="Times New Roman"/>
          <w:i w:val="1"/>
          <w:iCs w:val="1"/>
          <w:sz w:val="24"/>
          <w:szCs w:val="24"/>
          <w:rtl w:val="0"/>
          <w:lang w:val="en-US"/>
        </w:rPr>
        <w:t>114</w:t>
      </w:r>
      <w:r>
        <w:rPr>
          <w:rFonts w:ascii="Times New Roman"/>
          <w:sz w:val="24"/>
          <w:szCs w:val="24"/>
          <w:rtl w:val="0"/>
          <w:lang w:val="en-US"/>
        </w:rPr>
        <w:t>, 784-805.</w:t>
      </w:r>
    </w:p>
    <w:p>
      <w:pPr>
        <w:pStyle w:val="Body A"/>
        <w:widowControl w:val="0"/>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Sanborn, A.N., Griffiths, T.L., &amp; Navarro, D.J. (2010). Rational approximations to rational models: Alternative algorithms for category learning. Psychological Review, 117, 1144-1167.</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de-DE"/>
        </w:rPr>
        <w:t>Schultz, W., Dayan, P., &amp; Montague, P. (1997)</w:t>
      </w:r>
      <w:r>
        <w:rPr>
          <w:rFonts w:ascii="Times New Roman"/>
          <w:rtl w:val="0"/>
          <w:lang w:val="en-US"/>
        </w:rPr>
        <w:t>. A neural substrate of predic</w:t>
      </w:r>
      <w:r>
        <w:rPr>
          <w:rFonts w:ascii="Times New Roman"/>
          <w:sz w:val="24"/>
          <w:szCs w:val="24"/>
          <w:rtl w:val="0"/>
          <w:lang w:val="en-US"/>
        </w:rPr>
        <w:t xml:space="preserve">tion and reward. </w:t>
      </w:r>
      <w:r>
        <w:rPr>
          <w:rFonts w:ascii="Times New Roman"/>
          <w:i w:val="1"/>
          <w:iCs w:val="1"/>
          <w:sz w:val="24"/>
          <w:szCs w:val="24"/>
          <w:rtl w:val="0"/>
          <w:lang w:val="en-US"/>
        </w:rPr>
        <w:t>Science</w:t>
      </w:r>
      <w:r>
        <w:rPr>
          <w:rFonts w:ascii="Times New Roman"/>
          <w:sz w:val="24"/>
          <w:szCs w:val="24"/>
          <w:rtl w:val="0"/>
          <w:lang w:val="en-US"/>
        </w:rPr>
        <w:t xml:space="preserve">, </w:t>
      </w:r>
      <w:r>
        <w:rPr>
          <w:rFonts w:ascii="Times New Roman"/>
          <w:i w:val="1"/>
          <w:iCs w:val="1"/>
          <w:sz w:val="24"/>
          <w:szCs w:val="24"/>
          <w:rtl w:val="0"/>
          <w:lang w:val="en-US"/>
        </w:rPr>
        <w:t>275</w:t>
      </w:r>
      <w:r>
        <w:rPr>
          <w:rFonts w:ascii="Times New Roman"/>
          <w:sz w:val="24"/>
          <w:szCs w:val="24"/>
          <w:rtl w:val="0"/>
          <w:lang w:val="en-US"/>
        </w:rPr>
        <w:t xml:space="preserve">, 1593-1599. </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 xml:space="preserve">Tobler, P., Dickinson, A., &amp; Schultz, W. (2003). Coding of predicted reward omission by dopamine neurons in a conditioned inhibition paradigm. </w:t>
      </w:r>
      <w:r>
        <w:rPr>
          <w:rFonts w:ascii="Times New Roman"/>
          <w:i w:val="1"/>
          <w:iCs w:val="1"/>
          <w:sz w:val="24"/>
          <w:szCs w:val="24"/>
          <w:rtl w:val="0"/>
          <w:lang w:val="en-US"/>
        </w:rPr>
        <w:t>The Journal of Neuroscience</w:t>
      </w:r>
      <w:r>
        <w:rPr>
          <w:rFonts w:ascii="Times New Roman"/>
          <w:sz w:val="24"/>
          <w:szCs w:val="24"/>
          <w:rtl w:val="0"/>
          <w:lang w:val="en-US"/>
        </w:rPr>
        <w:t xml:space="preserve">, </w:t>
      </w:r>
      <w:r>
        <w:rPr>
          <w:rFonts w:ascii="Times New Roman"/>
          <w:i w:val="1"/>
          <w:iCs w:val="1"/>
          <w:sz w:val="24"/>
          <w:szCs w:val="24"/>
          <w:rtl w:val="0"/>
          <w:lang w:val="en-US"/>
        </w:rPr>
        <w:t>23</w:t>
      </w:r>
      <w:r>
        <w:rPr>
          <w:rFonts w:ascii="Times New Roman"/>
          <w:sz w:val="24"/>
          <w:szCs w:val="24"/>
          <w:rtl w:val="0"/>
          <w:lang w:val="en-US"/>
        </w:rPr>
        <w:t xml:space="preserve">, 10402-10410. </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480" w:lineRule="auto"/>
        <w:ind w:left="720" w:hanging="720"/>
        <w:rPr>
          <w:rFonts w:ascii="Times New Roman" w:cs="Times New Roman" w:hAnsi="Times New Roman" w:eastAsia="Times New Roman"/>
          <w:sz w:val="24"/>
          <w:szCs w:val="24"/>
        </w:rPr>
      </w:pPr>
      <w:r>
        <w:rPr>
          <w:rFonts w:ascii="Times New Roman"/>
          <w:sz w:val="24"/>
          <w:szCs w:val="24"/>
          <w:rtl w:val="0"/>
          <w:lang w:val="en-US"/>
        </w:rPr>
        <w:t xml:space="preserve">Waldschmidt, J., &amp; Ashby, F. G. (2011). Cortical and striatal contributions to automaticity in information-integration categorization. </w:t>
      </w:r>
      <w:r>
        <w:rPr>
          <w:rFonts w:ascii="Times New Roman"/>
          <w:i w:val="1"/>
          <w:iCs w:val="1"/>
          <w:sz w:val="24"/>
          <w:szCs w:val="24"/>
          <w:rtl w:val="0"/>
          <w:lang w:val="en-US"/>
        </w:rPr>
        <w:t>Neuroimage</w:t>
      </w:r>
      <w:r>
        <w:rPr>
          <w:rFonts w:ascii="Times New Roman"/>
          <w:sz w:val="24"/>
          <w:szCs w:val="24"/>
          <w:rtl w:val="0"/>
          <w:lang w:val="en-US"/>
        </w:rPr>
        <w:t xml:space="preserve">, </w:t>
      </w:r>
      <w:r>
        <w:rPr>
          <w:rFonts w:ascii="Times New Roman"/>
          <w:i w:val="1"/>
          <w:iCs w:val="1"/>
          <w:sz w:val="24"/>
          <w:szCs w:val="24"/>
          <w:rtl w:val="0"/>
          <w:lang w:val="en-US"/>
        </w:rPr>
        <w:t xml:space="preserve">56, </w:t>
      </w:r>
      <w:r>
        <w:rPr>
          <w:rFonts w:ascii="Times New Roman"/>
          <w:sz w:val="24"/>
          <w:szCs w:val="24"/>
          <w:rtl w:val="0"/>
          <w:lang w:val="en-US"/>
        </w:rPr>
        <w:t>1791-1802.</w:t>
      </w:r>
    </w:p>
    <w:p>
      <w:pPr>
        <w:pStyle w:val="Body A"/>
        <w:spacing w:after="0" w:line="480" w:lineRule="auto"/>
        <w:ind w:left="720" w:hanging="720"/>
      </w:pPr>
      <w:r>
        <w:rPr>
          <w:rFonts w:ascii="Times New Roman"/>
          <w:sz w:val="24"/>
          <w:szCs w:val="24"/>
          <w:rtl w:val="0"/>
          <w:lang w:val="en-US"/>
        </w:rPr>
        <w:t xml:space="preserve">Yang, L.-X., &amp; Lewandowsky, S. (2004). Knowledge partitioning in categorization: Constraints on exemplar models. </w:t>
      </w:r>
      <w:r>
        <w:rPr>
          <w:rFonts w:ascii="Times New Roman"/>
          <w:i w:val="1"/>
          <w:iCs w:val="1"/>
          <w:sz w:val="24"/>
          <w:szCs w:val="24"/>
          <w:rtl w:val="0"/>
          <w:lang w:val="en-US"/>
        </w:rPr>
        <w:t>Journal of Experimental Psychology: Learning, Memory, &amp; Cognition</w:t>
      </w:r>
      <w:r>
        <w:rPr>
          <w:rFonts w:ascii="Times New Roman"/>
          <w:sz w:val="24"/>
          <w:szCs w:val="24"/>
          <w:rtl w:val="0"/>
          <w:lang w:val="en-US"/>
        </w:rPr>
        <w:t xml:space="preserve">, </w:t>
      </w:r>
      <w:r>
        <w:rPr>
          <w:rFonts w:ascii="Times New Roman"/>
          <w:i w:val="1"/>
          <w:iCs w:val="1"/>
          <w:sz w:val="24"/>
          <w:szCs w:val="24"/>
          <w:rtl w:val="0"/>
          <w:lang w:val="en-US"/>
        </w:rPr>
        <w:t>30</w:t>
      </w:r>
      <w:r>
        <w:rPr>
          <w:rFonts w:ascii="Times New Roman"/>
          <w:sz w:val="24"/>
          <w:szCs w:val="24"/>
          <w:rtl w:val="0"/>
          <w:lang w:val="en-US"/>
        </w:rPr>
        <w:t>, 1045-1064.</w:t>
        <w:br w:type="page"/>
      </w:r>
    </w:p>
    <w:p>
      <w:pPr>
        <w:pStyle w:val="Body A"/>
        <w:spacing w:after="0" w:line="480" w:lineRule="auto"/>
        <w:rPr>
          <w:rFonts w:ascii="Times New Roman" w:cs="Times New Roman" w:hAnsi="Times New Roman" w:eastAsia="Times New Roman"/>
          <w:sz w:val="24"/>
          <w:szCs w:val="24"/>
          <w:rtl w:val="0"/>
        </w:rPr>
      </w:pPr>
    </w:p>
    <w:p>
      <w:pPr>
        <w:pStyle w:val="Body A"/>
        <w:spacing w:after="0" w:line="480" w:lineRule="auto"/>
        <w:rPr>
          <w:rFonts w:ascii="Times New Roman" w:cs="Times New Roman" w:hAnsi="Times New Roman" w:eastAsia="Times New Roman"/>
          <w:sz w:val="24"/>
          <w:szCs w:val="24"/>
        </w:rPr>
      </w:pPr>
    </w:p>
    <w:p>
      <w:pPr>
        <w:pStyle w:val="Body A"/>
        <w:spacing w:after="0" w:line="480" w:lineRule="auto"/>
        <w:rPr>
          <w:rFonts w:ascii="Times New Roman" w:cs="Times New Roman" w:hAnsi="Times New Roman" w:eastAsia="Times New Roman"/>
          <w:sz w:val="24"/>
          <w:szCs w:val="24"/>
        </w:rPr>
      </w:pPr>
    </w:p>
    <w:p>
      <w:pPr>
        <w:pStyle w:val="Body A"/>
        <w:spacing w:after="0" w:line="480" w:lineRule="auto"/>
        <w:rPr>
          <w:rFonts w:ascii="Times New Roman" w:cs="Times New Roman" w:hAnsi="Times New Roman" w:eastAsia="Times New Roman"/>
          <w:sz w:val="24"/>
          <w:szCs w:val="24"/>
        </w:rPr>
      </w:pPr>
      <w:r>
        <w:rPr>
          <w:rFonts w:ascii="Times New Roman Bold"/>
          <w:sz w:val="24"/>
          <w:szCs w:val="24"/>
          <w:rtl w:val="0"/>
          <w:lang w:val="en-US"/>
        </w:rPr>
        <w:t>Author Notes</w:t>
      </w:r>
    </w:p>
    <w:p>
      <w:pPr>
        <w:pStyle w:val="Body A"/>
        <w:spacing w:after="0" w:line="480" w:lineRule="auto"/>
        <w:rPr>
          <w:rFonts w:ascii="Times New Roman" w:cs="Times New Roman" w:hAnsi="Times New Roman" w:eastAsia="Times New Roman"/>
          <w:sz w:val="24"/>
          <w:szCs w:val="24"/>
        </w:rPr>
      </w:pPr>
      <w:r>
        <w:rPr>
          <w:rFonts w:ascii="Times New Roman"/>
          <w:sz w:val="24"/>
          <w:szCs w:val="24"/>
          <w:rtl w:val="0"/>
          <w:lang w:val="en-US"/>
        </w:rPr>
        <w:t xml:space="preserve">We especially thank Micajah Spoden for help with programming and members of the Maddox Lab for all data collection. This research was supported in part by the U.S. Army Research Office through the Institute for Collaborative Biotechnologies under grant W911NF-09-D-0001, by grants P01NS044393 from the National Institute of Neurological Disorders and Stroke and DA032457 from the National Institute of Drug Abuse, and by grant FA9550-12-1-0355 from AFOSR. </w:t>
      </w:r>
    </w:p>
    <w:p>
      <w:pPr>
        <w:pStyle w:val="Body A"/>
        <w:spacing w:after="0" w:line="240" w:lineRule="auto"/>
      </w:pPr>
      <w:r>
        <w:rPr>
          <w:rFonts w:ascii="Times New Roman" w:cs="Times New Roman" w:hAnsi="Times New Roman" w:eastAsia="Times New Roman"/>
          <w:sz w:val="24"/>
          <w:szCs w:val="24"/>
          <w:rtl w:val="0"/>
        </w:rPr>
        <w:br w:type="page"/>
      </w:r>
    </w:p>
    <w:p>
      <w:pPr>
        <w:pStyle w:val="Body A"/>
        <w:spacing w:after="0" w:line="240" w:lineRule="auto"/>
        <w:rPr>
          <w:rFonts w:ascii="Times New Roman" w:cs="Times New Roman" w:hAnsi="Times New Roman" w:eastAsia="Times New Roman"/>
          <w:sz w:val="24"/>
          <w:szCs w:val="24"/>
          <w:rtl w:val="0"/>
        </w:rPr>
      </w:pPr>
    </w:p>
    <w:p>
      <w:pPr>
        <w:pStyle w:val="Body A"/>
        <w:spacing w:after="0" w:line="240" w:lineRule="auto"/>
        <w:rPr>
          <w:rFonts w:ascii="Times New Roman" w:cs="Times New Roman" w:hAnsi="Times New Roman" w:eastAsia="Times New Roman"/>
          <w:sz w:val="24"/>
          <w:szCs w:val="24"/>
        </w:rPr>
      </w:pPr>
    </w:p>
    <w:p>
      <w:pPr>
        <w:pStyle w:val="Body A"/>
        <w:spacing w:after="0" w:line="480" w:lineRule="auto"/>
        <w:rPr>
          <w:rFonts w:ascii="Times New Roman" w:cs="Times New Roman" w:hAnsi="Times New Roman" w:eastAsia="Times New Roman"/>
          <w:sz w:val="24"/>
          <w:szCs w:val="24"/>
        </w:rPr>
      </w:pPr>
      <w:r>
        <w:rPr>
          <w:rFonts w:ascii="Times New Roman Bold"/>
          <w:sz w:val="24"/>
          <w:szCs w:val="24"/>
          <w:rtl w:val="0"/>
          <w:lang w:val="en-US"/>
        </w:rPr>
        <w:t>Figure and Table Legends</w:t>
      </w:r>
    </w:p>
    <w:p>
      <w:pPr>
        <w:pStyle w:val="Body A"/>
        <w:spacing w:after="100" w:line="240" w:lineRule="auto"/>
        <w:rPr>
          <w:rFonts w:ascii="Times New Roman" w:cs="Times New Roman" w:hAnsi="Times New Roman" w:eastAsia="Times New Roman"/>
          <w:sz w:val="24"/>
          <w:szCs w:val="24"/>
        </w:rPr>
      </w:pPr>
      <w:r>
        <w:rPr>
          <w:rFonts w:ascii="Times New Roman Bold"/>
          <w:sz w:val="24"/>
          <w:szCs w:val="24"/>
          <w:rtl w:val="0"/>
          <w:lang w:val="en-US"/>
        </w:rPr>
        <w:t>Table</w:t>
      </w:r>
      <w:r>
        <w:rPr>
          <w:rFonts w:ascii="Times New Roman Bold"/>
          <w:sz w:val="24"/>
          <w:szCs w:val="24"/>
          <w:rtl w:val="0"/>
          <w:lang w:val="en-US"/>
        </w:rPr>
        <w:t xml:space="preserve"> 1</w:t>
      </w:r>
      <w:r>
        <w:rPr>
          <w:rFonts w:ascii="Times New Roman"/>
          <w:sz w:val="24"/>
          <w:szCs w:val="24"/>
          <w:rtl w:val="0"/>
          <w:lang w:val="en-US"/>
        </w:rPr>
        <w:t xml:space="preserve">. Post-hoc </w:t>
      </w:r>
      <w:r>
        <w:rPr>
          <w:rFonts w:ascii="Times New Roman"/>
          <w:sz w:val="24"/>
          <w:szCs w:val="24"/>
          <w:rtl w:val="0"/>
          <w:lang w:val="en-US"/>
        </w:rPr>
        <w:t xml:space="preserve">pairwise </w:t>
      </w:r>
      <w:r>
        <w:rPr>
          <w:rFonts w:ascii="Times New Roman"/>
          <w:sz w:val="24"/>
          <w:szCs w:val="24"/>
          <w:rtl w:val="0"/>
          <w:lang w:val="en-US"/>
        </w:rPr>
        <w:t>comparisons. Shaded cells indicate significant differences.</w:t>
      </w:r>
    </w:p>
    <w:p>
      <w:pPr>
        <w:pStyle w:val="Body A"/>
        <w:spacing w:after="100" w:line="240" w:lineRule="auto"/>
        <w:rPr>
          <w:rFonts w:ascii="Times New Roman" w:cs="Times New Roman" w:hAnsi="Times New Roman" w:eastAsia="Times New Roman"/>
          <w:sz w:val="24"/>
          <w:szCs w:val="24"/>
        </w:rPr>
      </w:pPr>
      <w:r>
        <w:rPr>
          <w:rFonts w:ascii="Times New Roman Bold"/>
          <w:sz w:val="24"/>
          <w:szCs w:val="24"/>
          <w:rtl w:val="0"/>
          <w:lang w:val="en-US"/>
        </w:rPr>
        <w:t xml:space="preserve">Table </w:t>
      </w:r>
      <w:r>
        <w:rPr>
          <w:rFonts w:ascii="Times New Roman Bold"/>
          <w:sz w:val="24"/>
          <w:szCs w:val="24"/>
          <w:rtl w:val="0"/>
          <w:lang w:val="en-US"/>
        </w:rPr>
        <w:t>2</w:t>
      </w:r>
      <w:r>
        <w:rPr>
          <w:rFonts w:ascii="Times New Roman"/>
          <w:sz w:val="24"/>
          <w:szCs w:val="24"/>
          <w:rtl w:val="0"/>
          <w:lang w:val="en-US"/>
        </w:rPr>
        <w:t xml:space="preserve">. Number of participants in the four conditions of the Experiment whose responses were best accounted for by a model that assumed an information-integration (II) decision strategy, a rule-based strategy, or random guessing, and the percentage of responses accounted for by those models. </w:t>
      </w:r>
    </w:p>
    <w:p>
      <w:pPr>
        <w:pStyle w:val="Body A"/>
        <w:spacing w:after="100" w:line="240" w:lineRule="auto"/>
        <w:rPr>
          <w:rFonts w:ascii="Times New Roman" w:cs="Times New Roman" w:hAnsi="Times New Roman" w:eastAsia="Times New Roman"/>
          <w:sz w:val="24"/>
          <w:szCs w:val="24"/>
        </w:rPr>
      </w:pPr>
      <w:r>
        <w:rPr>
          <w:rFonts w:ascii="Times New Roman Bold"/>
          <w:sz w:val="24"/>
          <w:szCs w:val="24"/>
          <w:rtl w:val="0"/>
          <w:lang w:val="en-US"/>
        </w:rPr>
        <w:t>Figure 1.</w:t>
      </w:r>
      <w:r>
        <w:rPr>
          <w:rFonts w:ascii="Times New Roman"/>
          <w:sz w:val="24"/>
          <w:szCs w:val="24"/>
          <w:rtl w:val="0"/>
          <w:lang w:val="en-US"/>
        </w:rPr>
        <w:t xml:space="preserve"> </w:t>
      </w:r>
      <w:r>
        <w:rPr>
          <w:rFonts w:ascii="Times New Roman Bold"/>
          <w:sz w:val="24"/>
          <w:szCs w:val="24"/>
          <w:rtl w:val="0"/>
          <w:lang w:val="en-US"/>
        </w:rPr>
        <w:t>Figure 1.</w:t>
      </w:r>
      <w:r>
        <w:rPr>
          <w:rFonts w:ascii="Times New Roman"/>
          <w:sz w:val="24"/>
          <w:szCs w:val="24"/>
          <w:rtl w:val="0"/>
          <w:lang w:val="en-US"/>
        </w:rPr>
        <w:t xml:space="preserve"> </w:t>
      </w:r>
      <w:r>
        <w:rPr>
          <w:rFonts w:ascii="Times New Roman"/>
          <w:sz w:val="24"/>
          <w:szCs w:val="24"/>
          <w:rtl w:val="0"/>
          <w:lang w:val="en-US"/>
        </w:rPr>
        <w:t xml:space="preserve">Top </w:t>
      </w:r>
      <w:r>
        <w:rPr>
          <w:rFonts w:ascii="Times New Roman"/>
          <w:sz w:val="24"/>
          <w:szCs w:val="24"/>
          <w:rtl w:val="0"/>
          <w:lang w:val="en-US"/>
        </w:rPr>
        <w:t xml:space="preserve">Left: </w:t>
      </w:r>
      <w:r>
        <w:rPr>
          <w:rFonts w:ascii="Times New Roman"/>
          <w:sz w:val="24"/>
          <w:szCs w:val="24"/>
          <w:rtl w:val="0"/>
          <w:lang w:val="en-US"/>
        </w:rPr>
        <w:t>Sequence of events on an example trial without the Stroop component. Top Right: Sequence of events on an example trial including the Stroop component.</w:t>
      </w:r>
      <w:r>
        <w:rPr>
          <w:rFonts w:ascii="Times New Roman"/>
          <w:sz w:val="24"/>
          <w:szCs w:val="24"/>
          <w:rtl w:val="0"/>
          <w:lang w:val="en-US"/>
        </w:rPr>
        <w:t xml:space="preserve"> </w:t>
      </w:r>
      <w:r>
        <w:rPr>
          <w:rFonts w:ascii="Times New Roman"/>
          <w:sz w:val="24"/>
          <w:szCs w:val="24"/>
          <w:rtl w:val="0"/>
          <w:lang w:val="en-US"/>
        </w:rPr>
        <w:t xml:space="preserve">Bottom Left: </w:t>
      </w:r>
      <w:r>
        <w:rPr>
          <w:rFonts w:ascii="Times New Roman"/>
          <w:sz w:val="24"/>
          <w:szCs w:val="24"/>
          <w:rtl w:val="0"/>
          <w:lang w:val="en-US"/>
        </w:rPr>
        <w:t>A few examples of stimuli that might be used in an information-integration (II) category-learning experiment.  Right: The category distributions used here.</w:t>
      </w:r>
    </w:p>
    <w:p>
      <w:pPr>
        <w:pStyle w:val="Body A"/>
        <w:spacing w:after="100" w:line="240" w:lineRule="auto"/>
        <w:rPr>
          <w:rFonts w:ascii="Times New Roman" w:cs="Times New Roman" w:hAnsi="Times New Roman" w:eastAsia="Times New Roman"/>
          <w:sz w:val="24"/>
          <w:szCs w:val="24"/>
        </w:rPr>
      </w:pPr>
      <w:r>
        <w:rPr>
          <w:rFonts w:ascii="Times New Roman Bold"/>
          <w:sz w:val="24"/>
          <w:szCs w:val="24"/>
          <w:rtl w:val="0"/>
          <w:lang w:val="en-US"/>
        </w:rPr>
        <w:t>Figure 2.</w:t>
      </w:r>
      <w:r>
        <w:rPr>
          <w:rFonts w:ascii="Times New Roman"/>
          <w:sz w:val="24"/>
          <w:szCs w:val="24"/>
          <w:rtl w:val="0"/>
          <w:lang w:val="fr-FR"/>
        </w:rPr>
        <w:t xml:space="preserve"> Experiment design.</w:t>
      </w:r>
      <w:r>
        <w:rPr>
          <w:rFonts w:ascii="Times New Roman"/>
          <w:sz w:val="24"/>
          <w:szCs w:val="24"/>
          <w:rtl w:val="0"/>
          <w:lang w:val="en-US"/>
        </w:rPr>
        <w:t xml:space="preserve"> See text for further details.</w:t>
      </w:r>
    </w:p>
    <w:p>
      <w:pPr>
        <w:pStyle w:val="Body A"/>
        <w:spacing w:after="100" w:line="240" w:lineRule="auto"/>
        <w:rPr>
          <w:rFonts w:ascii="Times New Roman" w:cs="Times New Roman" w:hAnsi="Times New Roman" w:eastAsia="Times New Roman"/>
          <w:sz w:val="24"/>
          <w:szCs w:val="24"/>
        </w:rPr>
      </w:pPr>
      <w:r>
        <w:rPr>
          <w:rFonts w:ascii="Times New Roman Bold"/>
          <w:sz w:val="24"/>
          <w:szCs w:val="24"/>
          <w:rtl w:val="0"/>
          <w:lang w:val="en-US"/>
        </w:rPr>
        <w:t>Figure 3.</w:t>
      </w:r>
      <w:r>
        <w:rPr>
          <w:rFonts w:ascii="Times New Roman"/>
          <w:sz w:val="24"/>
          <w:szCs w:val="24"/>
          <w:rtl w:val="0"/>
          <w:lang w:val="en-US"/>
        </w:rPr>
        <w:t xml:space="preserve"> Experiment 1 accuracy. Each block includes 25 trials, and bands represent SEM. Top Panel: Accuracy in every condition throughout the entire experiment. Bottom Panel: Simulated results obtained from the model shown in Figure 5. Blocks 1-12 were in the acquisition phase, blocks 13-28 were in the intervention phase, and blocks 29-34 were in the reacquisition phase.</w:t>
      </w:r>
    </w:p>
    <w:p>
      <w:pPr>
        <w:pStyle w:val="Body A"/>
        <w:spacing w:after="100" w:line="240" w:lineRule="auto"/>
        <w:rPr>
          <w:rFonts w:ascii="Times New Roman" w:cs="Times New Roman" w:hAnsi="Times New Roman" w:eastAsia="Times New Roman"/>
          <w:sz w:val="24"/>
          <w:szCs w:val="24"/>
        </w:rPr>
      </w:pPr>
      <w:r>
        <w:rPr>
          <w:rFonts w:ascii="Times New Roman Bold"/>
          <w:sz w:val="24"/>
          <w:szCs w:val="24"/>
          <w:rtl w:val="0"/>
          <w:lang w:val="en-US"/>
        </w:rPr>
        <w:t>Figure 4.</w:t>
      </w:r>
      <w:r>
        <w:rPr>
          <w:rFonts w:ascii="Times New Roman"/>
          <w:sz w:val="24"/>
          <w:szCs w:val="24"/>
          <w:rtl w:val="0"/>
          <w:lang w:val="en-US"/>
        </w:rPr>
        <w:t xml:space="preserve"> Savings in each condition defined as the mean accuracy during the the first 150 trials of acquisition - the mean accuracy during reacquisition. Error bars represent 95% confidence intervals on the mean accuracy per condition.</w:t>
      </w:r>
    </w:p>
    <w:p>
      <w:pPr>
        <w:pStyle w:val="Body A"/>
        <w:spacing w:after="0" w:line="240" w:lineRule="auto"/>
        <w:rPr>
          <w:rFonts w:ascii="Times New Roman" w:cs="Times New Roman" w:hAnsi="Times New Roman" w:eastAsia="Times New Roman"/>
          <w:sz w:val="24"/>
          <w:szCs w:val="24"/>
        </w:rPr>
      </w:pPr>
    </w:p>
    <w:p>
      <w:pPr>
        <w:pStyle w:val="Body A"/>
        <w:rPr>
          <w:rFonts w:ascii="Times New Roman" w:cs="Times New Roman" w:hAnsi="Times New Roman" w:eastAsia="Times New Roman"/>
          <w:color w:val="ff0000"/>
          <w:sz w:val="24"/>
          <w:szCs w:val="24"/>
          <w:u w:color="ff0000"/>
        </w:rPr>
      </w:pPr>
    </w:p>
    <w:p>
      <w:pPr>
        <w:pStyle w:val="Body A"/>
      </w:pPr>
      <w:r>
        <w:rPr>
          <w:rFonts w:ascii="Times New Roman" w:cs="Times New Roman" w:hAnsi="Times New Roman" w:eastAsia="Times New Roman"/>
          <w:color w:val="ff0000"/>
          <w:sz w:val="24"/>
          <w:szCs w:val="24"/>
          <w:u w:color="ff0000"/>
          <w:rtl w:val="0"/>
        </w:rPr>
        <w:br w:type="page"/>
      </w:r>
    </w:p>
    <w:p>
      <w:pPr>
        <w:pStyle w:val="Body A"/>
        <w:rPr>
          <w:rFonts w:ascii="Times New Roman" w:cs="Times New Roman" w:hAnsi="Times New Roman" w:eastAsia="Times New Roman"/>
          <w:color w:val="ff0000"/>
          <w:sz w:val="24"/>
          <w:szCs w:val="24"/>
          <w:u w:color="ff0000"/>
          <w:rtl w:val="0"/>
        </w:rPr>
      </w:pPr>
    </w:p>
    <w:p>
      <w:pPr>
        <w:pStyle w:val="Body A"/>
        <w:spacing w:after="0" w:line="480" w:lineRule="auto"/>
        <w:rPr>
          <w:rFonts w:ascii="Times New Roman" w:cs="Times New Roman" w:hAnsi="Times New Roman" w:eastAsia="Times New Roman"/>
          <w:sz w:val="24"/>
          <w:szCs w:val="24"/>
        </w:rPr>
      </w:pPr>
      <w:r>
        <w:rPr>
          <w:rFonts w:ascii="Times New Roman Bold"/>
          <w:sz w:val="24"/>
          <w:szCs w:val="24"/>
          <w:rtl w:val="0"/>
          <w:lang w:val="en-US"/>
        </w:rPr>
        <w:t xml:space="preserve">Table </w:t>
      </w:r>
      <w:r>
        <w:rPr>
          <w:rFonts w:ascii="Times New Roman Bold"/>
          <w:sz w:val="24"/>
          <w:szCs w:val="24"/>
          <w:rtl w:val="0"/>
          <w:lang w:val="en-US"/>
        </w:rPr>
        <w:t>1</w:t>
      </w:r>
      <w:r>
        <w:rPr>
          <w:rFonts w:ascii="Times New Roman"/>
          <w:sz w:val="24"/>
          <w:szCs w:val="24"/>
          <w:rtl w:val="0"/>
          <w:lang w:val="en-US"/>
        </w:rPr>
        <w:t xml:space="preserve">. Post-hoc </w:t>
      </w:r>
      <w:r>
        <w:rPr>
          <w:rFonts w:ascii="Times New Roman"/>
          <w:sz w:val="24"/>
          <w:szCs w:val="24"/>
          <w:rtl w:val="0"/>
          <w:lang w:val="en-US"/>
        </w:rPr>
        <w:t xml:space="preserve">pairwise </w:t>
      </w:r>
      <w:r>
        <w:rPr>
          <w:rFonts w:ascii="Times New Roman"/>
          <w:sz w:val="24"/>
          <w:szCs w:val="24"/>
          <w:rtl w:val="0"/>
          <w:lang w:val="en-US"/>
        </w:rPr>
        <w:t>comparisons. Shaded cells indicate significant differences.</w:t>
      </w:r>
    </w:p>
    <w:p>
      <w:pPr>
        <w:pStyle w:val="Body A"/>
        <w:spacing w:after="0" w:line="240" w:lineRule="auto"/>
        <w:rPr>
          <w:rFonts w:ascii="Times New Roman" w:cs="Times New Roman" w:hAnsi="Times New Roman" w:eastAsia="Times New Roman"/>
          <w:color w:val="ff0000"/>
          <w:sz w:val="24"/>
          <w:szCs w:val="24"/>
          <w:u w:color="ff000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9"/>
        <w:gridCol w:w="2340"/>
        <w:gridCol w:w="2340"/>
        <w:gridCol w:w="2341"/>
      </w:tblGrid>
      <w:tr>
        <w:tblPrEx>
          <w:shd w:val="clear" w:color="auto" w:fill="auto"/>
        </w:tblPrEx>
        <w:trPr>
          <w:trHeight w:val="478" w:hRule="atLeast"/>
        </w:trPr>
        <w:tc>
          <w:tcPr>
            <w:tcW w:type="dxa" w:w="2339"/>
            <w:tcBorders>
              <w:top w:val="nil"/>
              <w:left w:val="nil"/>
              <w:bottom w:val="single" w:color="515151" w:sz="24" w:space="0" w:shadow="0" w:frame="0"/>
              <w:right w:val="nil"/>
            </w:tcBorders>
            <w:shd w:val="clear" w:color="auto" w:fill="auto"/>
            <w:tcMar>
              <w:top w:type="dxa" w:w="80"/>
              <w:left w:type="dxa" w:w="80"/>
              <w:bottom w:type="dxa" w:w="80"/>
              <w:right w:type="dxa" w:w="80"/>
            </w:tcMar>
            <w:vAlign w:val="top"/>
          </w:tcPr>
          <w:p/>
        </w:tc>
        <w:tc>
          <w:tcPr>
            <w:tcW w:type="dxa" w:w="2340"/>
            <w:tcBorders>
              <w:top w:val="nil"/>
              <w:left w:val="nil"/>
              <w:bottom w:val="single" w:color="515151" w:sz="24" w:space="0" w:shadow="0" w:frame="0"/>
              <w:right w:val="nil"/>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Bold"/>
                <w:caps w:val="0"/>
                <w:smallCaps w:val="0"/>
                <w:strike w:val="0"/>
                <w:dstrike w:val="0"/>
                <w:outline w:val="0"/>
                <w:color w:val="000000"/>
                <w:spacing w:val="0"/>
                <w:kern w:val="0"/>
                <w:position w:val="0"/>
                <w:sz w:val="20"/>
                <w:szCs w:val="20"/>
                <w:u w:val="none" w:color="000000"/>
                <w:vertAlign w:val="baseline"/>
                <w:rtl w:val="0"/>
                <w:lang w:val="en-US"/>
              </w:rPr>
              <w:t>Acquisition Phase</w:t>
            </w:r>
          </w:p>
        </w:tc>
        <w:tc>
          <w:tcPr>
            <w:tcW w:type="dxa" w:w="2340"/>
            <w:tcBorders>
              <w:top w:val="nil"/>
              <w:left w:val="nil"/>
              <w:bottom w:val="single" w:color="515151" w:sz="24" w:space="0" w:shadow="0" w:frame="0"/>
              <w:right w:val="nil"/>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Bold"/>
                <w:caps w:val="0"/>
                <w:smallCaps w:val="0"/>
                <w:strike w:val="0"/>
                <w:dstrike w:val="0"/>
                <w:outline w:val="0"/>
                <w:color w:val="000000"/>
                <w:spacing w:val="0"/>
                <w:kern w:val="0"/>
                <w:position w:val="0"/>
                <w:sz w:val="20"/>
                <w:szCs w:val="20"/>
                <w:u w:val="none" w:color="000000"/>
                <w:vertAlign w:val="baseline"/>
                <w:rtl w:val="0"/>
                <w:lang w:val="en-US"/>
              </w:rPr>
              <w:t>Intervention Phase</w:t>
            </w:r>
          </w:p>
        </w:tc>
        <w:tc>
          <w:tcPr>
            <w:tcW w:type="dxa" w:w="2340"/>
            <w:tcBorders>
              <w:top w:val="nil"/>
              <w:left w:val="nil"/>
              <w:bottom w:val="single" w:color="515151" w:sz="24" w:space="0" w:shadow="0" w:frame="0"/>
              <w:right w:val="nil"/>
            </w:tcBorders>
            <w:shd w:val="clear" w:color="auto" w:fill="auto"/>
            <w:tcMar>
              <w:top w:type="dxa" w:w="80"/>
              <w:left w:type="dxa" w:w="80"/>
              <w:bottom w:type="dxa" w:w="80"/>
              <w:right w:type="dxa" w:w="80"/>
            </w:tcMar>
            <w:vAlign w:val="top"/>
          </w:tcPr>
          <w:p>
            <w:pPr>
              <w:pStyle w:val="Default"/>
            </w:pPr>
            <w:r>
              <w:rPr>
                <w:rFonts w:ascii="Times New Roman Bold"/>
                <w:caps w:val="0"/>
                <w:smallCaps w:val="0"/>
                <w:strike w:val="0"/>
                <w:dstrike w:val="0"/>
                <w:outline w:val="0"/>
                <w:color w:val="000000"/>
                <w:spacing w:val="0"/>
                <w:kern w:val="0"/>
                <w:position w:val="0"/>
                <w:sz w:val="20"/>
                <w:szCs w:val="20"/>
                <w:u w:val="none" w:color="000000"/>
                <w:vertAlign w:val="baseline"/>
                <w:rtl w:val="0"/>
                <w:lang w:val="en-US"/>
              </w:rPr>
              <w:t>Reacquisition Phase</w:t>
            </w:r>
          </w:p>
        </w:tc>
      </w:tr>
      <w:tr>
        <w:tblPrEx>
          <w:shd w:val="clear" w:color="auto" w:fill="auto"/>
        </w:tblPrEx>
        <w:trPr>
          <w:trHeight w:val="538" w:hRule="atLeast"/>
        </w:trPr>
        <w:tc>
          <w:tcPr>
            <w:tcW w:type="dxa" w:w="2339"/>
            <w:tcBorders>
              <w:top w:val="single" w:color="515151" w:sz="2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Default"/>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1</w:t>
            </w:r>
            <w:r>
              <w:rPr>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hAnsi="Helvetica" w:hint="default"/>
                <w:caps w:val="0"/>
                <w:smallCaps w:val="0"/>
                <w:strike w:val="0"/>
                <w:dstrike w:val="0"/>
                <w:outline w:val="0"/>
                <w:color w:val="000000"/>
                <w:spacing w:val="0"/>
                <w:kern w:val="0"/>
                <w:position w:val="0"/>
                <w:sz w:val="20"/>
                <w:szCs w:val="20"/>
                <w:u w:val="none" w:color="000000"/>
                <w:vertAlign w:val="baseline"/>
                <w:rtl w:val="0"/>
                <w:lang w:val="en-US"/>
              </w:rPr>
              <w:t>–</w:t>
            </w:r>
            <w:r>
              <w:rPr>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2</w:t>
            </w:r>
          </w:p>
        </w:tc>
        <w:tc>
          <w:tcPr>
            <w:tcW w:type="dxa" w:w="2340"/>
            <w:tcBorders>
              <w:top w:val="single" w:color="515151" w:sz="2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Default"/>
            </w:pP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t</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(77) = 0.71, </w:t>
            </w: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p = 0.48</w:t>
            </w:r>
          </w:p>
        </w:tc>
        <w:tc>
          <w:tcPr>
            <w:tcW w:type="dxa" w:w="2340"/>
            <w:tcBorders>
              <w:top w:val="single" w:color="515151" w:sz="2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t</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(70) = -1.31, </w:t>
            </w: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p = 0.19</w:t>
            </w:r>
          </w:p>
        </w:tc>
        <w:tc>
          <w:tcPr>
            <w:tcW w:type="dxa" w:w="2340"/>
            <w:tcBorders>
              <w:top w:val="single" w:color="515151" w:sz="2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t</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(104) = -0.19, </w:t>
            </w: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p = 0.85</w:t>
            </w:r>
          </w:p>
        </w:tc>
      </w:tr>
      <w:tr>
        <w:tblPrEx>
          <w:shd w:val="clear" w:color="auto" w:fill="auto"/>
        </w:tblPrEx>
        <w:trPr>
          <w:trHeight w:val="488" w:hRule="atLeast"/>
        </w:trPr>
        <w:tc>
          <w:tcPr>
            <w:tcW w:type="dxa" w:w="233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Default"/>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1</w:t>
            </w:r>
            <w:r>
              <w:rPr>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hAnsi="Helvetica" w:hint="default"/>
                <w:caps w:val="0"/>
                <w:smallCaps w:val="0"/>
                <w:strike w:val="0"/>
                <w:dstrike w:val="0"/>
                <w:outline w:val="0"/>
                <w:color w:val="000000"/>
                <w:spacing w:val="0"/>
                <w:kern w:val="0"/>
                <w:position w:val="0"/>
                <w:sz w:val="20"/>
                <w:szCs w:val="20"/>
                <w:u w:val="none" w:color="000000"/>
                <w:vertAlign w:val="baseline"/>
                <w:rtl w:val="0"/>
                <w:lang w:val="en-US"/>
              </w:rPr>
              <w:t>–</w:t>
            </w:r>
            <w:r>
              <w:rPr>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3</w:t>
            </w:r>
          </w:p>
        </w:tc>
        <w:tc>
          <w:tcPr>
            <w:tcW w:type="dxa" w:w="2340"/>
            <w:tcBorders>
              <w:top w:val="single" w:color="000000" w:sz="4" w:space="0" w:shadow="0" w:frame="0"/>
              <w:left w:val="nil"/>
              <w:bottom w:val="single" w:color="000000" w:sz="4" w:space="0" w:shadow="0" w:frame="0"/>
              <w:right w:val="nil"/>
            </w:tcBorders>
            <w:shd w:val="clear" w:color="auto" w:fill="bfbfbf"/>
            <w:tcMar>
              <w:top w:type="dxa" w:w="80"/>
              <w:left w:type="dxa" w:w="80"/>
              <w:bottom w:type="dxa" w:w="80"/>
              <w:right w:type="dxa" w:w="80"/>
            </w:tcMar>
            <w:vAlign w:val="top"/>
          </w:tcPr>
          <w:p>
            <w:pPr>
              <w:pStyle w:val="Default"/>
            </w:pP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t</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(74) = -2.95, </w:t>
            </w: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p &lt; 0.01</w:t>
            </w:r>
          </w:p>
        </w:tc>
        <w:tc>
          <w:tcPr>
            <w:tcW w:type="dxa" w:w="2340"/>
            <w:tcBorders>
              <w:top w:val="single" w:color="000000" w:sz="4" w:space="0" w:shadow="0" w:frame="0"/>
              <w:left w:val="nil"/>
              <w:bottom w:val="single" w:color="000000" w:sz="4" w:space="0" w:shadow="0" w:frame="0"/>
              <w:right w:val="nil"/>
            </w:tcBorders>
            <w:shd w:val="clear" w:color="auto" w:fill="bfbfbf"/>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t</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(68) = -4.36, </w:t>
            </w: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p &lt; 0.001</w:t>
            </w:r>
          </w:p>
        </w:tc>
        <w:tc>
          <w:tcPr>
            <w:tcW w:type="dxa" w:w="2340"/>
            <w:tcBorders>
              <w:top w:val="single" w:color="000000" w:sz="4" w:space="0" w:shadow="0" w:frame="0"/>
              <w:left w:val="nil"/>
              <w:bottom w:val="single" w:color="000000" w:sz="4" w:space="0" w:shadow="0" w:frame="0"/>
              <w:right w:val="nil"/>
            </w:tcBorders>
            <w:shd w:val="clear" w:color="auto" w:fill="bfbfbf"/>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t</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(100) = -2.11, </w:t>
            </w: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p &lt; 0.05</w:t>
            </w:r>
          </w:p>
        </w:tc>
      </w:tr>
      <w:tr>
        <w:tblPrEx>
          <w:shd w:val="clear" w:color="auto" w:fill="auto"/>
        </w:tblPrEx>
        <w:trPr>
          <w:trHeight w:val="488" w:hRule="atLeast"/>
        </w:trPr>
        <w:tc>
          <w:tcPr>
            <w:tcW w:type="dxa" w:w="233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Default"/>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1</w:t>
            </w:r>
            <w:r>
              <w:rPr>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hAnsi="Helvetica" w:hint="default"/>
                <w:caps w:val="0"/>
                <w:smallCaps w:val="0"/>
                <w:strike w:val="0"/>
                <w:dstrike w:val="0"/>
                <w:outline w:val="0"/>
                <w:color w:val="000000"/>
                <w:spacing w:val="0"/>
                <w:kern w:val="0"/>
                <w:position w:val="0"/>
                <w:sz w:val="20"/>
                <w:szCs w:val="20"/>
                <w:u w:val="none" w:color="000000"/>
                <w:vertAlign w:val="baseline"/>
                <w:rtl w:val="0"/>
                <w:lang w:val="en-US"/>
              </w:rPr>
              <w:t>–</w:t>
            </w:r>
            <w:r>
              <w:rPr>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4</w:t>
            </w:r>
          </w:p>
        </w:tc>
        <w:tc>
          <w:tcPr>
            <w:tcW w:type="dxa" w:w="23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t</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(62) = -0.86, </w:t>
            </w: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p = 0.40</w:t>
            </w:r>
          </w:p>
        </w:tc>
        <w:tc>
          <w:tcPr>
            <w:tcW w:type="dxa" w:w="2340"/>
            <w:tcBorders>
              <w:top w:val="single" w:color="000000" w:sz="4" w:space="0" w:shadow="0" w:frame="0"/>
              <w:left w:val="nil"/>
              <w:bottom w:val="single" w:color="000000" w:sz="4" w:space="0" w:shadow="0" w:frame="0"/>
              <w:right w:val="nil"/>
            </w:tcBorders>
            <w:shd w:val="clear" w:color="auto" w:fill="bfbfbf"/>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t</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(58) = -2.98, </w:t>
            </w: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p &lt; 0.01</w:t>
            </w:r>
          </w:p>
        </w:tc>
        <w:tc>
          <w:tcPr>
            <w:tcW w:type="dxa" w:w="2340"/>
            <w:tcBorders>
              <w:top w:val="single" w:color="000000" w:sz="4" w:space="0" w:shadow="0" w:frame="0"/>
              <w:left w:val="nil"/>
              <w:bottom w:val="single" w:color="000000" w:sz="4" w:space="0" w:shadow="0" w:frame="0"/>
              <w:right w:val="nil"/>
            </w:tcBorders>
            <w:shd w:val="clear" w:color="auto" w:fill="bfbfbf"/>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t</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(82) = -2.17, </w:t>
            </w: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p &lt; 0.05</w:t>
            </w:r>
          </w:p>
        </w:tc>
      </w:tr>
      <w:tr>
        <w:tblPrEx>
          <w:shd w:val="clear" w:color="auto" w:fill="auto"/>
        </w:tblPrEx>
        <w:trPr>
          <w:trHeight w:val="488" w:hRule="atLeast"/>
        </w:trPr>
        <w:tc>
          <w:tcPr>
            <w:tcW w:type="dxa" w:w="233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Default"/>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2</w:t>
            </w:r>
            <w:r>
              <w:rPr>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hAnsi="Helvetica" w:hint="default"/>
                <w:caps w:val="0"/>
                <w:smallCaps w:val="0"/>
                <w:strike w:val="0"/>
                <w:dstrike w:val="0"/>
                <w:outline w:val="0"/>
                <w:color w:val="000000"/>
                <w:spacing w:val="0"/>
                <w:kern w:val="0"/>
                <w:position w:val="0"/>
                <w:sz w:val="20"/>
                <w:szCs w:val="20"/>
                <w:u w:val="none" w:color="000000"/>
                <w:vertAlign w:val="baseline"/>
                <w:rtl w:val="0"/>
                <w:lang w:val="en-US"/>
              </w:rPr>
              <w:t>–</w:t>
            </w:r>
            <w:r>
              <w:rPr>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3</w:t>
            </w:r>
          </w:p>
        </w:tc>
        <w:tc>
          <w:tcPr>
            <w:tcW w:type="dxa" w:w="2340"/>
            <w:tcBorders>
              <w:top w:val="single" w:color="000000" w:sz="4" w:space="0" w:shadow="0" w:frame="0"/>
              <w:left w:val="nil"/>
              <w:bottom w:val="single" w:color="000000" w:sz="4" w:space="0" w:shadow="0" w:frame="0"/>
              <w:right w:val="nil"/>
            </w:tcBorders>
            <w:shd w:val="clear" w:color="auto" w:fill="bfbfbf"/>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t</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(269) = -4.39, </w:t>
            </w: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p &lt; 0.001</w:t>
            </w:r>
          </w:p>
        </w:tc>
        <w:tc>
          <w:tcPr>
            <w:tcW w:type="dxa" w:w="2340"/>
            <w:tcBorders>
              <w:top w:val="single" w:color="000000" w:sz="4" w:space="0" w:shadow="0" w:frame="0"/>
              <w:left w:val="nil"/>
              <w:bottom w:val="single" w:color="000000" w:sz="4" w:space="0" w:shadow="0" w:frame="0"/>
              <w:right w:val="nil"/>
            </w:tcBorders>
            <w:shd w:val="clear" w:color="auto" w:fill="bfbfbf"/>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t</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(238) = -3.66, </w:t>
            </w: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 xml:space="preserve">p </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 &lt; 0.001</w:t>
            </w:r>
          </w:p>
        </w:tc>
        <w:tc>
          <w:tcPr>
            <w:tcW w:type="dxa" w:w="2340"/>
            <w:tcBorders>
              <w:top w:val="single" w:color="000000" w:sz="4" w:space="0" w:shadow="0" w:frame="0"/>
              <w:left w:val="nil"/>
              <w:bottom w:val="single" w:color="000000" w:sz="4" w:space="0" w:shadow="0" w:frame="0"/>
              <w:right w:val="nil"/>
            </w:tcBorders>
            <w:shd w:val="clear" w:color="auto" w:fill="bfbfbf"/>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t</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(409) = -2.21, </w:t>
            </w: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p &lt; 0.05</w:t>
            </w:r>
          </w:p>
        </w:tc>
      </w:tr>
      <w:tr>
        <w:tblPrEx>
          <w:shd w:val="clear" w:color="auto" w:fill="auto"/>
        </w:tblPrEx>
        <w:trPr>
          <w:trHeight w:val="488" w:hRule="atLeast"/>
        </w:trPr>
        <w:tc>
          <w:tcPr>
            <w:tcW w:type="dxa" w:w="233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Default"/>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2</w:t>
            </w:r>
            <w:r>
              <w:rPr>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hAnsi="Helvetica" w:hint="default"/>
                <w:caps w:val="0"/>
                <w:smallCaps w:val="0"/>
                <w:strike w:val="0"/>
                <w:dstrike w:val="0"/>
                <w:outline w:val="0"/>
                <w:color w:val="000000"/>
                <w:spacing w:val="0"/>
                <w:kern w:val="0"/>
                <w:position w:val="0"/>
                <w:sz w:val="20"/>
                <w:szCs w:val="20"/>
                <w:u w:val="none" w:color="000000"/>
                <w:vertAlign w:val="baseline"/>
                <w:rtl w:val="0"/>
                <w:lang w:val="en-US"/>
              </w:rPr>
              <w:t>–</w:t>
            </w:r>
            <w:r>
              <w:rPr>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4</w:t>
            </w:r>
          </w:p>
        </w:tc>
        <w:tc>
          <w:tcPr>
            <w:tcW w:type="dxa" w:w="23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t</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(75) = -1.54, </w:t>
            </w: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p = 0.13</w:t>
            </w:r>
          </w:p>
        </w:tc>
        <w:tc>
          <w:tcPr>
            <w:tcW w:type="dxa" w:w="23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t</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(69) = -1.80, </w:t>
            </w: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 xml:space="preserve">p </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0.08</w:t>
            </w:r>
          </w:p>
        </w:tc>
        <w:tc>
          <w:tcPr>
            <w:tcW w:type="dxa" w:w="2340"/>
            <w:tcBorders>
              <w:top w:val="single" w:color="000000" w:sz="4" w:space="0" w:shadow="0" w:frame="0"/>
              <w:left w:val="nil"/>
              <w:bottom w:val="single" w:color="000000" w:sz="4" w:space="0" w:shadow="0" w:frame="0"/>
              <w:right w:val="nil"/>
            </w:tcBorders>
            <w:shd w:val="clear" w:color="auto" w:fill="bfbfbf"/>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t</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(101) = -2.02, </w:t>
            </w: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p &lt; 0.05</w:t>
            </w:r>
          </w:p>
        </w:tc>
      </w:tr>
      <w:tr>
        <w:tblPrEx>
          <w:shd w:val="clear" w:color="auto" w:fill="auto"/>
        </w:tblPrEx>
        <w:trPr>
          <w:trHeight w:val="488" w:hRule="atLeast"/>
        </w:trPr>
        <w:tc>
          <w:tcPr>
            <w:tcW w:type="dxa" w:w="2339"/>
            <w:tcBorders>
              <w:top w:val="single" w:color="000000" w:sz="4" w:space="0" w:shadow="0" w:frame="0"/>
              <w:left w:val="nil"/>
              <w:bottom w:val="single" w:color="515151" w:sz="8" w:space="0" w:shadow="0" w:frame="0"/>
              <w:right w:val="nil"/>
            </w:tcBorders>
            <w:shd w:val="clear" w:color="auto" w:fill="auto"/>
            <w:tcMar>
              <w:top w:type="dxa" w:w="80"/>
              <w:left w:type="dxa" w:w="80"/>
              <w:bottom w:type="dxa" w:w="80"/>
              <w:right w:type="dxa" w:w="80"/>
            </w:tcMar>
            <w:vAlign w:val="top"/>
          </w:tcPr>
          <w:p>
            <w:pPr>
              <w:pStyle w:val="Default"/>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3 </w:t>
            </w:r>
            <w:r>
              <w:rPr>
                <w:rFonts w:hAnsi="Helvetica" w:hint="default"/>
                <w:caps w:val="0"/>
                <w:smallCaps w:val="0"/>
                <w:strike w:val="0"/>
                <w:dstrike w:val="0"/>
                <w:outline w:val="0"/>
                <w:color w:val="000000"/>
                <w:spacing w:val="0"/>
                <w:kern w:val="0"/>
                <w:position w:val="0"/>
                <w:sz w:val="20"/>
                <w:szCs w:val="20"/>
                <w:u w:val="none" w:color="000000"/>
                <w:vertAlign w:val="baseline"/>
                <w:rtl w:val="0"/>
                <w:lang w:val="en-US"/>
              </w:rPr>
              <w:t>–</w:t>
            </w:r>
            <w:r>
              <w:rPr>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4</w:t>
            </w:r>
          </w:p>
        </w:tc>
        <w:tc>
          <w:tcPr>
            <w:tcW w:type="dxa" w:w="2340"/>
            <w:tcBorders>
              <w:top w:val="single" w:color="000000" w:sz="4" w:space="0" w:shadow="0" w:frame="0"/>
              <w:left w:val="nil"/>
              <w:bottom w:val="single" w:color="515151" w:sz="8" w:space="0" w:shadow="0" w:frame="0"/>
              <w:right w:val="nil"/>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t</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(73) = 1.90, </w:t>
            </w: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p = 0.06</w:t>
            </w:r>
          </w:p>
        </w:tc>
        <w:tc>
          <w:tcPr>
            <w:tcW w:type="dxa" w:w="2340"/>
            <w:tcBorders>
              <w:top w:val="single" w:color="000000" w:sz="4" w:space="0" w:shadow="0" w:frame="0"/>
              <w:left w:val="nil"/>
              <w:bottom w:val="single" w:color="515151" w:sz="8" w:space="0" w:shadow="0" w:frame="0"/>
              <w:right w:val="nil"/>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t</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(67) = 1.03, </w:t>
            </w: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 xml:space="preserve">p </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0.31</w:t>
            </w:r>
          </w:p>
        </w:tc>
        <w:tc>
          <w:tcPr>
            <w:tcW w:type="dxa" w:w="2340"/>
            <w:tcBorders>
              <w:top w:val="single" w:color="000000" w:sz="4" w:space="0" w:shadow="0" w:frame="0"/>
              <w:left w:val="nil"/>
              <w:bottom w:val="single" w:color="515151" w:sz="8" w:space="0" w:shadow="0" w:frame="0"/>
              <w:right w:val="nil"/>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t</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(98) = -0.24, </w:t>
            </w:r>
            <w:r>
              <w:rPr>
                <w:rFonts w:ascii="Times New Roman"/>
                <w:i w:val="1"/>
                <w:iCs w:val="1"/>
                <w:caps w:val="0"/>
                <w:smallCaps w:val="0"/>
                <w:strike w:val="0"/>
                <w:dstrike w:val="0"/>
                <w:outline w:val="0"/>
                <w:color w:val="000000"/>
                <w:spacing w:val="0"/>
                <w:kern w:val="0"/>
                <w:position w:val="0"/>
                <w:sz w:val="20"/>
                <w:szCs w:val="20"/>
                <w:u w:val="none" w:color="000000"/>
                <w:vertAlign w:val="baseline"/>
                <w:rtl w:val="0"/>
                <w:lang w:val="en-US"/>
              </w:rPr>
              <w:t xml:space="preserve">p </w:t>
            </w: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0.81</w:t>
            </w:r>
          </w:p>
        </w:tc>
      </w:tr>
    </w:tbl>
    <w:p>
      <w:pPr>
        <w:pStyle w:val="Body A"/>
        <w:spacing w:after="0" w:line="240" w:lineRule="auto"/>
        <w:rPr>
          <w:rFonts w:ascii="Times New Roman" w:cs="Times New Roman" w:hAnsi="Times New Roman" w:eastAsia="Times New Roman"/>
          <w:color w:val="ff0000"/>
          <w:sz w:val="24"/>
          <w:szCs w:val="24"/>
          <w:u w:color="ff0000"/>
        </w:rPr>
      </w:pPr>
    </w:p>
    <w:p>
      <w:pPr>
        <w:pStyle w:val="Body A"/>
        <w:rPr>
          <w:rFonts w:ascii="Times New Roman" w:cs="Times New Roman" w:hAnsi="Times New Roman" w:eastAsia="Times New Roman"/>
          <w:color w:val="ff0000"/>
          <w:sz w:val="24"/>
          <w:szCs w:val="24"/>
          <w:u w:color="ff0000"/>
        </w:rPr>
      </w:pPr>
    </w:p>
    <w:p>
      <w:pPr>
        <w:pStyle w:val="Body A"/>
        <w:rPr>
          <w:rFonts w:ascii="Times New Roman" w:cs="Times New Roman" w:hAnsi="Times New Roman" w:eastAsia="Times New Roman"/>
          <w:color w:val="ff0000"/>
          <w:sz w:val="24"/>
          <w:szCs w:val="24"/>
          <w:u w:color="ff0000"/>
        </w:rPr>
      </w:pPr>
    </w:p>
    <w:p>
      <w:pPr>
        <w:pStyle w:val="Body A"/>
        <w:spacing w:line="480" w:lineRule="auto"/>
        <w:rPr>
          <w:rFonts w:ascii="Times New Roman" w:cs="Times New Roman" w:hAnsi="Times New Roman" w:eastAsia="Times New Roman"/>
          <w:color w:val="ff0000"/>
          <w:sz w:val="24"/>
          <w:szCs w:val="24"/>
          <w:u w:color="ff0000"/>
        </w:rPr>
      </w:pPr>
    </w:p>
    <w:p>
      <w:pPr>
        <w:pStyle w:val="Body A"/>
        <w:spacing w:line="480" w:lineRule="auto"/>
        <w:rPr>
          <w:rFonts w:ascii="Times New Roman" w:cs="Times New Roman" w:hAnsi="Times New Roman" w:eastAsia="Times New Roman"/>
          <w:color w:val="ff0000"/>
          <w:sz w:val="24"/>
          <w:szCs w:val="24"/>
          <w:u w:color="ff0000"/>
        </w:rPr>
      </w:pPr>
    </w:p>
    <w:p>
      <w:pPr>
        <w:pStyle w:val="Body A"/>
        <w:rPr>
          <w:rFonts w:ascii="Times New Roman" w:cs="Times New Roman" w:hAnsi="Times New Roman" w:eastAsia="Times New Roman"/>
          <w:color w:val="ff0000"/>
          <w:sz w:val="24"/>
          <w:szCs w:val="24"/>
          <w:u w:color="ff0000"/>
        </w:rPr>
      </w:pPr>
    </w:p>
    <w:p>
      <w:pPr>
        <w:pStyle w:val="Body A"/>
      </w:pPr>
      <w:r>
        <w:rPr>
          <w:rFonts w:ascii="Times New Roman" w:cs="Times New Roman" w:hAnsi="Times New Roman" w:eastAsia="Times New Roman"/>
          <w:sz w:val="24"/>
          <w:szCs w:val="24"/>
          <w:rtl w:val="0"/>
        </w:rPr>
        <w:br w:type="page"/>
      </w:r>
    </w:p>
    <w:p>
      <w:pPr>
        <w:pStyle w:val="Body A"/>
        <w:rPr>
          <w:rFonts w:ascii="Times New Roman" w:cs="Times New Roman" w:hAnsi="Times New Roman" w:eastAsia="Times New Roman"/>
          <w:sz w:val="24"/>
          <w:szCs w:val="24"/>
          <w:rtl w:val="0"/>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480" w:lineRule="auto"/>
        <w:rPr>
          <w:rFonts w:ascii="Times New Roman" w:cs="Times New Roman" w:hAnsi="Times New Roman" w:eastAsia="Times New Roman"/>
          <w:color w:val="ff0000"/>
          <w:sz w:val="24"/>
          <w:szCs w:val="24"/>
          <w:u w:color="ff0000"/>
        </w:rPr>
      </w:pPr>
      <w:r>
        <w:rPr>
          <w:rFonts w:ascii="Times New Roman Bold"/>
          <w:sz w:val="24"/>
          <w:szCs w:val="24"/>
          <w:rtl w:val="0"/>
          <w:lang w:val="en-US"/>
        </w:rPr>
        <w:t>Table 4</w:t>
      </w:r>
      <w:r>
        <w:rPr>
          <w:rFonts w:ascii="Times New Roman"/>
          <w:sz w:val="24"/>
          <w:szCs w:val="24"/>
          <w:rtl w:val="0"/>
          <w:lang w:val="en-US"/>
        </w:rPr>
        <w:t xml:space="preserve">. Number of participants in the four conditions of the Experiment whose responses were best accounted for by a model that assumed an information-integration (II) decision strategy, a rule-based strategy, or random guessing, and the percentage of responses accounted for by those models.  </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25"/>
        <w:gridCol w:w="1030"/>
        <w:gridCol w:w="1028"/>
        <w:gridCol w:w="1029"/>
        <w:gridCol w:w="1029"/>
        <w:gridCol w:w="1030"/>
        <w:gridCol w:w="1030"/>
        <w:gridCol w:w="1029"/>
        <w:gridCol w:w="1030"/>
      </w:tblGrid>
      <w:tr>
        <w:tblPrEx>
          <w:shd w:val="clear" w:color="auto" w:fill="auto"/>
        </w:tblPrEx>
        <w:trPr>
          <w:trHeight w:val="200" w:hRule="atLeast"/>
        </w:trPr>
        <w:tc>
          <w:tcPr>
            <w:tcW w:type="dxa" w:w="1125"/>
            <w:tcBorders>
              <w:top w:val="nil"/>
              <w:left w:val="nil"/>
              <w:bottom w:val="nil"/>
              <w:right w:val="nil"/>
            </w:tcBorders>
            <w:shd w:val="clear" w:color="auto" w:fill="auto"/>
            <w:tcMar>
              <w:top w:type="dxa" w:w="80"/>
              <w:left w:type="dxa" w:w="80"/>
              <w:bottom w:type="dxa" w:w="80"/>
              <w:right w:type="dxa" w:w="80"/>
            </w:tcMar>
            <w:vAlign w:val="top"/>
          </w:tcPr>
          <w:p/>
        </w:tc>
        <w:tc>
          <w:tcPr>
            <w:tcW w:type="dxa" w:w="4116"/>
            <w:gridSpan w:val="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Condition 1</w:t>
            </w:r>
          </w:p>
        </w:tc>
        <w:tc>
          <w:tcPr>
            <w:tcW w:type="dxa" w:w="4118"/>
            <w:gridSpan w:val="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Condition 2</w:t>
            </w:r>
          </w:p>
        </w:tc>
      </w:tr>
      <w:tr>
        <w:tblPrEx>
          <w:shd w:val="clear" w:color="auto" w:fill="auto"/>
        </w:tblPrEx>
        <w:trPr>
          <w:trHeight w:val="210" w:hRule="atLeast"/>
        </w:trPr>
        <w:tc>
          <w:tcPr>
            <w:tcW w:type="dxa" w:w="1125"/>
            <w:tcBorders>
              <w:top w:val="nil"/>
              <w:left w:val="nil"/>
              <w:bottom w:val="nil"/>
              <w:right w:val="nil"/>
            </w:tcBorders>
            <w:shd w:val="clear" w:color="auto" w:fill="auto"/>
            <w:tcMar>
              <w:top w:type="dxa" w:w="80"/>
              <w:left w:type="dxa" w:w="80"/>
              <w:bottom w:type="dxa" w:w="80"/>
              <w:right w:type="dxa" w:w="80"/>
            </w:tcMar>
            <w:vAlign w:val="top"/>
          </w:tcPr>
          <w:p/>
        </w:tc>
        <w:tc>
          <w:tcPr>
            <w:tcW w:type="dxa" w:w="2058"/>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A3</w:t>
            </w:r>
          </w:p>
        </w:tc>
        <w:tc>
          <w:tcPr>
            <w:tcW w:type="dxa" w:w="2058"/>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R1</w:t>
            </w:r>
          </w:p>
        </w:tc>
        <w:tc>
          <w:tcPr>
            <w:tcW w:type="dxa" w:w="2059"/>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A3</w:t>
            </w:r>
          </w:p>
        </w:tc>
        <w:tc>
          <w:tcPr>
            <w:tcW w:type="dxa" w:w="2059"/>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R1</w:t>
            </w:r>
          </w:p>
        </w:tc>
      </w:tr>
      <w:tr>
        <w:tblPrEx>
          <w:shd w:val="clear" w:color="auto" w:fill="auto"/>
        </w:tblPrEx>
        <w:trPr>
          <w:trHeight w:val="210" w:hRule="atLeast"/>
        </w:trPr>
        <w:tc>
          <w:tcPr>
            <w:tcW w:type="dxa" w:w="1125"/>
            <w:tcBorders>
              <w:top w:val="nil"/>
              <w:left w:val="nil"/>
              <w:bottom w:val="dotted" w:color="000000" w:sz="4" w:space="0" w:shadow="0" w:frame="0"/>
              <w:right w:val="nil"/>
            </w:tcBorders>
            <w:shd w:val="clear" w:color="auto" w:fill="auto"/>
            <w:tcMar>
              <w:top w:type="dxa" w:w="80"/>
              <w:left w:type="dxa" w:w="80"/>
              <w:bottom w:type="dxa" w:w="80"/>
              <w:right w:type="dxa" w:w="80"/>
            </w:tcMar>
            <w:vAlign w:val="top"/>
          </w:tcP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28"/>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1029"/>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29"/>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1029"/>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1029"/>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tc>
      </w:tr>
      <w:tr>
        <w:tblPrEx>
          <w:shd w:val="clear" w:color="auto" w:fill="auto"/>
        </w:tblPrEx>
        <w:trPr>
          <w:trHeight w:val="210" w:hRule="atLeast"/>
        </w:trPr>
        <w:tc>
          <w:tcPr>
            <w:tcW w:type="dxa" w:w="1125"/>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II</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14</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68.0</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11</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53.4</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13</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70.3</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8</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65.1</w:t>
            </w:r>
          </w:p>
        </w:tc>
      </w:tr>
      <w:tr>
        <w:tblPrEx>
          <w:shd w:val="clear" w:color="auto" w:fill="auto"/>
        </w:tblPrEx>
        <w:trPr>
          <w:trHeight w:val="210" w:hRule="atLeast"/>
        </w:trPr>
        <w:tc>
          <w:tcPr>
            <w:tcW w:type="dxa" w:w="1125"/>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RB</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8</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62.0</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46.4</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75.3</w:t>
            </w:r>
          </w:p>
        </w:tc>
        <w:tc>
          <w:tcPr>
            <w:tcW w:type="dxa" w:w="1029"/>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61.3</w:t>
            </w:r>
          </w:p>
        </w:tc>
      </w:tr>
      <w:tr>
        <w:tblPrEx>
          <w:shd w:val="clear" w:color="auto" w:fill="auto"/>
        </w:tblPrEx>
        <w:trPr>
          <w:trHeight w:val="210" w:hRule="atLeast"/>
        </w:trPr>
        <w:tc>
          <w:tcPr>
            <w:tcW w:type="dxa" w:w="1125"/>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Guessing</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028"/>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029"/>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1029"/>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029"/>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029"/>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NA</w:t>
            </w:r>
          </w:p>
        </w:tc>
      </w:tr>
    </w:tbl>
    <w:p>
      <w:pPr>
        <w:pStyle w:val="Body A"/>
        <w:spacing w:after="0" w:line="480" w:lineRule="auto"/>
        <w:rPr>
          <w:rFonts w:ascii="Times New Roman" w:cs="Times New Roman" w:hAnsi="Times New Roman" w:eastAsia="Times New Roman"/>
          <w:color w:val="ff0000"/>
          <w:sz w:val="24"/>
          <w:szCs w:val="24"/>
          <w:u w:color="ff0000"/>
        </w:rPr>
      </w:pPr>
    </w:p>
    <w:p>
      <w:pPr>
        <w:pStyle w:val="Body A"/>
        <w:spacing w:after="0" w:line="480" w:lineRule="auto"/>
        <w:jc w:val="center"/>
        <w:rPr>
          <w:rFonts w:ascii="Times New Roman" w:cs="Times New Roman" w:hAnsi="Times New Roman" w:eastAsia="Times New Roman"/>
          <w:color w:val="ff0000"/>
          <w:sz w:val="24"/>
          <w:szCs w:val="24"/>
          <w:u w:color="ff0000"/>
        </w:rPr>
      </w:pPr>
    </w:p>
    <w:p>
      <w:pPr>
        <w:pStyle w:val="Body A"/>
        <w:spacing w:after="0" w:line="480" w:lineRule="auto"/>
        <w:ind w:left="360" w:hanging="360"/>
        <w:rPr>
          <w:rFonts w:ascii="Times New Roman" w:cs="Times New Roman" w:hAnsi="Times New Roman" w:eastAsia="Times New Roman"/>
          <w:sz w:val="24"/>
          <w:szCs w:val="24"/>
        </w:rPr>
      </w:pPr>
    </w:p>
    <w:tbl>
      <w:tblPr>
        <w:tblW w:w="9360" w:type="dxa"/>
        <w:jc w:val="left"/>
        <w:tblInd w:w="46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26"/>
        <w:gridCol w:w="1030"/>
        <w:gridCol w:w="1030"/>
        <w:gridCol w:w="1028"/>
        <w:gridCol w:w="1030"/>
        <w:gridCol w:w="1028"/>
        <w:gridCol w:w="1030"/>
        <w:gridCol w:w="1028"/>
        <w:gridCol w:w="1030"/>
      </w:tblGrid>
      <w:tr>
        <w:tblPrEx>
          <w:shd w:val="clear" w:color="auto" w:fill="auto"/>
        </w:tblPrEx>
        <w:trPr>
          <w:trHeight w:val="200" w:hRule="atLeast"/>
        </w:trPr>
        <w:tc>
          <w:tcPr>
            <w:tcW w:type="dxa" w:w="1126"/>
            <w:tcBorders>
              <w:top w:val="nil"/>
              <w:left w:val="nil"/>
              <w:bottom w:val="nil"/>
              <w:right w:val="nil"/>
            </w:tcBorders>
            <w:shd w:val="clear" w:color="auto" w:fill="auto"/>
            <w:tcMar>
              <w:top w:type="dxa" w:w="80"/>
              <w:left w:type="dxa" w:w="80"/>
              <w:bottom w:type="dxa" w:w="80"/>
              <w:right w:type="dxa" w:w="80"/>
            </w:tcMar>
            <w:vAlign w:val="top"/>
          </w:tcPr>
          <w:p/>
        </w:tc>
        <w:tc>
          <w:tcPr>
            <w:tcW w:type="dxa" w:w="4118"/>
            <w:gridSpan w:val="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Condition 3</w:t>
            </w:r>
          </w:p>
        </w:tc>
        <w:tc>
          <w:tcPr>
            <w:tcW w:type="dxa" w:w="4116"/>
            <w:gridSpan w:val="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Condition 4</w:t>
            </w:r>
          </w:p>
        </w:tc>
      </w:tr>
      <w:tr>
        <w:tblPrEx>
          <w:shd w:val="clear" w:color="auto" w:fill="auto"/>
        </w:tblPrEx>
        <w:trPr>
          <w:trHeight w:val="210" w:hRule="atLeast"/>
        </w:trPr>
        <w:tc>
          <w:tcPr>
            <w:tcW w:type="dxa" w:w="1126"/>
            <w:tcBorders>
              <w:top w:val="nil"/>
              <w:left w:val="nil"/>
              <w:bottom w:val="nil"/>
              <w:right w:val="nil"/>
            </w:tcBorders>
            <w:shd w:val="clear" w:color="auto" w:fill="auto"/>
            <w:tcMar>
              <w:top w:type="dxa" w:w="80"/>
              <w:left w:type="dxa" w:w="80"/>
              <w:bottom w:type="dxa" w:w="80"/>
              <w:right w:type="dxa" w:w="80"/>
            </w:tcMar>
            <w:vAlign w:val="top"/>
          </w:tcPr>
          <w:p/>
        </w:tc>
        <w:tc>
          <w:tcPr>
            <w:tcW w:type="dxa" w:w="2060"/>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A3</w:t>
            </w:r>
          </w:p>
        </w:tc>
        <w:tc>
          <w:tcPr>
            <w:tcW w:type="dxa" w:w="2058"/>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R1</w:t>
            </w:r>
          </w:p>
        </w:tc>
        <w:tc>
          <w:tcPr>
            <w:tcW w:type="dxa" w:w="2058"/>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A3</w:t>
            </w:r>
          </w:p>
        </w:tc>
        <w:tc>
          <w:tcPr>
            <w:tcW w:type="dxa" w:w="2058"/>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R1</w:t>
            </w:r>
          </w:p>
        </w:tc>
      </w:tr>
      <w:tr>
        <w:tblPrEx>
          <w:shd w:val="clear" w:color="auto" w:fill="auto"/>
        </w:tblPrEx>
        <w:trPr>
          <w:trHeight w:val="210" w:hRule="atLeast"/>
        </w:trPr>
        <w:tc>
          <w:tcPr>
            <w:tcW w:type="dxa" w:w="1126"/>
            <w:tcBorders>
              <w:top w:val="nil"/>
              <w:left w:val="nil"/>
              <w:bottom w:val="dotted" w:color="000000" w:sz="4" w:space="0" w:shadow="0" w:frame="0"/>
              <w:right w:val="nil"/>
            </w:tcBorders>
            <w:shd w:val="clear" w:color="auto" w:fill="auto"/>
            <w:tcMar>
              <w:top w:type="dxa" w:w="80"/>
              <w:left w:type="dxa" w:w="80"/>
              <w:bottom w:type="dxa" w:w="80"/>
              <w:right w:type="dxa" w:w="80"/>
            </w:tcMar>
            <w:vAlign w:val="top"/>
          </w:tcP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1028"/>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1028"/>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1028"/>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N</w:t>
            </w:r>
          </w:p>
        </w:tc>
        <w:tc>
          <w:tcPr>
            <w:tcW w:type="dxa" w:w="1030"/>
            <w:tcBorders>
              <w:top w:val="single"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w:t>
            </w:r>
          </w:p>
        </w:tc>
      </w:tr>
      <w:tr>
        <w:tblPrEx>
          <w:shd w:val="clear" w:color="auto" w:fill="auto"/>
        </w:tblPrEx>
        <w:trPr>
          <w:trHeight w:val="210" w:hRule="atLeast"/>
        </w:trPr>
        <w:tc>
          <w:tcPr>
            <w:tcW w:type="dxa" w:w="1126"/>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II</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15</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68.0</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10</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58.2</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13</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71.2</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7</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60.3</w:t>
            </w:r>
          </w:p>
        </w:tc>
      </w:tr>
      <w:tr>
        <w:tblPrEx>
          <w:shd w:val="clear" w:color="auto" w:fill="auto"/>
        </w:tblPrEx>
        <w:trPr>
          <w:trHeight w:val="210" w:hRule="atLeast"/>
        </w:trPr>
        <w:tc>
          <w:tcPr>
            <w:tcW w:type="dxa" w:w="1126"/>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RB</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65.8</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56.3</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62.0</w:t>
            </w:r>
          </w:p>
        </w:tc>
        <w:tc>
          <w:tcPr>
            <w:tcW w:type="dxa" w:w="1028"/>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10</w:t>
            </w:r>
          </w:p>
        </w:tc>
        <w:tc>
          <w:tcPr>
            <w:tcW w:type="dxa" w:w="1030"/>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57.2</w:t>
            </w:r>
          </w:p>
        </w:tc>
      </w:tr>
      <w:tr>
        <w:tblPrEx>
          <w:shd w:val="clear" w:color="auto" w:fill="auto"/>
        </w:tblPrEx>
        <w:trPr>
          <w:trHeight w:val="210" w:hRule="atLeast"/>
        </w:trPr>
        <w:tc>
          <w:tcPr>
            <w:tcW w:type="dxa" w:w="1126"/>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Bold"/>
                <w:caps w:val="0"/>
                <w:smallCaps w:val="0"/>
                <w:strike w:val="0"/>
                <w:dstrike w:val="0"/>
                <w:outline w:val="0"/>
                <w:color w:val="000000"/>
                <w:spacing w:val="0"/>
                <w:kern w:val="0"/>
                <w:position w:val="0"/>
                <w:sz w:val="24"/>
                <w:szCs w:val="24"/>
                <w:u w:val="none" w:color="000000"/>
                <w:vertAlign w:val="baseline"/>
                <w:rtl w:val="0"/>
                <w:lang w:val="en-US"/>
              </w:rPr>
              <w:t>Guessing</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028"/>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028"/>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1028"/>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1030"/>
            <w:tcBorders>
              <w:top w:val="dotted"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48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NA</w:t>
            </w:r>
          </w:p>
        </w:tc>
      </w:tr>
    </w:tbl>
    <w:p>
      <w:pPr>
        <w:pStyle w:val="Body A"/>
        <w:spacing w:after="0" w:line="480" w:lineRule="auto"/>
        <w:ind w:left="360" w:hanging="360"/>
        <w:rPr>
          <w:rFonts w:ascii="Times New Roman" w:cs="Times New Roman" w:hAnsi="Times New Roman" w:eastAsia="Times New Roman"/>
          <w:sz w:val="24"/>
          <w:szCs w:val="24"/>
        </w:rPr>
      </w:pPr>
    </w:p>
    <w:p>
      <w:pPr>
        <w:pStyle w:val="Body A"/>
        <w:spacing w:after="0" w:line="480" w:lineRule="auto"/>
        <w:jc w:val="center"/>
        <w:rPr>
          <w:rFonts w:ascii="Times New Roman" w:cs="Times New Roman" w:hAnsi="Times New Roman" w:eastAsia="Times New Roman"/>
          <w:sz w:val="24"/>
          <w:szCs w:val="24"/>
        </w:rPr>
      </w:pPr>
    </w:p>
    <w:p>
      <w:pPr>
        <w:pStyle w:val="Body A"/>
        <w:spacing w:after="0" w:line="480" w:lineRule="auto"/>
        <w:rPr>
          <w:rFonts w:ascii="Times New Roman" w:cs="Times New Roman" w:hAnsi="Times New Roman" w:eastAsia="Times New Roman"/>
          <w:sz w:val="24"/>
          <w:szCs w:val="24"/>
        </w:rPr>
      </w:pPr>
      <w:r>
        <w:rPr>
          <w:rFonts w:ascii="Times New Roman"/>
          <w:i w:val="1"/>
          <w:iCs w:val="1"/>
          <w:sz w:val="24"/>
          <w:szCs w:val="24"/>
          <w:rtl w:val="0"/>
          <w:lang w:val="en-US"/>
        </w:rPr>
        <w:t>Note</w:t>
      </w:r>
      <w:r>
        <w:rPr>
          <w:rFonts w:ascii="Times New Roman"/>
          <w:sz w:val="24"/>
          <w:szCs w:val="24"/>
          <w:rtl w:val="0"/>
          <w:lang w:val="en-US"/>
        </w:rPr>
        <w:t>. A3 = the last 100 trials of acquisition, R1 = the first 100 trials of reacquisition, N = the number of participants contained in a given cell, and % = the percentage of responses accounted for by a particular model.</w:t>
      </w:r>
    </w:p>
    <w:p>
      <w:pPr>
        <w:pStyle w:val="Body A"/>
        <w:spacing w:after="0" w:line="480" w:lineRule="auto"/>
      </w:pPr>
      <w:r>
        <w:rPr>
          <w:rFonts w:ascii="Times New Roman" w:cs="Times New Roman" w:hAnsi="Times New Roman" w:eastAsia="Times New Roman"/>
          <w:rtl w:val="0"/>
        </w:rPr>
        <w:br w:type="page"/>
      </w:r>
    </w:p>
    <w:p>
      <w:pPr>
        <w:pStyle w:val="Body A"/>
        <w:spacing w:after="0" w:line="480" w:lineRule="auto"/>
        <w:rPr>
          <w:rFonts w:ascii="Times New Roman Bold" w:cs="Times New Roman Bold" w:hAnsi="Times New Roman Bold" w:eastAsia="Times New Roman Bold"/>
          <w:sz w:val="24"/>
          <w:szCs w:val="24"/>
        </w:rPr>
      </w:pPr>
      <w:r>
        <w:rPr>
          <w:rFonts w:ascii="Times New Roman" w:cs="Times New Roman" w:hAnsi="Times New Roman" w:eastAsia="Times New Roman"/>
          <w:rtl w:val="0"/>
        </w:rPr>
        <w:drawing>
          <wp:anchor distT="152400" distB="152400" distL="152400" distR="152400" simplePos="0" relativeHeight="251662336" behindDoc="0" locked="0" layoutInCell="1" allowOverlap="1">
            <wp:simplePos x="0" y="0"/>
            <wp:positionH relativeFrom="margin">
              <wp:posOffset>-6350</wp:posOffset>
            </wp:positionH>
            <wp:positionV relativeFrom="page">
              <wp:posOffset>914400</wp:posOffset>
            </wp:positionV>
            <wp:extent cx="5943600" cy="515797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learning_dual_task-13.png"/>
                    <pic:cNvPicPr/>
                  </pic:nvPicPr>
                  <pic:blipFill rotWithShape="1">
                    <a:blip r:embed="rId5">
                      <a:extLst/>
                    </a:blip>
                    <a:srcRect l="0" t="0" r="0" b="0"/>
                    <a:stretch>
                      <a:fillRect/>
                    </a:stretch>
                  </pic:blipFill>
                  <pic:spPr>
                    <a:xfrm>
                      <a:off x="0" y="0"/>
                      <a:ext cx="5943600" cy="5157970"/>
                    </a:xfrm>
                    <a:prstGeom prst="rect">
                      <a:avLst/>
                    </a:prstGeom>
                    <a:noFill/>
                    <a:ln>
                      <a:noFill/>
                    </a:ln>
                    <a:effectLst/>
                    <a:extLst/>
                  </pic:spPr>
                </pic:pic>
              </a:graphicData>
            </a:graphic>
          </wp:anchor>
        </w:drawing>
      </w:r>
    </w:p>
    <w:p>
      <w:pPr>
        <w:pStyle w:val="Body A"/>
        <w:spacing w:after="0" w:line="240" w:lineRule="auto"/>
      </w:pPr>
      <w:r>
        <w:rPr>
          <w:rFonts w:ascii="Times New Roman Bold"/>
          <w:sz w:val="24"/>
          <w:szCs w:val="24"/>
          <w:rtl w:val="0"/>
          <w:lang w:val="en-US"/>
        </w:rPr>
        <w:t>Figure 1.</w:t>
      </w:r>
      <w:r>
        <w:rPr>
          <w:rFonts w:ascii="Times New Roman"/>
          <w:sz w:val="24"/>
          <w:szCs w:val="24"/>
          <w:rtl w:val="0"/>
          <w:lang w:val="en-US"/>
        </w:rPr>
        <w:t xml:space="preserve"> </w:t>
      </w:r>
      <w:r>
        <w:rPr>
          <w:rFonts w:ascii="Times New Roman"/>
          <w:sz w:val="24"/>
          <w:szCs w:val="24"/>
          <w:rtl w:val="0"/>
          <w:lang w:val="en-US"/>
        </w:rPr>
        <w:t xml:space="preserve">Top </w:t>
      </w:r>
      <w:r>
        <w:rPr>
          <w:rFonts w:ascii="Times New Roman"/>
          <w:sz w:val="24"/>
          <w:szCs w:val="24"/>
          <w:rtl w:val="0"/>
          <w:lang w:val="en-US"/>
        </w:rPr>
        <w:t xml:space="preserve">Left: </w:t>
      </w:r>
      <w:r>
        <w:rPr>
          <w:rFonts w:ascii="Times New Roman"/>
          <w:sz w:val="24"/>
          <w:szCs w:val="24"/>
          <w:rtl w:val="0"/>
          <w:lang w:val="en-US"/>
        </w:rPr>
        <w:t xml:space="preserve">Sequence of events on an example trial without the Stroop component. Top Right: </w:t>
      </w:r>
      <w:r>
        <w:rPr>
          <w:rFonts w:ascii="Times New Roman"/>
          <w:sz w:val="24"/>
          <w:szCs w:val="24"/>
          <w:rtl w:val="0"/>
          <w:lang w:val="en-US"/>
        </w:rPr>
        <w:t>Sequence of events on an example trial including the Stroop component.</w:t>
      </w:r>
      <w:r>
        <w:rPr>
          <w:rFonts w:ascii="Times New Roman"/>
          <w:sz w:val="24"/>
          <w:szCs w:val="24"/>
          <w:rtl w:val="0"/>
          <w:lang w:val="en-US"/>
        </w:rPr>
        <w:t xml:space="preserve"> </w:t>
      </w:r>
      <w:r>
        <w:rPr>
          <w:rFonts w:ascii="Times New Roman"/>
          <w:sz w:val="24"/>
          <w:szCs w:val="24"/>
          <w:rtl w:val="0"/>
          <w:lang w:val="en-US"/>
        </w:rPr>
        <w:t xml:space="preserve">Bottom Left: </w:t>
      </w:r>
      <w:r>
        <w:rPr>
          <w:rFonts w:ascii="Times New Roman"/>
          <w:sz w:val="24"/>
          <w:szCs w:val="24"/>
          <w:rtl w:val="0"/>
          <w:lang w:val="en-US"/>
        </w:rPr>
        <w:t>A few examples of stimuli that might be used in an information-integration (II) category-learning experiment.  Right: The category distributions used here.</w:t>
      </w:r>
      <w:r>
        <w:rPr>
          <w:rFonts w:ascii="Times New Roman" w:cs="Times New Roman" w:hAnsi="Times New Roman" w:eastAsia="Times New Roman"/>
          <w:rtl w:val="0"/>
        </w:rPr>
        <w:br w:type="page"/>
      </w:r>
    </w:p>
    <w:p>
      <w:pPr>
        <w:pStyle w:val="Body A"/>
        <w:spacing w:after="0" w:line="240" w:lineRule="auto"/>
        <w:rPr>
          <w:rFonts w:ascii="Times New Roman" w:cs="Times New Roman" w:hAnsi="Times New Roman" w:eastAsia="Times New Roman"/>
          <w:rtl w:val="0"/>
        </w:rPr>
      </w:pPr>
      <w:r>
        <w:rPr>
          <w:rFonts w:ascii="Times New Roman" w:cs="Times New Roman" w:hAnsi="Times New Roman" w:eastAsia="Times New Roman"/>
          <w:rtl w:val="0"/>
        </w:rPr>
        <w:drawing>
          <wp:anchor distT="152400" distB="152400" distL="152400" distR="152400" simplePos="0" relativeHeight="251661312" behindDoc="0" locked="0" layoutInCell="1" allowOverlap="1">
            <wp:simplePos x="0" y="0"/>
            <wp:positionH relativeFrom="margin">
              <wp:posOffset>1333546</wp:posOffset>
            </wp:positionH>
            <wp:positionV relativeFrom="page">
              <wp:posOffset>914400</wp:posOffset>
            </wp:positionV>
            <wp:extent cx="3263808" cy="5526919"/>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nlearning_dual_task-12.png"/>
                    <pic:cNvPicPr/>
                  </pic:nvPicPr>
                  <pic:blipFill rotWithShape="1">
                    <a:blip r:embed="rId6">
                      <a:extLst/>
                    </a:blip>
                    <a:srcRect l="0" t="0" r="0" b="0"/>
                    <a:stretch>
                      <a:fillRect/>
                    </a:stretch>
                  </pic:blipFill>
                  <pic:spPr>
                    <a:xfrm>
                      <a:off x="0" y="0"/>
                      <a:ext cx="3263808" cy="5526919"/>
                    </a:xfrm>
                    <a:prstGeom prst="rect">
                      <a:avLst/>
                    </a:prstGeom>
                    <a:noFill/>
                    <a:ln>
                      <a:noFill/>
                    </a:ln>
                    <a:effectLst/>
                    <a:extLst/>
                  </pic:spPr>
                </pic:pic>
              </a:graphicData>
            </a:graphic>
          </wp:anchor>
        </w:drawing>
      </w:r>
    </w:p>
    <w:p>
      <w:pPr>
        <w:pStyle w:val="Body A"/>
        <w:spacing w:after="0" w:line="240" w:lineRule="auto"/>
        <w:rPr>
          <w:rFonts w:ascii="Times New Roman" w:cs="Times New Roman" w:hAnsi="Times New Roman" w:eastAsia="Times New Roman"/>
        </w:rPr>
      </w:pPr>
    </w:p>
    <w:p>
      <w:pPr>
        <w:pStyle w:val="Body A"/>
        <w:spacing w:after="0" w:line="240" w:lineRule="auto"/>
        <w:rPr>
          <w:rFonts w:ascii="Times New Roman" w:cs="Times New Roman" w:hAnsi="Times New Roman" w:eastAsia="Times New Roman"/>
        </w:rPr>
      </w:pPr>
    </w:p>
    <w:p>
      <w:pPr>
        <w:pStyle w:val="Body A"/>
        <w:spacing w:after="0" w:line="240" w:lineRule="auto"/>
        <w:rPr>
          <w:rFonts w:ascii="Times New Roman" w:cs="Times New Roman" w:hAnsi="Times New Roman" w:eastAsia="Times New Roman"/>
        </w:rPr>
      </w:pPr>
    </w:p>
    <w:p>
      <w:pPr>
        <w:pStyle w:val="Body A"/>
        <w:spacing w:after="0" w:line="240" w:lineRule="auto"/>
        <w:rPr>
          <w:rFonts w:ascii="Times New Roman" w:cs="Times New Roman" w:hAnsi="Times New Roman" w:eastAsia="Times New Roman"/>
          <w:sz w:val="24"/>
          <w:szCs w:val="24"/>
        </w:rPr>
      </w:pPr>
      <w:r>
        <w:rPr>
          <w:rFonts w:ascii="Times New Roman Bold"/>
          <w:sz w:val="24"/>
          <w:szCs w:val="24"/>
          <w:rtl w:val="0"/>
          <w:lang w:val="en-US"/>
        </w:rPr>
        <w:t>Figure 2.</w:t>
      </w:r>
      <w:r>
        <w:rPr>
          <w:rFonts w:ascii="Times New Roman"/>
          <w:sz w:val="24"/>
          <w:szCs w:val="24"/>
          <w:rtl w:val="0"/>
          <w:lang w:val="fr-FR"/>
        </w:rPr>
        <w:t xml:space="preserve"> Experimental design.</w:t>
      </w:r>
      <w:r>
        <w:rPr>
          <w:rFonts w:ascii="Times New Roman"/>
          <w:sz w:val="24"/>
          <w:szCs w:val="24"/>
          <w:rtl w:val="0"/>
          <w:lang w:val="en-US"/>
        </w:rPr>
        <w:t xml:space="preserve"> See text for further details. </w:t>
      </w:r>
    </w:p>
    <w:p>
      <w:pPr>
        <w:pStyle w:val="Body A"/>
        <w:spacing w:after="0" w:line="240" w:lineRule="auto"/>
        <w:rPr>
          <w:rFonts w:ascii="Times New Roman" w:cs="Times New Roman" w:hAnsi="Times New Roman" w:eastAsia="Times New Roman"/>
          <w:sz w:val="24"/>
          <w:szCs w:val="24"/>
        </w:rPr>
      </w:pPr>
    </w:p>
    <w:p>
      <w:pPr>
        <w:pStyle w:val="Body A"/>
        <w:spacing w:after="0" w:line="240" w:lineRule="auto"/>
      </w:pPr>
      <w:r>
        <w:rPr>
          <w:rFonts w:ascii="Times New Roman"/>
          <w:sz w:val="24"/>
          <w:szCs w:val="24"/>
          <w:rtl w:val="0"/>
          <w:lang w:val="en-US"/>
        </w:rPr>
        <w:t xml:space="preserve"> </w:t>
      </w:r>
      <w:r>
        <w:rPr>
          <w:rFonts w:ascii="Times New Roman" w:cs="Times New Roman" w:hAnsi="Times New Roman" w:eastAsia="Times New Roman"/>
          <w:sz w:val="24"/>
          <w:szCs w:val="24"/>
          <w:rtl w:val="0"/>
        </w:rPr>
        <w:br w:type="page"/>
      </w:r>
    </w:p>
    <w:p>
      <w:pPr>
        <w:pStyle w:val="Body A"/>
        <w:spacing w:after="0" w:line="240" w:lineRule="auto"/>
        <w:rPr>
          <w:rFonts w:ascii="Times New Roman" w:cs="Times New Roman" w:hAnsi="Times New Roman" w:eastAsia="Times New Roman"/>
          <w:sz w:val="24"/>
          <w:szCs w:val="24"/>
          <w:rtl w:val="0"/>
        </w:rPr>
      </w:pPr>
    </w:p>
    <w:p>
      <w:pPr>
        <w:pStyle w:val="Body A"/>
        <w:spacing w:after="0" w:line="240" w:lineRule="auto"/>
        <w:jc w:val="center"/>
        <w:rPr>
          <w:rFonts w:ascii="Times New Roman" w:cs="Times New Roman" w:hAnsi="Times New Roman" w:eastAsia="Times New Roman"/>
        </w:rPr>
      </w:pPr>
      <w:r>
        <w:rPr>
          <w:rFonts w:ascii="Times New Roman" w:cs="Times New Roman" w:hAnsi="Times New Roman" w:eastAsia="Times New Roman"/>
          <w:sz w:val="24"/>
          <w:szCs w:val="24"/>
          <w:rtl w:val="0"/>
        </w:rPr>
        <w:drawing>
          <wp:anchor distT="152400" distB="152400" distL="152400" distR="152400" simplePos="0" relativeHeight="251659264" behindDoc="0" locked="0" layoutInCell="1" allowOverlap="1">
            <wp:simplePos x="0" y="0"/>
            <wp:positionH relativeFrom="page">
              <wp:posOffset>908050</wp:posOffset>
            </wp:positionH>
            <wp:positionV relativeFrom="page">
              <wp:posOffset>914400</wp:posOffset>
            </wp:positionV>
            <wp:extent cx="5943600" cy="445770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pic:nvPicPr>
                  <pic:blipFill rotWithShape="1">
                    <a:blip r:embed="rId7">
                      <a:extLst/>
                    </a:blip>
                    <a:srcRect l="0" t="0" r="0" b="0"/>
                    <a:stretch>
                      <a:fillRect/>
                    </a:stretch>
                  </pic:blipFill>
                  <pic:spPr>
                    <a:xfrm>
                      <a:off x="0" y="0"/>
                      <a:ext cx="5943600" cy="4457700"/>
                    </a:xfrm>
                    <a:prstGeom prst="rect">
                      <a:avLst/>
                    </a:prstGeom>
                    <a:noFill/>
                    <a:ln>
                      <a:noFill/>
                    </a:ln>
                    <a:effectLst/>
                    <a:extLst/>
                  </pic:spPr>
                </pic:pic>
              </a:graphicData>
            </a:graphic>
          </wp:anchor>
        </w:drawing>
      </w:r>
    </w:p>
    <w:p>
      <w:pPr>
        <w:pStyle w:val="Body A"/>
        <w:spacing w:after="0" w:line="240" w:lineRule="auto"/>
      </w:pPr>
      <w:r>
        <w:rPr>
          <w:rFonts w:ascii="Times New Roman Bold"/>
          <w:sz w:val="24"/>
          <w:szCs w:val="24"/>
          <w:rtl w:val="0"/>
          <w:lang w:val="en-US"/>
        </w:rPr>
        <w:t>Figure 3.</w:t>
      </w:r>
      <w:r>
        <w:rPr>
          <w:rFonts w:ascii="Times New Roman"/>
          <w:sz w:val="24"/>
          <w:szCs w:val="24"/>
          <w:rtl w:val="0"/>
          <w:lang w:val="en-US"/>
        </w:rPr>
        <w:t xml:space="preserve"> Experiment 1 accuracy. Each block includes 25 trials, and bands represent SEM.</w:t>
      </w:r>
      <w:r>
        <w:rPr>
          <w:rFonts w:ascii="Times New Roman"/>
          <w:sz w:val="24"/>
          <w:szCs w:val="24"/>
          <w:rtl w:val="0"/>
          <w:lang w:val="en-US"/>
        </w:rPr>
        <w:t xml:space="preserve"> </w:t>
      </w:r>
      <w:r>
        <w:rPr>
          <w:rFonts w:ascii="Times New Roman"/>
          <w:sz w:val="24"/>
          <w:szCs w:val="24"/>
          <w:rtl w:val="0"/>
          <w:lang w:val="en-US"/>
        </w:rPr>
        <w:t>Accuracy in every condition throughout the entire experiment. Blocks 1-12 were in the acquisition phase, blocks 13-28 were in the intervention phase, and blocks 29-34 were in the reacquisition phase.</w:t>
      </w:r>
      <w:r>
        <w:rPr>
          <w:rFonts w:ascii="Times New Roman" w:cs="Times New Roman" w:hAnsi="Times New Roman" w:eastAsia="Times New Roman"/>
          <w:rtl w:val="0"/>
        </w:rPr>
        <w:br w:type="page"/>
      </w:r>
    </w:p>
    <w:p>
      <w:pPr>
        <w:pStyle w:val="Body A"/>
        <w:spacing w:after="0" w:line="240" w:lineRule="auto"/>
        <w:rPr>
          <w:rFonts w:ascii="Times New Roman" w:cs="Times New Roman" w:hAnsi="Times New Roman" w:eastAsia="Times New Roman"/>
          <w:rtl w:val="0"/>
        </w:rPr>
      </w:pPr>
    </w:p>
    <w:p>
      <w:pPr>
        <w:pStyle w:val="Body A"/>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rtl w:val="0"/>
        </w:rPr>
        <w:drawing>
          <wp:anchor distT="152400" distB="152400" distL="152400" distR="152400" simplePos="0" relativeHeight="251660288" behindDoc="0" locked="0" layoutInCell="1" allowOverlap="1">
            <wp:simplePos x="0" y="0"/>
            <wp:positionH relativeFrom="page">
              <wp:posOffset>908050</wp:posOffset>
            </wp:positionH>
            <wp:positionV relativeFrom="page">
              <wp:posOffset>914400</wp:posOffset>
            </wp:positionV>
            <wp:extent cx="5943600" cy="445770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pic:nvPicPr>
                  <pic:blipFill rotWithShape="1">
                    <a:blip r:embed="rId8">
                      <a:extLst/>
                    </a:blip>
                    <a:srcRect l="0" t="0" r="0" b="0"/>
                    <a:stretch>
                      <a:fillRect/>
                    </a:stretch>
                  </pic:blipFill>
                  <pic:spPr>
                    <a:xfrm>
                      <a:off x="0" y="0"/>
                      <a:ext cx="5943600" cy="4457700"/>
                    </a:xfrm>
                    <a:prstGeom prst="rect">
                      <a:avLst/>
                    </a:prstGeom>
                    <a:noFill/>
                    <a:ln>
                      <a:noFill/>
                    </a:ln>
                    <a:effectLst/>
                    <a:extLst/>
                  </pic:spPr>
                </pic:pic>
              </a:graphicData>
            </a:graphic>
          </wp:anchor>
        </w:drawing>
      </w:r>
    </w:p>
    <w:p>
      <w:pPr>
        <w:pStyle w:val="Body A"/>
        <w:spacing w:after="0" w:line="240" w:lineRule="auto"/>
      </w:pPr>
      <w:r>
        <w:rPr>
          <w:rFonts w:ascii="Times New Roman Bold"/>
          <w:sz w:val="24"/>
          <w:szCs w:val="24"/>
          <w:rtl w:val="0"/>
          <w:lang w:val="en-US"/>
        </w:rPr>
        <w:t>Figure 4.</w:t>
      </w:r>
      <w:r>
        <w:rPr>
          <w:rFonts w:ascii="Times New Roman"/>
          <w:sz w:val="24"/>
          <w:szCs w:val="24"/>
          <w:rtl w:val="0"/>
          <w:lang w:val="en-US"/>
        </w:rPr>
        <w:t xml:space="preserve"> Savings in each condition defined as the mean accuracy during the the first 150 trials of acquisition - the mean accuracy during reacquisition. Error bars represent 95% confidence intervals on the mean accuracy per condition.</w:t>
      </w:r>
      <w:r>
        <w:rPr>
          <w:rFonts w:ascii="Times New Roman" w:cs="Times New Roman" w:hAnsi="Times New Roman" w:eastAsia="Times New Roman"/>
          <w:sz w:val="24"/>
          <w:szCs w:val="24"/>
        </w:rPr>
      </w:r>
    </w:p>
    <w:sectPr>
      <w:headerReference w:type="default" r:id="rId9"/>
      <w:headerReference w:type="first" r:id="rId10"/>
      <w:footerReference w:type="default" r:id="rId11"/>
      <w:footerReference w:type="first" r:id="rId12"/>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rebuchet MS">
    <w:charset w:val="00"/>
    <w:family w:val="roman"/>
    <w:pitch w:val="default"/>
  </w:font>
  <w:font w:name="Helvetica">
    <w:charset w:val="00"/>
    <w:family w:val="roman"/>
    <w:pitch w:val="default"/>
  </w:font>
  <w:font w:name="Calibri">
    <w:charset w:val="00"/>
    <w:family w:val="roman"/>
    <w:pitch w:val="default"/>
  </w:font>
  <w:font w:name="Times New Roman Bold">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pPr>
    <w:r>
      <w:rPr>
        <w:rFonts w:ascii="Times New Roman"/>
        <w:sz w:val="24"/>
        <w:szCs w:val="24"/>
        <w:rtl w:val="0"/>
        <w:lang w:val="en-US"/>
      </w:rPr>
      <w:t>Cognitive Load Potentiates Unlearning</w:t>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nil"/>
        <w:right w:val="nil"/>
      </w:pBdr>
      <w:shd w:val="clear" w:color="auto" w:fill="auto"/>
      <w:tabs>
        <w:tab w:val="center" w:pos="4680"/>
        <w:tab w:val="right" w:pos="9360"/>
      </w:tabs>
      <w:suppressAutoHyphens w:val="0"/>
      <w:bidi w:val="0"/>
      <w:spacing w:before="0" w:after="0" w:line="240" w:lineRule="auto"/>
      <w:ind w:left="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000ff"/>
      <w:sz w:val="24"/>
      <w:szCs w:val="24"/>
      <w:u w:val="single" w:color="0000ff"/>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72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style4">
    <w:name w:val="style4"/>
    <w:next w:val="style4"/>
    <w:pPr>
      <w:keepNext w:val="0"/>
      <w:keepLines w:val="0"/>
      <w:pageBreakBefore w:val="0"/>
      <w:widowControl w:val="1"/>
      <w:pBdr>
        <w:top w:val="nil"/>
        <w:left w:val="nil"/>
        <w:bottom w:val="nil"/>
        <w:right w:val="nil"/>
      </w:pBdr>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ashby@psych.ucsb.edu" TargetMode="External"/><Relationship Id="rId5" Type="http://schemas.openxmlformats.org/officeDocument/2006/relationships/image" Target="media/image.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xml"/><Relationship Id="rId10" Type="http://schemas.openxmlformats.org/officeDocument/2006/relationships/header" Target="header1.xml"/><Relationship Id="rId11" Type="http://schemas.openxmlformats.org/officeDocument/2006/relationships/footer" Target="footer.xml"/><Relationship Id="rId12" Type="http://schemas.openxmlformats.org/officeDocument/2006/relationships/footer" Target="footer1.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