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8F" w:rsidRPr="001A6DE9" w:rsidRDefault="001A308F">
      <w:pPr>
        <w:rPr>
          <w:b/>
          <w:noProof/>
          <w:sz w:val="28"/>
          <w:szCs w:val="28"/>
        </w:rPr>
      </w:pPr>
      <w:r w:rsidRPr="001A6DE9">
        <w:rPr>
          <w:b/>
          <w:noProof/>
          <w:sz w:val="28"/>
          <w:szCs w:val="28"/>
        </w:rPr>
        <w:t>Instruction</w:t>
      </w:r>
    </w:p>
    <w:p w:rsidR="00DC576B" w:rsidRPr="001A6DE9" w:rsidRDefault="00DC576B" w:rsidP="00DC576B">
      <w:pPr>
        <w:jc w:val="both"/>
        <w:rPr>
          <w:noProof/>
        </w:rPr>
      </w:pPr>
      <w:r w:rsidRPr="001A6DE9">
        <w:rPr>
          <w:noProof/>
        </w:rPr>
        <w:t xml:space="preserve">This instruction will guide you </w:t>
      </w:r>
      <w:r w:rsidR="00B7423D" w:rsidRPr="001A6DE9">
        <w:rPr>
          <w:noProof/>
        </w:rPr>
        <w:t>through every step</w:t>
      </w:r>
      <w:r w:rsidRPr="001A6DE9">
        <w:rPr>
          <w:noProof/>
        </w:rPr>
        <w:t xml:space="preserve"> </w:t>
      </w:r>
      <w:r w:rsidR="00B7423D" w:rsidRPr="001A6DE9">
        <w:rPr>
          <w:noProof/>
        </w:rPr>
        <w:t>for</w:t>
      </w:r>
      <w:r w:rsidRPr="001A6DE9">
        <w:rPr>
          <w:noProof/>
        </w:rPr>
        <w:t xml:space="preserve"> lauch</w:t>
      </w:r>
      <w:r w:rsidR="00B7423D" w:rsidRPr="001A6DE9">
        <w:rPr>
          <w:noProof/>
        </w:rPr>
        <w:t>ing</w:t>
      </w:r>
      <w:r w:rsidRPr="001A6DE9">
        <w:rPr>
          <w:noProof/>
        </w:rPr>
        <w:t xml:space="preserve"> a submission run</w:t>
      </w:r>
      <w:r w:rsidR="00144123" w:rsidRPr="001A6DE9">
        <w:rPr>
          <w:noProof/>
        </w:rPr>
        <w:t xml:space="preserve"> on the validation tool</w:t>
      </w:r>
      <w:r w:rsidRPr="001A6DE9">
        <w:rPr>
          <w:noProof/>
        </w:rPr>
        <w:t>.</w:t>
      </w:r>
    </w:p>
    <w:p w:rsidR="00866008" w:rsidRDefault="0086600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To specify the Directories of the</w:t>
      </w:r>
      <w:r w:rsidR="007E265C">
        <w:rPr>
          <w:b/>
          <w:noProof/>
        </w:rPr>
        <w:t xml:space="preserve"> CJK</w:t>
      </w:r>
      <w:r w:rsidRPr="001A6DE9">
        <w:rPr>
          <w:b/>
          <w:noProof/>
        </w:rPr>
        <w:t xml:space="preserve"> Wikipedia Collection</w:t>
      </w:r>
      <w:r w:rsidR="007E265C">
        <w:rPr>
          <w:noProof/>
        </w:rPr>
        <w:t>.</w:t>
      </w:r>
    </w:p>
    <w:p w:rsidR="005B5723" w:rsidRDefault="007E265C" w:rsidP="007E265C">
      <w:pPr>
        <w:jc w:val="both"/>
        <w:rPr>
          <w:noProof/>
        </w:rPr>
      </w:pPr>
      <w:r>
        <w:rPr>
          <w:noProof/>
        </w:rPr>
        <w:t xml:space="preserve">The directory or the home of the CJK Wikipeida corpora will be the directory holding the </w:t>
      </w:r>
      <w:r w:rsidRPr="007E265C">
        <w:rPr>
          <w:b/>
          <w:i/>
          <w:noProof/>
        </w:rPr>
        <w:t>zh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7E265C">
        <w:rPr>
          <w:b/>
          <w:i/>
          <w:noProof/>
        </w:rPr>
        <w:t>ja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7E265C">
        <w:rPr>
          <w:b/>
          <w:i/>
          <w:noProof/>
        </w:rPr>
        <w:t>ko</w:t>
      </w:r>
      <w:r>
        <w:rPr>
          <w:b/>
          <w:i/>
          <w:noProof/>
        </w:rPr>
        <w:t xml:space="preserve"> </w:t>
      </w:r>
      <w:r>
        <w:rPr>
          <w:noProof/>
        </w:rPr>
        <w:t>folder</w:t>
      </w:r>
      <w:r w:rsidR="00011448">
        <w:rPr>
          <w:noProof/>
        </w:rPr>
        <w:t>, or all above folders</w:t>
      </w:r>
      <w:r>
        <w:rPr>
          <w:noProof/>
        </w:rPr>
        <w:t xml:space="preserve"> unzipped from the downloaded Wikipedia collection. For example,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Default="001F77D7" w:rsidP="00DD7D9B">
            <w:pPr>
              <w:jc w:val="center"/>
              <w:rPr>
                <w:noProof/>
              </w:rPr>
            </w:pPr>
            <w:r>
              <w:rPr>
                <w:noProof/>
                <w:lang w:val="en-AU" w:eastAsia="zh-CN"/>
              </w:rPr>
              <w:drawing>
                <wp:inline distT="0" distB="0" distL="0" distR="0">
                  <wp:extent cx="3463621" cy="2062063"/>
                  <wp:effectExtent l="19050" t="0" r="3479" b="0"/>
                  <wp:docPr id="7" name="Picture 2" descr="F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262" cy="206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Default="001F77D7" w:rsidP="00DD7D9B">
            <w:pPr>
              <w:jc w:val="center"/>
              <w:rPr>
                <w:noProof/>
              </w:rPr>
            </w:pPr>
            <w:r w:rsidRPr="001A6DE9">
              <w:t>Figure 1. the collection</w:t>
            </w:r>
            <w:r>
              <w:t>s home</w:t>
            </w:r>
          </w:p>
        </w:tc>
      </w:tr>
    </w:tbl>
    <w:p w:rsidR="001F77D7" w:rsidRPr="007E265C" w:rsidRDefault="007536A4" w:rsidP="007E265C">
      <w:pPr>
        <w:jc w:val="both"/>
        <w:rPr>
          <w:noProof/>
        </w:rPr>
      </w:pPr>
      <w:r>
        <w:rPr>
          <w:noProof/>
        </w:rPr>
        <w:t xml:space="preserve">So, </w:t>
      </w:r>
      <w:r w:rsidRPr="007536A4">
        <w:rPr>
          <w:noProof/>
        </w:rPr>
        <w:t>/data/corpus/wikipedia/CJK/xml-v2</w:t>
      </w:r>
      <w:r>
        <w:rPr>
          <w:noProof/>
        </w:rPr>
        <w:t xml:space="preserve"> is the home directory of the CJK Wikipeida corpora.</w:t>
      </w:r>
    </w:p>
    <w:p w:rsidR="001B2402" w:rsidRPr="001A6DE9" w:rsidRDefault="001B2402" w:rsidP="001B2402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A dump of the Wikipedia collections</w:t>
      </w:r>
      <w:r w:rsidRPr="001A6DE9">
        <w:rPr>
          <w:noProof/>
        </w:rPr>
        <w:t>:</w:t>
      </w:r>
    </w:p>
    <w:p w:rsidR="0043013D" w:rsidRPr="001A6DE9" w:rsidRDefault="00761CD9" w:rsidP="00B7423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>For the first time using this tool, you must specify the directories of the Wikipedia collections</w:t>
      </w:r>
      <w:r w:rsidR="00DA5FCC" w:rsidRPr="001A6DE9">
        <w:rPr>
          <w:noProof/>
        </w:rPr>
        <w:t xml:space="preserve"> by using the menu bar function </w:t>
      </w:r>
      <w:r w:rsidR="00DA5FCC" w:rsidRPr="001A6DE9">
        <w:rPr>
          <w:b/>
          <w:i/>
          <w:noProof/>
        </w:rPr>
        <w:t>Corpus</w:t>
      </w:r>
      <w:r w:rsidR="00DA5FCC" w:rsidRPr="001A6DE9">
        <w:rPr>
          <w:noProof/>
        </w:rPr>
        <w:t xml:space="preserve"> under </w:t>
      </w:r>
      <w:r w:rsidR="00DA5FCC" w:rsidRPr="001A6DE9">
        <w:rPr>
          <w:b/>
          <w:i/>
          <w:noProof/>
        </w:rPr>
        <w:t>Utility</w:t>
      </w:r>
      <w:r w:rsidR="005B5723">
        <w:rPr>
          <w:noProof/>
        </w:rPr>
        <w:t xml:space="preserve"> (see Figure 2</w:t>
      </w:r>
      <w:r w:rsidR="00A41099" w:rsidRPr="001A6DE9">
        <w:rPr>
          <w:noProof/>
        </w:rPr>
        <w:t xml:space="preserve"> to </w:t>
      </w:r>
      <w:r w:rsidR="00516EEA" w:rsidRPr="001A6DE9">
        <w:rPr>
          <w:noProof/>
        </w:rPr>
        <w:t>6).</w:t>
      </w:r>
    </w:p>
    <w:p w:rsidR="00866008" w:rsidRPr="001A6DE9" w:rsidRDefault="00DC576B" w:rsidP="00B7423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>Once the directories of the collections have been set up correctly, the tool will show the current directories for both collections (see Figure 7).</w:t>
      </w:r>
      <w:r w:rsidR="00B7423D" w:rsidRPr="001A6DE9">
        <w:rPr>
          <w:noProof/>
        </w:rPr>
        <w:t xml:space="preserve"> </w:t>
      </w:r>
      <w:r w:rsidRPr="001A6DE9">
        <w:rPr>
          <w:noProof/>
        </w:rPr>
        <w:t>You do not need to specify them again, except the directories have been changed.</w:t>
      </w:r>
    </w:p>
    <w:p w:rsidR="00144123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  <w:color w:val="FF0000"/>
        </w:rPr>
      </w:pPr>
      <w:r w:rsidRPr="001A6DE9">
        <w:rPr>
          <w:noProof/>
          <w:color w:val="FF0000"/>
        </w:rPr>
        <w:t xml:space="preserve">Please place the Wikipedia DTD file (i.e. </w:t>
      </w:r>
      <w:r w:rsidRPr="001A6DE9">
        <w:rPr>
          <w:rFonts w:ascii="Courier New" w:hAnsi="Courier New" w:cs="Courier New"/>
          <w:b/>
          <w:i/>
          <w:color w:val="FF0000"/>
          <w:sz w:val="20"/>
          <w:szCs w:val="20"/>
          <w:lang w:val="en-AU"/>
        </w:rPr>
        <w:t>article.dtd</w:t>
      </w:r>
      <w:r w:rsidRPr="001A6DE9">
        <w:rPr>
          <w:noProof/>
          <w:color w:val="FF0000"/>
        </w:rPr>
        <w:t xml:space="preserve">) </w:t>
      </w:r>
      <w:r w:rsidR="000271FB" w:rsidRPr="001A6DE9">
        <w:rPr>
          <w:noProof/>
          <w:color w:val="FF0000"/>
        </w:rPr>
        <w:t xml:space="preserve">just </w:t>
      </w:r>
      <w:r w:rsidRPr="001A6DE9">
        <w:rPr>
          <w:noProof/>
          <w:color w:val="FF0000"/>
        </w:rPr>
        <w:t>outside the directory of the package.</w:t>
      </w:r>
    </w:p>
    <w:p w:rsidR="003F3860" w:rsidRPr="001A6DE9" w:rsidRDefault="003F3860" w:rsidP="003F3860">
      <w:pPr>
        <w:pStyle w:val="ListParagraph"/>
        <w:numPr>
          <w:ilvl w:val="0"/>
          <w:numId w:val="6"/>
        </w:numPr>
        <w:jc w:val="both"/>
        <w:rPr>
          <w:noProof/>
        </w:rPr>
      </w:pPr>
      <w:r w:rsidRPr="001A6DE9">
        <w:rPr>
          <w:noProof/>
        </w:rPr>
        <w:t xml:space="preserve">As we can see each Wikipedia document has been specified the DTD, </w:t>
      </w:r>
      <w:r w:rsidRPr="001A6DE9">
        <w:rPr>
          <w:rFonts w:ascii="Courier New" w:hAnsi="Courier New" w:cs="Courier New"/>
          <w:i/>
          <w:sz w:val="20"/>
          <w:szCs w:val="20"/>
          <w:lang w:val="en-AU"/>
        </w:rPr>
        <w:t>&lt;</w:t>
      </w:r>
      <w:proofErr w:type="gramStart"/>
      <w:r w:rsidRPr="001A6DE9">
        <w:rPr>
          <w:rFonts w:ascii="Courier New" w:hAnsi="Courier New" w:cs="Courier New"/>
          <w:i/>
          <w:sz w:val="20"/>
          <w:szCs w:val="20"/>
          <w:lang w:val="en-AU"/>
        </w:rPr>
        <w:t>!DOCTYPE</w:t>
      </w:r>
      <w:proofErr w:type="gramEnd"/>
      <w:r w:rsidRPr="001A6DE9">
        <w:rPr>
          <w:rFonts w:ascii="Courier New" w:hAnsi="Courier New" w:cs="Courier New"/>
          <w:i/>
          <w:sz w:val="20"/>
          <w:szCs w:val="20"/>
          <w:lang w:val="en-AU"/>
        </w:rPr>
        <w:t xml:space="preserve"> article SYSTEM "../article.dtd"&gt;</w:t>
      </w:r>
      <w:r w:rsidRPr="001A6DE9">
        <w:rPr>
          <w:noProof/>
        </w:rPr>
        <w:t>, the DTD file must be placed in the right location for the W</w:t>
      </w:r>
      <w:r w:rsidR="00BD3076" w:rsidRPr="001A6DE9">
        <w:rPr>
          <w:noProof/>
        </w:rPr>
        <w:t>ikipedia document to refer</w:t>
      </w:r>
      <w:r w:rsidR="004E5B8E" w:rsidRPr="001A6DE9">
        <w:rPr>
          <w:noProof/>
        </w:rPr>
        <w:t xml:space="preserve"> (see Figure 12</w:t>
      </w:r>
      <w:r w:rsidR="003E1505" w:rsidRPr="001A6DE9">
        <w:rPr>
          <w:noProof/>
        </w:rPr>
        <w:t xml:space="preserve"> and 13</w:t>
      </w:r>
      <w:r w:rsidR="004E5B8E" w:rsidRPr="001A6DE9">
        <w:rPr>
          <w:noProof/>
        </w:rPr>
        <w:t>)</w:t>
      </w:r>
      <w:r w:rsidRPr="001A6DE9">
        <w:rPr>
          <w:noProof/>
        </w:rPr>
        <w:t>.</w:t>
      </w:r>
    </w:p>
    <w:p w:rsidR="00B7423D" w:rsidRPr="001A6DE9" w:rsidRDefault="00B7423D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To Load a submission</w:t>
      </w:r>
      <w:r w:rsidRPr="001A6DE9">
        <w:rPr>
          <w:noProof/>
        </w:rPr>
        <w:t>:</w:t>
      </w:r>
    </w:p>
    <w:p w:rsidR="001B2402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 xml:space="preserve">Sample </w:t>
      </w:r>
      <w:r w:rsidR="001B2402" w:rsidRPr="001A6DE9">
        <w:rPr>
          <w:b/>
          <w:noProof/>
        </w:rPr>
        <w:t>Wikipedia</w:t>
      </w:r>
      <w:r w:rsidRPr="001A6DE9">
        <w:rPr>
          <w:b/>
          <w:noProof/>
        </w:rPr>
        <w:t xml:space="preserve"> submission runs</w:t>
      </w:r>
      <w:r w:rsidR="001B2402" w:rsidRPr="001A6DE9">
        <w:rPr>
          <w:noProof/>
        </w:rPr>
        <w:t>:</w:t>
      </w:r>
    </w:p>
    <w:p w:rsidR="00B7423D" w:rsidRPr="001A6DE9" w:rsidRDefault="00DA5FCC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A6DE9">
        <w:rPr>
          <w:noProof/>
        </w:rPr>
        <w:t xml:space="preserve">Then you should select the function </w:t>
      </w:r>
      <w:r w:rsidRPr="001A6DE9">
        <w:rPr>
          <w:b/>
          <w:i/>
          <w:noProof/>
        </w:rPr>
        <w:t>Load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 w:rsidRPr="001A6DE9">
        <w:rPr>
          <w:noProof/>
        </w:rPr>
        <w:t xml:space="preserve"> to load a submission. Once the loading is success, the tool will display all content you ne</w:t>
      </w:r>
      <w:r w:rsidR="001B2402" w:rsidRPr="001A6DE9">
        <w:rPr>
          <w:noProof/>
        </w:rPr>
        <w:t>ed to check the submission run.</w:t>
      </w:r>
    </w:p>
    <w:p w:rsidR="001B2402" w:rsidRPr="001A6DE9" w:rsidRDefault="00BA38A4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One</w:t>
      </w:r>
      <w:r w:rsidR="001B2402" w:rsidRPr="001A6DE9">
        <w:rPr>
          <w:noProof/>
        </w:rPr>
        <w:t xml:space="preserve"> sample submission XML files, </w:t>
      </w:r>
      <w:r>
        <w:rPr>
          <w:b/>
          <w:i/>
          <w:noProof/>
        </w:rPr>
        <w:t>SAMPLE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A2F_RUN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0</w:t>
      </w:r>
      <w:r w:rsidR="001B2402" w:rsidRPr="001A6DE9">
        <w:rPr>
          <w:b/>
          <w:i/>
          <w:noProof/>
        </w:rPr>
        <w:t>1.xml</w:t>
      </w:r>
      <w:r w:rsidR="001B2402" w:rsidRPr="001A6DE9">
        <w:rPr>
          <w:noProof/>
        </w:rPr>
        <w:t xml:space="preserve">, have been prepared in the directory, </w:t>
      </w:r>
      <w:r w:rsidR="001B2402" w:rsidRPr="001A6DE9">
        <w:rPr>
          <w:b/>
          <w:i/>
          <w:noProof/>
        </w:rPr>
        <w:t>Sample_Submission</w:t>
      </w:r>
      <w:r w:rsidR="001B2402" w:rsidRPr="001A6DE9">
        <w:rPr>
          <w:noProof/>
        </w:rPr>
        <w:t xml:space="preserve">, for this instruction. You can use </w:t>
      </w:r>
      <w:r w:rsidR="001B2402" w:rsidRPr="001A6DE9">
        <w:rPr>
          <w:b/>
          <w:i/>
          <w:noProof/>
        </w:rPr>
        <w:t>Load</w:t>
      </w:r>
      <w:r w:rsidR="001B2402" w:rsidRPr="001A6DE9">
        <w:rPr>
          <w:noProof/>
        </w:rPr>
        <w:t xml:space="preserve"> function to browse one file at a time.</w:t>
      </w:r>
    </w:p>
    <w:p w:rsidR="00DA5FCC" w:rsidRPr="001A6DE9" w:rsidRDefault="001B2402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A6DE9">
        <w:rPr>
          <w:noProof/>
        </w:rPr>
        <w:t xml:space="preserve">If the </w:t>
      </w:r>
      <w:r w:rsidR="00DA5FCC" w:rsidRPr="001A6DE9">
        <w:rPr>
          <w:noProof/>
        </w:rPr>
        <w:t>load</w:t>
      </w:r>
      <w:r w:rsidRPr="001A6DE9">
        <w:rPr>
          <w:noProof/>
        </w:rPr>
        <w:t>ing</w:t>
      </w:r>
      <w:r w:rsidR="00DA5FCC" w:rsidRPr="001A6DE9">
        <w:rPr>
          <w:noProof/>
        </w:rPr>
        <w:t xml:space="preserve"> </w:t>
      </w:r>
      <w:r w:rsidRPr="001A6DE9">
        <w:rPr>
          <w:noProof/>
        </w:rPr>
        <w:t>was not success or the tool did not display the content correctly</w:t>
      </w:r>
      <w:r w:rsidR="00DA5FCC" w:rsidRPr="001A6DE9">
        <w:rPr>
          <w:noProof/>
        </w:rPr>
        <w:t>, it means there are something going wrong with the</w:t>
      </w:r>
      <w:r w:rsidRPr="001A6DE9">
        <w:rPr>
          <w:noProof/>
        </w:rPr>
        <w:t xml:space="preserve"> submission XML</w:t>
      </w:r>
      <w:r w:rsidR="00DA5FCC" w:rsidRPr="001A6DE9">
        <w:rPr>
          <w:noProof/>
        </w:rPr>
        <w:t xml:space="preserve"> format.</w:t>
      </w:r>
    </w:p>
    <w:p w:rsidR="00467CD1" w:rsidRPr="001A6DE9" w:rsidRDefault="00DD4E12" w:rsidP="00516EEA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 w:rsidRPr="001A6DE9">
        <w:rPr>
          <w:b/>
          <w:noProof/>
        </w:rPr>
        <w:t xml:space="preserve">Topic Pane, Link Pane, </w:t>
      </w:r>
      <w:r w:rsidR="00801CE6" w:rsidRPr="001A6DE9">
        <w:rPr>
          <w:b/>
          <w:noProof/>
        </w:rPr>
        <w:t>RHS (i.e. Table) Pane</w:t>
      </w:r>
      <w:r w:rsidRPr="001A6DE9">
        <w:rPr>
          <w:b/>
          <w:noProof/>
        </w:rPr>
        <w:t xml:space="preserve"> interaction</w:t>
      </w:r>
      <w:r w:rsidRPr="001A6DE9">
        <w:rPr>
          <w:noProof/>
        </w:rPr>
        <w:t>: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Please refer to Figure 8 to 11 regarding to the area of each pane and the interaction scheme.</w:t>
      </w:r>
    </w:p>
    <w:p w:rsidR="00801CE6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lastRenderedPageBreak/>
        <w:t>You can click on an Anchor Text or Best Entry Point icon on the Topic Pane to just to the 1</w:t>
      </w:r>
      <w:r w:rsidRPr="001A6DE9">
        <w:rPr>
          <w:noProof/>
          <w:vertAlign w:val="superscript"/>
        </w:rPr>
        <w:t>st</w:t>
      </w:r>
      <w:r w:rsidRPr="001A6DE9">
        <w:rPr>
          <w:noProof/>
        </w:rPr>
        <w:t xml:space="preserve"> respective outgoing or incoming target link.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On the Link Pane, you can simply either right click to go to the </w:t>
      </w:r>
      <w:r w:rsidRPr="001A6DE9">
        <w:rPr>
          <w:i/>
          <w:noProof/>
        </w:rPr>
        <w:t>Next</w:t>
      </w:r>
      <w:r w:rsidRPr="001A6DE9">
        <w:rPr>
          <w:noProof/>
        </w:rPr>
        <w:t xml:space="preserve"> link or left click to go back the </w:t>
      </w:r>
      <w:r w:rsidRPr="001A6DE9">
        <w:rPr>
          <w:i/>
          <w:noProof/>
        </w:rPr>
        <w:t>Previous</w:t>
      </w:r>
      <w:r w:rsidRPr="001A6DE9">
        <w:rPr>
          <w:noProof/>
        </w:rPr>
        <w:t xml:space="preserve"> link.</w:t>
      </w:r>
    </w:p>
    <w:p w:rsidR="00A25628" w:rsidRPr="001A6DE9" w:rsidRDefault="008230A6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The RHS pane offers a convenient means for the user to navigate to any of the topic and the target link by just clicking on a Table Cell. This Table also show the Offset and Length for each Anchor and BEP.</w:t>
      </w:r>
    </w:p>
    <w:p w:rsidR="00DD4E12" w:rsidRPr="001A6DE9" w:rsidRDefault="00801CE6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Outgoing and Incoming Links</w:t>
      </w:r>
      <w:r w:rsidRPr="001A6DE9">
        <w:rPr>
          <w:noProof/>
        </w:rPr>
        <w:t>:</w:t>
      </w:r>
    </w:p>
    <w:p w:rsidR="00801CE6" w:rsidRPr="001A6DE9" w:rsidRDefault="00FE2B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There are 2 menu item functions, </w:t>
      </w:r>
      <w:r w:rsidRPr="001A6DE9">
        <w:rPr>
          <w:b/>
          <w:i/>
          <w:noProof/>
        </w:rPr>
        <w:t>Outgoing</w:t>
      </w:r>
      <w:r w:rsidRPr="001A6DE9">
        <w:rPr>
          <w:noProof/>
        </w:rPr>
        <w:t xml:space="preserve"> and </w:t>
      </w:r>
      <w:r w:rsidRPr="001A6DE9">
        <w:rPr>
          <w:b/>
          <w:i/>
          <w:noProof/>
        </w:rPr>
        <w:t>Incoming</w:t>
      </w:r>
      <w:r w:rsidRPr="001A6DE9">
        <w:rPr>
          <w:noProof/>
        </w:rPr>
        <w:t xml:space="preserve">, are located under the menu function, </w:t>
      </w:r>
      <w:r w:rsidRPr="001A6DE9">
        <w:rPr>
          <w:b/>
          <w:i/>
          <w:noProof/>
        </w:rPr>
        <w:t>Linking</w:t>
      </w:r>
      <w:r w:rsidRPr="001A6DE9">
        <w:rPr>
          <w:noProof/>
        </w:rPr>
        <w:t>.</w:t>
      </w:r>
    </w:p>
    <w:p w:rsidR="00FE2B28" w:rsidRPr="001A6DE9" w:rsidRDefault="007333B3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Incoming mode has been disabled because only outgoing links need to be specified</w:t>
      </w:r>
      <w:r w:rsidR="004B3412" w:rsidRPr="001A6DE9">
        <w:rPr>
          <w:noProof/>
        </w:rPr>
        <w:t>.</w:t>
      </w:r>
    </w:p>
    <w:p w:rsidR="000B5D88" w:rsidRPr="001A6DE9" w:rsidRDefault="000B5D8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The detail interaction</w:t>
      </w:r>
      <w:r w:rsidR="00A41099" w:rsidRPr="001A6DE9">
        <w:rPr>
          <w:b/>
          <w:noProof/>
        </w:rPr>
        <w:t xml:space="preserve"> scheme</w:t>
      </w:r>
      <w:r w:rsidRPr="001A6DE9">
        <w:rPr>
          <w:b/>
          <w:noProof/>
        </w:rPr>
        <w:t xml:space="preserve"> is described below</w:t>
      </w:r>
      <w:r w:rsidRPr="001A6DE9">
        <w:rPr>
          <w:noProof/>
        </w:rPr>
        <w:t>.</w:t>
      </w:r>
    </w:p>
    <w:p w:rsidR="00A41099" w:rsidRPr="001A6DE9" w:rsidRDefault="00A41099" w:rsidP="00A41099">
      <w:pPr>
        <w:pStyle w:val="ListParagraph"/>
        <w:ind w:left="360"/>
        <w:jc w:val="both"/>
        <w:rPr>
          <w:noProof/>
        </w:rPr>
      </w:pPr>
    </w:p>
    <w:p w:rsidR="00761CD9" w:rsidRPr="001A6DE9" w:rsidRDefault="00761CD9">
      <w:pPr>
        <w:rPr>
          <w:b/>
          <w:sz w:val="28"/>
          <w:szCs w:val="28"/>
        </w:rPr>
      </w:pPr>
      <w:r w:rsidRPr="001A6DE9">
        <w:rPr>
          <w:b/>
          <w:noProof/>
          <w:sz w:val="28"/>
          <w:szCs w:val="28"/>
        </w:rPr>
        <w:t>The Detailed Description</w:t>
      </w:r>
    </w:p>
    <w:tbl>
      <w:tblPr>
        <w:tblStyle w:val="TableGrid"/>
        <w:tblW w:w="0" w:type="auto"/>
        <w:tblLook w:val="04A0"/>
      </w:tblPr>
      <w:tblGrid>
        <w:gridCol w:w="4699"/>
        <w:gridCol w:w="4877"/>
      </w:tblGrid>
      <w:tr w:rsidR="000471B4" w:rsidRPr="001A6DE9" w:rsidTr="00200966">
        <w:tc>
          <w:tcPr>
            <w:tcW w:w="4699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For the first time, </w:t>
            </w:r>
            <w:r w:rsidR="00C357CC" w:rsidRPr="001A6DE9">
              <w:t>the tool will ask you to specify the directories of your Wikipedia collection</w:t>
            </w:r>
            <w:r w:rsidR="00F27B4F" w:rsidRPr="001A6DE9">
              <w:t xml:space="preserve"> (see Figure 1)</w:t>
            </w:r>
            <w:r w:rsidR="00C357CC" w:rsidRPr="001A6DE9">
              <w:t>.</w:t>
            </w:r>
          </w:p>
          <w:p w:rsidR="00C357CC" w:rsidRPr="001A6DE9" w:rsidRDefault="00F27B4F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Click </w:t>
            </w:r>
            <w:r w:rsidRPr="001A6DE9">
              <w:rPr>
                <w:b/>
              </w:rPr>
              <w:t>OK</w:t>
            </w:r>
            <w:r w:rsidRPr="001A6DE9">
              <w:t xml:space="preserve"> </w:t>
            </w:r>
            <w:r w:rsidR="00104AC6" w:rsidRPr="001A6DE9">
              <w:t>to let the tool launch entirely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From the Menu bar, there is a menu item called </w:t>
            </w:r>
            <w:r w:rsidRPr="001A6DE9">
              <w:rPr>
                <w:b/>
              </w:rPr>
              <w:t>Utility</w:t>
            </w:r>
            <w:r w:rsidRPr="001A6DE9">
              <w:t xml:space="preserve">. Click on it and select the option, </w:t>
            </w:r>
            <w:r w:rsidRPr="001A6DE9">
              <w:rPr>
                <w:b/>
              </w:rPr>
              <w:t>Corpus</w:t>
            </w:r>
            <w:r w:rsidRPr="001A6DE9">
              <w:t>.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As you can see, the Link-the-Wiki Collections Dialog is open and you can browse and select </w:t>
            </w:r>
            <w:r w:rsidR="003F3860" w:rsidRPr="001A6DE9">
              <w:t xml:space="preserve">the directories where </w:t>
            </w:r>
            <w:r w:rsidRPr="001A6DE9">
              <w:t xml:space="preserve">the Wikipedia and </w:t>
            </w:r>
            <w:proofErr w:type="spellStart"/>
            <w:r w:rsidRPr="001A6DE9">
              <w:t>TeAra</w:t>
            </w:r>
            <w:proofErr w:type="spellEnd"/>
            <w:r w:rsidRPr="001A6DE9">
              <w:t xml:space="preserve"> collections</w:t>
            </w:r>
            <w:r w:rsidR="003F3860" w:rsidRPr="001A6DE9">
              <w:t xml:space="preserve"> were located</w:t>
            </w:r>
            <w:r w:rsidRPr="001A6DE9">
              <w:t>.</w:t>
            </w:r>
          </w:p>
          <w:p w:rsidR="00104AC6" w:rsidRPr="001A6DE9" w:rsidRDefault="00104AC6" w:rsidP="00104AC6">
            <w:pPr>
              <w:pStyle w:val="ListParagraph"/>
              <w:numPr>
                <w:ilvl w:val="1"/>
                <w:numId w:val="2"/>
              </w:numPr>
              <w:ind w:left="527" w:hanging="170"/>
            </w:pPr>
            <w:r w:rsidRPr="001A6DE9">
              <w:rPr>
                <w:b/>
              </w:rPr>
              <w:t>Note01</w:t>
            </w:r>
            <w:r w:rsidRPr="001A6DE9">
              <w:t xml:space="preserve">: If you are only interested in either the Wikipedia tasks or the </w:t>
            </w:r>
            <w:proofErr w:type="spellStart"/>
            <w:r w:rsidRPr="001A6DE9">
              <w:t>TeAra</w:t>
            </w:r>
            <w:proofErr w:type="spellEnd"/>
            <w:r w:rsidRPr="001A6DE9">
              <w:t xml:space="preserve"> tasks, you still need to specify both of them, just make sure the one you are interested is specified correctly. Otherwise the tool will not be running correctly.</w:t>
            </w:r>
          </w:p>
          <w:p w:rsidR="00104AC6" w:rsidRPr="001A6DE9" w:rsidRDefault="00104AC6" w:rsidP="00104AC6">
            <w:pPr>
              <w:pStyle w:val="ListParagraph"/>
              <w:numPr>
                <w:ilvl w:val="1"/>
                <w:numId w:val="2"/>
              </w:numPr>
              <w:ind w:left="527" w:hanging="170"/>
            </w:pPr>
            <w:r w:rsidRPr="001A6DE9">
              <w:rPr>
                <w:b/>
              </w:rPr>
              <w:t>Note02</w:t>
            </w:r>
            <w:r w:rsidRPr="001A6DE9">
              <w:t xml:space="preserve">: </w:t>
            </w:r>
            <w:r w:rsidR="008B626E" w:rsidRPr="001A6DE9">
              <w:t>For the Wikipedia collection, you must place/combine all relative XML files into a single folder according to its naming convention</w:t>
            </w:r>
            <w:r w:rsidR="00C739B5" w:rsidRPr="001A6DE9">
              <w:t xml:space="preserve"> (see Figure 4). Therefore, there </w:t>
            </w:r>
            <w:r w:rsidR="00C31372" w:rsidRPr="001A6DE9">
              <w:t>will be</w:t>
            </w:r>
            <w:r w:rsidR="00C739B5" w:rsidRPr="001A6DE9">
              <w:t xml:space="preserve"> only one directory (e.g. </w:t>
            </w:r>
            <w:r w:rsidR="00C739B5" w:rsidRPr="001A6DE9">
              <w:rPr>
                <w:i/>
              </w:rPr>
              <w:t>Wikipedia_2009</w:t>
            </w:r>
            <w:r w:rsidR="00C739B5" w:rsidRPr="001A6DE9">
              <w:t xml:space="preserve">) containing all these sub-folders (e.g. </w:t>
            </w:r>
            <w:r w:rsidR="00C739B5" w:rsidRPr="001A6DE9">
              <w:rPr>
                <w:i/>
              </w:rPr>
              <w:t>001</w:t>
            </w:r>
            <w:r w:rsidR="00C739B5" w:rsidRPr="001A6DE9">
              <w:t xml:space="preserve">, </w:t>
            </w:r>
            <w:r w:rsidR="00C739B5" w:rsidRPr="001A6DE9">
              <w:rPr>
                <w:i/>
              </w:rPr>
              <w:t>002</w:t>
            </w:r>
            <w:r w:rsidR="00C739B5" w:rsidRPr="001A6DE9">
              <w:t xml:space="preserve"> …</w:t>
            </w:r>
            <w:r w:rsidR="00C31372" w:rsidRPr="001A6DE9">
              <w:t xml:space="preserve">, </w:t>
            </w:r>
            <w:r w:rsidR="00C31372" w:rsidRPr="001A6DE9">
              <w:rPr>
                <w:i/>
              </w:rPr>
              <w:t>999</w:t>
            </w:r>
            <w:r w:rsidR="00C739B5" w:rsidRPr="001A6DE9">
              <w:t>).</w:t>
            </w:r>
            <w:r w:rsidR="00C31372" w:rsidRPr="001A6DE9">
              <w:t xml:space="preserve"> For example, the file, </w:t>
            </w:r>
            <w:r w:rsidR="00C31372" w:rsidRPr="001A6DE9">
              <w:rPr>
                <w:b/>
                <w:i/>
              </w:rPr>
              <w:t>1978308.xml</w:t>
            </w:r>
            <w:r w:rsidR="00C31372" w:rsidRPr="001A6DE9">
              <w:t xml:space="preserve">, must be placed into the folder, </w:t>
            </w:r>
            <w:r w:rsidR="00C31372" w:rsidRPr="001A6DE9">
              <w:rPr>
                <w:b/>
                <w:i/>
              </w:rPr>
              <w:t>308</w:t>
            </w:r>
            <w:r w:rsidR="00C31372" w:rsidRPr="001A6DE9">
              <w:t>.</w:t>
            </w:r>
          </w:p>
          <w:p w:rsidR="00C739B5" w:rsidRPr="001A6DE9" w:rsidRDefault="00C739B5" w:rsidP="00104AC6">
            <w:pPr>
              <w:pStyle w:val="ListParagraph"/>
              <w:numPr>
                <w:ilvl w:val="1"/>
                <w:numId w:val="2"/>
              </w:numPr>
              <w:ind w:left="527" w:hanging="170"/>
            </w:pPr>
            <w:r w:rsidRPr="001A6DE9">
              <w:rPr>
                <w:b/>
              </w:rPr>
              <w:t>Note03</w:t>
            </w:r>
            <w:r w:rsidRPr="001A6DE9">
              <w:t xml:space="preserve">: For the </w:t>
            </w:r>
            <w:proofErr w:type="spellStart"/>
            <w:r w:rsidRPr="001A6DE9">
              <w:t>TeAra</w:t>
            </w:r>
            <w:proofErr w:type="spellEnd"/>
            <w:r w:rsidRPr="001A6DE9">
              <w:t xml:space="preserve"> collection, you must extract the ZIP file downloaded from the INEX site into a single folder (see Figure 5). Therefore, there is only one directory (e.g. </w:t>
            </w:r>
            <w:r w:rsidRPr="001A6DE9">
              <w:rPr>
                <w:i/>
              </w:rPr>
              <w:lastRenderedPageBreak/>
              <w:t>TeAra_2009</w:t>
            </w:r>
            <w:r w:rsidRPr="001A6DE9">
              <w:t>) containing all these sub-folders.</w:t>
            </w:r>
          </w:p>
          <w:p w:rsidR="003C2B0C" w:rsidRPr="001A6DE9" w:rsidRDefault="00C739B5" w:rsidP="00C31372">
            <w:pPr>
              <w:pStyle w:val="ListParagraph"/>
              <w:numPr>
                <w:ilvl w:val="1"/>
                <w:numId w:val="2"/>
              </w:numPr>
              <w:ind w:left="527" w:hanging="170"/>
            </w:pPr>
            <w:r w:rsidRPr="001A6DE9">
              <w:rPr>
                <w:b/>
              </w:rPr>
              <w:t>Note</w:t>
            </w:r>
            <w:r w:rsidRPr="001A6DE9">
              <w:t>: What you need to select is that “only one directory”</w:t>
            </w:r>
            <w:r w:rsidR="00C31372" w:rsidRPr="001A6DE9">
              <w:t xml:space="preserve"> (e.g. </w:t>
            </w:r>
            <w:r w:rsidR="00C31372" w:rsidRPr="001A6DE9">
              <w:rPr>
                <w:i/>
              </w:rPr>
              <w:t>Wikipedia_2009</w:t>
            </w:r>
            <w:r w:rsidR="00C31372" w:rsidRPr="001A6DE9">
              <w:t xml:space="preserve"> and </w:t>
            </w:r>
            <w:r w:rsidR="00C31372" w:rsidRPr="001A6DE9">
              <w:rPr>
                <w:i/>
              </w:rPr>
              <w:t>TeAra_2009</w:t>
            </w:r>
            <w:r w:rsidR="00C31372" w:rsidRPr="001A6DE9">
              <w:t>)</w:t>
            </w:r>
            <w:r w:rsidR="003C2B0C" w:rsidRPr="001A6DE9">
              <w:t>,</w:t>
            </w:r>
            <w:r w:rsidRPr="001A6DE9">
              <w:t xml:space="preserve"> </w:t>
            </w:r>
            <w:r w:rsidR="003C2B0C" w:rsidRPr="001A6DE9">
              <w:t>then</w:t>
            </w:r>
            <w:r w:rsidRPr="001A6DE9">
              <w:t xml:space="preserve"> you will see the dialog show the absolute directory path for both collections</w:t>
            </w:r>
            <w:r w:rsidR="00C31372" w:rsidRPr="001A6DE9">
              <w:t xml:space="preserve"> (e.g. </w:t>
            </w:r>
            <w:r w:rsidR="00C31372" w:rsidRPr="001A6DE9">
              <w:rPr>
                <w:i/>
              </w:rPr>
              <w:t>E:\\INEX_Collections_Dump\TeAra_2009</w:t>
            </w:r>
            <w:r w:rsidR="00C31372" w:rsidRPr="001A6DE9">
              <w:t>)</w:t>
            </w:r>
            <w:r w:rsidRPr="001A6DE9">
              <w:t>.</w:t>
            </w:r>
            <w:r w:rsidR="003C2B0C" w:rsidRPr="001A6DE9">
              <w:t xml:space="preserve"> The</w:t>
            </w:r>
            <w:r w:rsidR="00C31372" w:rsidRPr="001A6DE9">
              <w:t>n</w:t>
            </w:r>
            <w:r w:rsidR="003C2B0C" w:rsidRPr="001A6DE9">
              <w:t xml:space="preserve"> click </w:t>
            </w:r>
            <w:r w:rsidR="003C2B0C" w:rsidRPr="001A6DE9">
              <w:rPr>
                <w:b/>
              </w:rPr>
              <w:t>OK</w:t>
            </w:r>
            <w:r w:rsidR="003C2B0C" w:rsidRPr="001A6DE9">
              <w:t xml:space="preserve"> to go </w:t>
            </w:r>
            <w:proofErr w:type="gramStart"/>
            <w:r w:rsidR="003C2B0C" w:rsidRPr="001A6DE9">
              <w:t>Next</w:t>
            </w:r>
            <w:proofErr w:type="gramEnd"/>
            <w:r w:rsidR="00C31372" w:rsidRPr="001A6DE9">
              <w:t>.</w:t>
            </w:r>
          </w:p>
          <w:p w:rsidR="00F7171E" w:rsidRPr="001A6DE9" w:rsidRDefault="00F7171E" w:rsidP="00964FA4">
            <w:pPr>
              <w:pStyle w:val="ListParagraph"/>
              <w:numPr>
                <w:ilvl w:val="0"/>
                <w:numId w:val="2"/>
              </w:numPr>
              <w:rPr>
                <w:b/>
                <w:i/>
              </w:rPr>
            </w:pPr>
            <w:r w:rsidRPr="001A6DE9">
              <w:rPr>
                <w:b/>
                <w:i/>
              </w:rPr>
              <w:t>Once you have specified the directories of the collections, the tool will remember it and show it to you every time you launch the tool (see Figure 7).</w:t>
            </w:r>
            <w:r w:rsidR="00EC6CDC" w:rsidRPr="001A6DE9">
              <w:rPr>
                <w:b/>
                <w:i/>
              </w:rPr>
              <w:t xml:space="preserve"> </w:t>
            </w:r>
            <w:r w:rsidR="00FD190C" w:rsidRPr="001A6DE9">
              <w:rPr>
                <w:b/>
                <w:i/>
              </w:rPr>
              <w:t>The directories</w:t>
            </w:r>
            <w:r w:rsidR="00EC6CDC" w:rsidRPr="001A6DE9">
              <w:rPr>
                <w:b/>
                <w:i/>
              </w:rPr>
              <w:t xml:space="preserve"> only need to be changed when the collections have been moved.</w:t>
            </w:r>
          </w:p>
          <w:p w:rsidR="00C357CC" w:rsidRPr="001A6DE9" w:rsidRDefault="003C2B0C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>The 2</w:t>
            </w:r>
            <w:r w:rsidRPr="001A6DE9">
              <w:rPr>
                <w:vertAlign w:val="superscript"/>
              </w:rPr>
              <w:t>nd</w:t>
            </w:r>
            <w:r w:rsidRPr="001A6DE9">
              <w:t xml:space="preserve"> step you need to do is to load a submission XML file. </w:t>
            </w:r>
            <w:r w:rsidR="00F7171E" w:rsidRPr="001A6DE9">
              <w:t xml:space="preserve">From the Menu bar, there is a menu item called </w:t>
            </w:r>
            <w:r w:rsidR="00F7171E" w:rsidRPr="001A6DE9">
              <w:rPr>
                <w:b/>
              </w:rPr>
              <w:t>Utility</w:t>
            </w:r>
            <w:r w:rsidR="00F7171E" w:rsidRPr="001A6DE9">
              <w:t xml:space="preserve">. Click on it and select the option, </w:t>
            </w:r>
            <w:r w:rsidR="00F7171E" w:rsidRPr="001A6DE9">
              <w:rPr>
                <w:b/>
              </w:rPr>
              <w:t>Load</w:t>
            </w:r>
            <w:r w:rsidR="00F7171E" w:rsidRPr="001A6DE9">
              <w:t>.</w:t>
            </w:r>
          </w:p>
          <w:p w:rsidR="000471B4" w:rsidRPr="001A6DE9" w:rsidRDefault="000471B4" w:rsidP="000471B4">
            <w:pPr>
              <w:pStyle w:val="ListParagraph"/>
              <w:ind w:left="360"/>
            </w:pPr>
            <w:r w:rsidRPr="001A6DE9">
              <w:t>A Window file browser will open for you to select a submission XML file one at a time. It means you can only load a submission file and display it on the tool each time.</w:t>
            </w:r>
          </w:p>
          <w:p w:rsidR="006D59D8" w:rsidRPr="001A6DE9" w:rsidRDefault="00576B8C" w:rsidP="00200966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As you can see from the Figure 8 to 11, they show the Wikipedia and </w:t>
            </w:r>
            <w:proofErr w:type="spellStart"/>
            <w:r w:rsidRPr="001A6DE9">
              <w:t>TeAra</w:t>
            </w:r>
            <w:proofErr w:type="spellEnd"/>
            <w:r w:rsidRPr="001A6DE9">
              <w:t xml:space="preserve"> submission for outgoing and incoming links respectively.</w:t>
            </w:r>
          </w:p>
        </w:tc>
        <w:tc>
          <w:tcPr>
            <w:tcW w:w="4877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C739B5">
            <w:pPr>
              <w:ind w:left="-57" w:right="-57"/>
              <w:jc w:val="center"/>
            </w:pPr>
            <w:r w:rsidRPr="001A6DE9">
              <w:rPr>
                <w:noProof/>
                <w:lang w:val="en-AU" w:eastAsia="zh-CN"/>
              </w:rPr>
              <w:lastRenderedPageBreak/>
              <w:drawing>
                <wp:inline distT="0" distB="0" distL="0" distR="0">
                  <wp:extent cx="2851371" cy="854648"/>
                  <wp:effectExtent l="19050" t="0" r="6129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130" cy="85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562"/>
            </w:tblGrid>
            <w:tr w:rsidR="001F77D7" w:rsidRPr="001A6DE9" w:rsidTr="001F77D7">
              <w:tc>
                <w:tcPr>
                  <w:tcW w:w="4562" w:type="dxa"/>
                </w:tcPr>
                <w:p w:rsidR="001F77D7" w:rsidRPr="001A6DE9" w:rsidRDefault="001F77D7" w:rsidP="00CB0740">
                  <w:pPr>
                    <w:jc w:val="center"/>
                  </w:pPr>
                  <w:r w:rsidRPr="001F77D7">
                    <w:t xml:space="preserve">Figure </w:t>
                  </w:r>
                  <w:r w:rsidR="00CB0740">
                    <w:t>2</w:t>
                  </w:r>
                  <w:r w:rsidRPr="001F77D7">
                    <w:t>. Specification of the collection directories</w:t>
                  </w:r>
                </w:p>
              </w:tc>
            </w:tr>
          </w:tbl>
          <w:p w:rsidR="00964FA4" w:rsidRPr="001A6DE9" w:rsidRDefault="00964FA4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964FA4" w:rsidRPr="001A6DE9" w:rsidRDefault="002F7ED9" w:rsidP="00C739B5">
            <w:pPr>
              <w:ind w:left="-57" w:right="-57"/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2843260" cy="1200647"/>
                  <wp:effectExtent l="1905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701" cy="1202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4AC6" w:rsidRPr="001A6DE9" w:rsidRDefault="00104AC6" w:rsidP="00C739B5">
            <w:pPr>
              <w:ind w:left="-57" w:right="-57"/>
              <w:jc w:val="center"/>
            </w:pPr>
            <w:r w:rsidRPr="001A6DE9">
              <w:t>Figure 2</w:t>
            </w:r>
            <w:r w:rsidR="00B8027C" w:rsidRPr="001A6DE9">
              <w:t>. Empty directories of the collections</w:t>
            </w: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B257CB" w:rsidRPr="001A6DE9" w:rsidRDefault="00C739B5" w:rsidP="00C739B5">
            <w:pPr>
              <w:ind w:left="-57" w:right="-57"/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3012724" cy="1272208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779" cy="1274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57CB" w:rsidRPr="001A6DE9" w:rsidRDefault="00B257CB" w:rsidP="00C739B5">
            <w:pPr>
              <w:ind w:left="-57" w:right="-57"/>
              <w:jc w:val="center"/>
            </w:pPr>
            <w:r w:rsidRPr="001A6DE9">
              <w:t>Figure 6</w:t>
            </w:r>
            <w:r w:rsidR="00F7171E" w:rsidRPr="001A6DE9">
              <w:t>. Link-the-Wiki collections selection dialog</w:t>
            </w: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F7171E" w:rsidRPr="001A6DE9" w:rsidRDefault="00F7171E" w:rsidP="00C739B5">
            <w:pPr>
              <w:ind w:left="-57" w:right="-57"/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2922932" cy="1035136"/>
                  <wp:effectExtent l="1905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149" cy="1035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171E" w:rsidRPr="001A6DE9" w:rsidRDefault="00F7171E" w:rsidP="00644B40">
            <w:pPr>
              <w:ind w:left="-57" w:right="-57"/>
              <w:jc w:val="center"/>
            </w:pPr>
            <w:r w:rsidRPr="001A6DE9">
              <w:t xml:space="preserve">Figure 7. </w:t>
            </w:r>
            <w:r w:rsidR="00CB0740">
              <w:t xml:space="preserve">The </w:t>
            </w:r>
            <w:r w:rsidR="00CB0740">
              <w:rPr>
                <w:noProof/>
              </w:rPr>
              <w:t>CJK Wikipeida</w:t>
            </w:r>
            <w:r w:rsidRPr="001A6DE9">
              <w:t xml:space="preserve"> collections</w:t>
            </w:r>
            <w:r w:rsidR="00CB0740">
              <w:t xml:space="preserve"> directory</w:t>
            </w:r>
            <w:r w:rsidRPr="001A6DE9">
              <w:t xml:space="preserve"> message</w:t>
            </w:r>
          </w:p>
          <w:p w:rsidR="00200966" w:rsidRPr="001A6DE9" w:rsidRDefault="00200966" w:rsidP="00200966">
            <w:pPr>
              <w:jc w:val="center"/>
            </w:pPr>
            <w:r>
              <w:rPr>
                <w:noProof/>
                <w:lang w:val="en-AU" w:eastAsia="en-AU"/>
              </w:rPr>
              <w:pict>
                <v:roundrect id="_x0000_s1045" style="position:absolute;left:0;text-align:left;margin-left:124.7pt;margin-top:113.4pt;width:87.05pt;height:33.15pt;z-index:251675648;mso-position-horizontal-relative:text;mso-position-vertical-relative:text" arcsize="10923f" filled="f" strokecolor="#943634 [2405]">
                  <v:textbox>
                    <w:txbxContent>
                      <w:p w:rsidR="00200966" w:rsidRPr="00614974" w:rsidRDefault="00200966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Table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4" style="position:absolute;left:0;text-align:left;margin-left:124.7pt;margin-top:18.95pt;width:87.05pt;height:87.55pt;z-index:251674624;mso-position-horizontal-relative:text;mso-position-vertical-relative:text" arcsize="10923f" filled="f" strokecolor="#943634 [2405]">
                  <v:textbox>
                    <w:txbxContent>
                      <w:p w:rsidR="00200966" w:rsidRPr="00614974" w:rsidRDefault="00200966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Link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3" style="position:absolute;left:0;text-align:left;margin-left:13.75pt;margin-top:25.1pt;width:87.05pt;height:107.7pt;z-index:251673600;mso-position-horizontal-relative:text;mso-position-vertical-relative:text" arcsize="10923f" filled="f" strokecolor="#943634 [2405]">
                  <v:textbox>
                    <w:txbxContent>
                      <w:p w:rsidR="00200966" w:rsidRPr="00614974" w:rsidRDefault="00200966" w:rsidP="00200966">
                        <w:pPr>
                          <w:rPr>
                            <w:b/>
                            <w:color w:val="FF0000"/>
                          </w:rPr>
                        </w:pPr>
                        <w:r w:rsidRPr="00614974">
                          <w:rPr>
                            <w:b/>
                            <w:color w:val="FF0000"/>
                          </w:rPr>
                          <w:t>Topic Pane</w:t>
                        </w:r>
                      </w:p>
                    </w:txbxContent>
                  </v:textbox>
                </v:roundrect>
              </w:pict>
            </w: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2930884" cy="1941092"/>
                  <wp:effectExtent l="19050" t="0" r="2816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38" cy="1946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0966" w:rsidRPr="001A6DE9" w:rsidRDefault="00200966" w:rsidP="00200966">
            <w:pPr>
              <w:jc w:val="center"/>
            </w:pPr>
            <w:r w:rsidRPr="001A6DE9">
              <w:t xml:space="preserve">Figure 8. The </w:t>
            </w:r>
            <w:r>
              <w:t>crosslink submission</w:t>
            </w:r>
          </w:p>
          <w:p w:rsidR="00012E73" w:rsidRPr="001A6DE9" w:rsidRDefault="00012E73" w:rsidP="00644B40">
            <w:pPr>
              <w:ind w:left="-57" w:right="-57"/>
              <w:jc w:val="center"/>
            </w:pPr>
          </w:p>
        </w:tc>
      </w:tr>
      <w:tr w:rsidR="00576B8C" w:rsidRPr="001A6DE9" w:rsidTr="00D634C6">
        <w:tc>
          <w:tcPr>
            <w:tcW w:w="9576" w:type="dxa"/>
            <w:gridSpan w:val="2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6D59D8" w:rsidRPr="001A6DE9" w:rsidRDefault="000758C5" w:rsidP="006D59D8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lastRenderedPageBreak/>
              <w:t xml:space="preserve"> </w:t>
            </w:r>
          </w:p>
          <w:p w:rsidR="00576B8C" w:rsidRPr="001A6DE9" w:rsidRDefault="00614974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You can click on either an </w:t>
            </w:r>
            <w:r w:rsidRPr="001A6DE9">
              <w:rPr>
                <w:i/>
                <w:noProof/>
                <w:lang w:val="en-AU" w:eastAsia="en-AU"/>
              </w:rPr>
              <w:t>Anchor Text</w:t>
            </w:r>
            <w:r w:rsidRPr="001A6DE9">
              <w:rPr>
                <w:noProof/>
                <w:lang w:val="en-AU" w:eastAsia="en-AU"/>
              </w:rPr>
              <w:t xml:space="preserve"> or </w:t>
            </w:r>
            <w:r w:rsidRPr="001A6DE9">
              <w:rPr>
                <w:i/>
                <w:noProof/>
                <w:lang w:val="en-AU" w:eastAsia="en-AU"/>
              </w:rPr>
              <w:t>BEP Icon</w:t>
            </w:r>
            <w:r w:rsidRPr="001A6DE9">
              <w:rPr>
                <w:noProof/>
                <w:lang w:val="en-AU" w:eastAsia="en-AU"/>
              </w:rPr>
              <w:t xml:space="preserve"> on the Topic pane to display its relative links showing on the Link Pane.</w:t>
            </w:r>
          </w:p>
          <w:p w:rsidR="00614974" w:rsidRPr="001A6DE9" w:rsidRDefault="00614974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i/>
                <w:noProof/>
                <w:lang w:val="en-AU" w:eastAsia="en-AU"/>
              </w:rPr>
              <w:t>Right-Click</w:t>
            </w:r>
            <w:r w:rsidRPr="001A6DE9">
              <w:rPr>
                <w:noProof/>
                <w:lang w:val="en-AU" w:eastAsia="en-AU"/>
              </w:rPr>
              <w:t xml:space="preserve"> on the Link Pane will move to the Next link while </w:t>
            </w:r>
            <w:r w:rsidRPr="001A6DE9">
              <w:rPr>
                <w:i/>
                <w:noProof/>
                <w:lang w:val="en-AU" w:eastAsia="en-AU"/>
              </w:rPr>
              <w:t>Left-Clic</w:t>
            </w:r>
            <w:r w:rsidR="006D59D8" w:rsidRPr="001A6DE9">
              <w:rPr>
                <w:i/>
                <w:noProof/>
                <w:lang w:val="en-AU" w:eastAsia="en-AU"/>
              </w:rPr>
              <w:t>k</w:t>
            </w:r>
            <w:r w:rsidRPr="001A6DE9">
              <w:rPr>
                <w:noProof/>
                <w:lang w:val="en-AU" w:eastAsia="en-AU"/>
              </w:rPr>
              <w:t xml:space="preserve"> on the Link Pane will be one link</w:t>
            </w:r>
            <w:r w:rsidR="006D59D8" w:rsidRPr="001A6DE9">
              <w:rPr>
                <w:noProof/>
                <w:lang w:val="en-AU" w:eastAsia="en-AU"/>
              </w:rPr>
              <w:t xml:space="preserve"> backward</w:t>
            </w:r>
            <w:r w:rsidRPr="001A6DE9">
              <w:rPr>
                <w:noProof/>
                <w:lang w:val="en-AU" w:eastAsia="en-AU"/>
              </w:rPr>
              <w:t>.</w:t>
            </w:r>
          </w:p>
          <w:p w:rsidR="00614974" w:rsidRPr="001A6DE9" w:rsidRDefault="006D59D8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You can also click on a</w:t>
            </w:r>
            <w:r w:rsidR="00614974" w:rsidRPr="001A6DE9">
              <w:rPr>
                <w:noProof/>
                <w:lang w:val="en-AU" w:eastAsia="en-AU"/>
              </w:rPr>
              <w:t xml:space="preserve"> Table Cell on the </w:t>
            </w:r>
            <w:r w:rsidRPr="001A6DE9">
              <w:rPr>
                <w:noProof/>
                <w:lang w:val="en-AU" w:eastAsia="en-AU"/>
              </w:rPr>
              <w:t>RHS</w:t>
            </w:r>
            <w:r w:rsidR="00614974" w:rsidRPr="001A6DE9">
              <w:rPr>
                <w:noProof/>
                <w:lang w:val="en-AU" w:eastAsia="en-AU"/>
              </w:rPr>
              <w:t xml:space="preserve"> Pane to jump into that particular link.</w:t>
            </w:r>
          </w:p>
          <w:p w:rsidR="006D59D8" w:rsidRPr="001A6DE9" w:rsidRDefault="006D59D8" w:rsidP="006D59D8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According to the </w:t>
            </w:r>
            <w:r w:rsidRPr="001A6DE9">
              <w:rPr>
                <w:b/>
                <w:noProof/>
                <w:lang w:val="en-AU" w:eastAsia="en-AU"/>
              </w:rPr>
              <w:t>Row</w:t>
            </w:r>
            <w:r w:rsidRPr="001A6DE9">
              <w:rPr>
                <w:noProof/>
                <w:lang w:val="en-AU" w:eastAsia="en-AU"/>
              </w:rPr>
              <w:t xml:space="preserve"> you click, </w:t>
            </w:r>
            <w:r w:rsidR="005733CA" w:rsidRPr="001A6DE9">
              <w:rPr>
                <w:noProof/>
                <w:lang w:val="en-AU" w:eastAsia="en-AU"/>
              </w:rPr>
              <w:t>the tool will display the corresponding topic and link on the respective pane.</w:t>
            </w:r>
          </w:p>
          <w:p w:rsidR="00614974" w:rsidRPr="001A6DE9" w:rsidRDefault="00614974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The general information (e.g. </w:t>
            </w:r>
            <w:r w:rsidRPr="001A6DE9">
              <w:rPr>
                <w:i/>
                <w:noProof/>
                <w:lang w:val="en-AU" w:eastAsia="en-AU"/>
              </w:rPr>
              <w:t>topic title</w:t>
            </w:r>
            <w:r w:rsidRPr="001A6DE9">
              <w:rPr>
                <w:noProof/>
                <w:lang w:val="en-AU" w:eastAsia="en-AU"/>
              </w:rPr>
              <w:t xml:space="preserve">, </w:t>
            </w:r>
            <w:r w:rsidRPr="001A6DE9">
              <w:rPr>
                <w:i/>
                <w:noProof/>
                <w:lang w:val="en-AU" w:eastAsia="en-AU"/>
              </w:rPr>
              <w:t>anchor name</w:t>
            </w:r>
            <w:r w:rsidR="0043013D" w:rsidRPr="001A6DE9">
              <w:rPr>
                <w:noProof/>
                <w:lang w:val="en-AU" w:eastAsia="en-AU"/>
              </w:rPr>
              <w:t xml:space="preserve"> and </w:t>
            </w:r>
            <w:r w:rsidR="0043013D" w:rsidRPr="001A6DE9">
              <w:rPr>
                <w:i/>
                <w:noProof/>
                <w:lang w:val="en-AU" w:eastAsia="en-AU"/>
              </w:rPr>
              <w:t>target document title</w:t>
            </w:r>
            <w:r w:rsidRPr="001A6DE9">
              <w:rPr>
                <w:noProof/>
                <w:lang w:val="en-AU" w:eastAsia="en-AU"/>
              </w:rPr>
              <w:t>)</w:t>
            </w:r>
            <w:r w:rsidR="0043013D" w:rsidRPr="001A6DE9">
              <w:rPr>
                <w:noProof/>
                <w:lang w:val="en-AU" w:eastAsia="en-AU"/>
              </w:rPr>
              <w:t xml:space="preserve"> will be showed on the top banner just below the menu bar.</w:t>
            </w:r>
          </w:p>
          <w:p w:rsidR="0043013D" w:rsidRPr="001A6DE9" w:rsidRDefault="0043013D" w:rsidP="00B8027C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From the</w:t>
            </w:r>
            <w:r w:rsidR="00B8027C" w:rsidRPr="001A6DE9">
              <w:rPr>
                <w:noProof/>
                <w:lang w:val="en-AU" w:eastAsia="en-AU"/>
              </w:rPr>
              <w:t xml:space="preserve"> RHS</w:t>
            </w:r>
            <w:r w:rsidRPr="001A6DE9">
              <w:rPr>
                <w:noProof/>
                <w:lang w:val="en-AU" w:eastAsia="en-AU"/>
              </w:rPr>
              <w:t xml:space="preserve"> Table Pane, you can see the </w:t>
            </w:r>
            <w:r w:rsidRPr="001A6DE9">
              <w:rPr>
                <w:i/>
                <w:noProof/>
                <w:lang w:val="en-AU" w:eastAsia="en-AU"/>
              </w:rPr>
              <w:t>Offset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Length</w:t>
            </w:r>
            <w:r w:rsidRPr="001A6DE9">
              <w:rPr>
                <w:noProof/>
                <w:lang w:val="en-AU" w:eastAsia="en-AU"/>
              </w:rPr>
              <w:t xml:space="preserve"> </w:t>
            </w:r>
            <w:r w:rsidR="00B8027C" w:rsidRPr="001A6DE9">
              <w:rPr>
                <w:noProof/>
                <w:lang w:val="en-AU" w:eastAsia="en-AU"/>
              </w:rPr>
              <w:t>of</w:t>
            </w:r>
            <w:r w:rsidRPr="001A6DE9">
              <w:rPr>
                <w:noProof/>
                <w:lang w:val="en-AU" w:eastAsia="en-AU"/>
              </w:rPr>
              <w:t xml:space="preserve"> each anchor and BEP. According to this information, you can adjust your system to correct the position of each text anchor and best entry point. A general idea is that althought an exact “hit” of position (i.e. offset and length) is perfect, these anchors and BEPs are NOT expected to match</w:t>
            </w:r>
            <w:r w:rsidR="0096004F">
              <w:rPr>
                <w:noProof/>
                <w:lang w:val="en-AU" w:eastAsia="en-AU"/>
              </w:rPr>
              <w:t xml:space="preserve"> exactly</w:t>
            </w:r>
            <w:r w:rsidRPr="001A6DE9">
              <w:rPr>
                <w:noProof/>
                <w:lang w:val="en-AU" w:eastAsia="en-AU"/>
              </w:rPr>
              <w:t xml:space="preserve"> their respective position on the document but nearby or overlapping. </w:t>
            </w:r>
          </w:p>
        </w:tc>
      </w:tr>
    </w:tbl>
    <w:p w:rsidR="002E09F9" w:rsidRPr="001A6DE9" w:rsidRDefault="002E09F9"/>
    <w:p w:rsidR="00290E34" w:rsidRPr="001A6DE9" w:rsidRDefault="00290E34" w:rsidP="00290E34">
      <w:pPr>
        <w:spacing w:after="0" w:line="240" w:lineRule="auto"/>
        <w:jc w:val="center"/>
      </w:pPr>
      <w:r w:rsidRPr="001A6DE9">
        <w:rPr>
          <w:noProof/>
          <w:lang w:val="en-AU" w:eastAsia="zh-CN"/>
        </w:rPr>
        <w:lastRenderedPageBreak/>
        <w:drawing>
          <wp:inline distT="0" distB="0" distL="0" distR="0">
            <wp:extent cx="3282449" cy="103366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677" t="15715" r="45211" b="6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53" cy="103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34" w:rsidRPr="001A6DE9" w:rsidRDefault="00290E34" w:rsidP="00290E34">
      <w:pPr>
        <w:jc w:val="center"/>
      </w:pPr>
      <w:proofErr w:type="gramStart"/>
      <w:r w:rsidRPr="001A6DE9">
        <w:t>Figure 12.</w:t>
      </w:r>
      <w:proofErr w:type="gramEnd"/>
      <w:r w:rsidRPr="001A6DE9">
        <w:t xml:space="preserve"> The Wikipedia DTD Specification</w:t>
      </w:r>
    </w:p>
    <w:p w:rsidR="00012E73" w:rsidRPr="001A6DE9" w:rsidRDefault="00A87DAA" w:rsidP="00012E73">
      <w:pPr>
        <w:spacing w:after="0" w:line="240" w:lineRule="auto"/>
        <w:jc w:val="center"/>
      </w:pPr>
      <w:r w:rsidRPr="00A87DAA">
        <w:rPr>
          <w:noProof/>
        </w:rPr>
        <w:pict>
          <v:oval id="_x0000_s1041" style="position:absolute;left:0;text-align:left;margin-left:97.7pt;margin-top:76.6pt;width:78.85pt;height:36.95pt;z-index:251671552" filled="f" strokecolor="#002060" strokeweight="2.25pt">
            <v:stroke dashstyle="dash"/>
          </v:oval>
        </w:pict>
      </w:r>
      <w:r w:rsidRPr="00A87DAA">
        <w:rPr>
          <w:noProof/>
        </w:rPr>
        <w:pict>
          <v:oval id="_x0000_s1040" style="position:absolute;left:0;text-align:left;margin-left:188.45pt;margin-top:97.15pt;width:63.85pt;height:36.95pt;z-index:251670528" filled="f" strokecolor="#c00000" strokeweight="2.25pt">
            <v:stroke dashstyle="dash"/>
          </v:oval>
        </w:pict>
      </w:r>
      <w:r w:rsidR="00012E73" w:rsidRPr="001A6DE9">
        <w:rPr>
          <w:noProof/>
          <w:lang w:val="en-AU" w:eastAsia="zh-CN"/>
        </w:rPr>
        <w:drawing>
          <wp:inline distT="0" distB="0" distL="0" distR="0">
            <wp:extent cx="3473478" cy="1733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1017" r="7910" b="27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78" cy="173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E73" w:rsidRPr="001A6DE9" w:rsidRDefault="00012E73" w:rsidP="00012E73">
      <w:pPr>
        <w:jc w:val="center"/>
      </w:pPr>
      <w:proofErr w:type="gramStart"/>
      <w:r w:rsidRPr="001A6DE9">
        <w:t>Figure 1</w:t>
      </w:r>
      <w:r w:rsidR="00C431FF" w:rsidRPr="001A6DE9">
        <w:t>3</w:t>
      </w:r>
      <w:r w:rsidRPr="001A6DE9">
        <w:t>.</w:t>
      </w:r>
      <w:proofErr w:type="gramEnd"/>
      <w:r w:rsidRPr="001A6DE9">
        <w:t xml:space="preserve"> The location of DTD and the tool Package</w:t>
      </w:r>
    </w:p>
    <w:p w:rsidR="00012E73" w:rsidRPr="001A6DE9" w:rsidRDefault="00012E73" w:rsidP="00290E34">
      <w:pPr>
        <w:jc w:val="center"/>
      </w:pPr>
    </w:p>
    <w:sectPr w:rsidR="00012E73" w:rsidRPr="001A6DE9" w:rsidSect="002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B2D"/>
    <w:multiLevelType w:val="multilevel"/>
    <w:tmpl w:val="B09AA8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D32396"/>
    <w:multiLevelType w:val="hybridMultilevel"/>
    <w:tmpl w:val="DA72D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C0039C"/>
    <w:multiLevelType w:val="hybridMultilevel"/>
    <w:tmpl w:val="534C022C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C0932"/>
    <w:multiLevelType w:val="hybridMultilevel"/>
    <w:tmpl w:val="4B86C160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46184"/>
    <w:multiLevelType w:val="hybridMultilevel"/>
    <w:tmpl w:val="8F5E8DB2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F231CD"/>
    <w:multiLevelType w:val="hybridMultilevel"/>
    <w:tmpl w:val="A3440C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232415"/>
    <w:multiLevelType w:val="hybridMultilevel"/>
    <w:tmpl w:val="D5C8D294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7432C"/>
    <w:multiLevelType w:val="multilevel"/>
    <w:tmpl w:val="FE4EB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−"/>
      <w:lvlJc w:val="left"/>
      <w:pPr>
        <w:ind w:left="792" w:hanging="432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9658F"/>
    <w:rsid w:val="00011448"/>
    <w:rsid w:val="00012E73"/>
    <w:rsid w:val="000143D7"/>
    <w:rsid w:val="000271FB"/>
    <w:rsid w:val="00031471"/>
    <w:rsid w:val="000376EC"/>
    <w:rsid w:val="000471B4"/>
    <w:rsid w:val="000758C5"/>
    <w:rsid w:val="00076C35"/>
    <w:rsid w:val="00093D57"/>
    <w:rsid w:val="000B5D88"/>
    <w:rsid w:val="000E6DA7"/>
    <w:rsid w:val="00104AC6"/>
    <w:rsid w:val="00133555"/>
    <w:rsid w:val="00144123"/>
    <w:rsid w:val="00144F02"/>
    <w:rsid w:val="001A308F"/>
    <w:rsid w:val="001A3FEE"/>
    <w:rsid w:val="001A6DE9"/>
    <w:rsid w:val="001B2402"/>
    <w:rsid w:val="001F77D7"/>
    <w:rsid w:val="00200966"/>
    <w:rsid w:val="00290E34"/>
    <w:rsid w:val="002E09F9"/>
    <w:rsid w:val="002F1A1B"/>
    <w:rsid w:val="002F7ED9"/>
    <w:rsid w:val="003403BC"/>
    <w:rsid w:val="003C2B0C"/>
    <w:rsid w:val="003E1505"/>
    <w:rsid w:val="003F3860"/>
    <w:rsid w:val="00421B4E"/>
    <w:rsid w:val="0043013D"/>
    <w:rsid w:val="00441CE1"/>
    <w:rsid w:val="00467CD1"/>
    <w:rsid w:val="00477712"/>
    <w:rsid w:val="004B3412"/>
    <w:rsid w:val="004C0F0E"/>
    <w:rsid w:val="004E5B8E"/>
    <w:rsid w:val="00516EEA"/>
    <w:rsid w:val="005733CA"/>
    <w:rsid w:val="00576B8C"/>
    <w:rsid w:val="005B5723"/>
    <w:rsid w:val="005E657F"/>
    <w:rsid w:val="005E7312"/>
    <w:rsid w:val="00614974"/>
    <w:rsid w:val="00637058"/>
    <w:rsid w:val="00644B40"/>
    <w:rsid w:val="0065324F"/>
    <w:rsid w:val="00690394"/>
    <w:rsid w:val="00696354"/>
    <w:rsid w:val="006D59D8"/>
    <w:rsid w:val="007333B3"/>
    <w:rsid w:val="007536A4"/>
    <w:rsid w:val="00761CD9"/>
    <w:rsid w:val="0079658F"/>
    <w:rsid w:val="007B781B"/>
    <w:rsid w:val="007E265C"/>
    <w:rsid w:val="00801CE6"/>
    <w:rsid w:val="008230A6"/>
    <w:rsid w:val="008453CC"/>
    <w:rsid w:val="00864FFF"/>
    <w:rsid w:val="00866008"/>
    <w:rsid w:val="008B626E"/>
    <w:rsid w:val="009521D8"/>
    <w:rsid w:val="0096004F"/>
    <w:rsid w:val="00964FA4"/>
    <w:rsid w:val="00993F54"/>
    <w:rsid w:val="00A03059"/>
    <w:rsid w:val="00A25628"/>
    <w:rsid w:val="00A41099"/>
    <w:rsid w:val="00A85C27"/>
    <w:rsid w:val="00A87DAA"/>
    <w:rsid w:val="00AB08AF"/>
    <w:rsid w:val="00AE4723"/>
    <w:rsid w:val="00B257CB"/>
    <w:rsid w:val="00B27477"/>
    <w:rsid w:val="00B7423D"/>
    <w:rsid w:val="00B8027C"/>
    <w:rsid w:val="00BA38A4"/>
    <w:rsid w:val="00BD3076"/>
    <w:rsid w:val="00BE79E3"/>
    <w:rsid w:val="00C31372"/>
    <w:rsid w:val="00C357CC"/>
    <w:rsid w:val="00C431FF"/>
    <w:rsid w:val="00C739B5"/>
    <w:rsid w:val="00CB0740"/>
    <w:rsid w:val="00D634C6"/>
    <w:rsid w:val="00DA5FCC"/>
    <w:rsid w:val="00DA659B"/>
    <w:rsid w:val="00DC576B"/>
    <w:rsid w:val="00DD4E12"/>
    <w:rsid w:val="00DD7D9B"/>
    <w:rsid w:val="00E56A5E"/>
    <w:rsid w:val="00EC6CDC"/>
    <w:rsid w:val="00F27B4F"/>
    <w:rsid w:val="00F7171E"/>
    <w:rsid w:val="00FA3071"/>
    <w:rsid w:val="00FD190C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fillcolor="none" strokecolor="#002060"/>
    </o:shapedefaults>
    <o:shapelayout v:ext="edit">
      <o:idmap v:ext="edit" data="1"/>
      <o:rules v:ext="edit">
        <o:r id="V:Rule2" type="callout" idref="#_x0000_s1035"/>
        <o:r id="V:Rule3" type="callout" idref="#_x0000_s1034"/>
        <o:r id="V:Rule7" type="connector" idref="#_x0000_s1032"/>
        <o:r id="V:Rule8" type="connector" idref="#_x0000_s1030"/>
        <o:r id="V:Rule9" type="connector" idref="#_x0000_s1037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8F"/>
    <w:pPr>
      <w:ind w:left="720"/>
      <w:contextualSpacing/>
    </w:pPr>
  </w:style>
  <w:style w:type="table" w:styleId="TableGrid">
    <w:name w:val="Table Grid"/>
    <w:basedOn w:val="TableNormal"/>
    <w:uiPriority w:val="59"/>
    <w:rsid w:val="00964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Eric Tang</cp:lastModifiedBy>
  <cp:revision>17</cp:revision>
  <dcterms:created xsi:type="dcterms:W3CDTF">2009-10-03T06:49:00Z</dcterms:created>
  <dcterms:modified xsi:type="dcterms:W3CDTF">2011-02-25T01:40:00Z</dcterms:modified>
</cp:coreProperties>
</file>