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2DD5" w14:textId="2231DB60" w:rsidR="00067A51" w:rsidRPr="0075041C" w:rsidRDefault="00067A51" w:rsidP="0075041C">
      <w:pPr>
        <w:jc w:val="both"/>
        <w:rPr>
          <w:rFonts w:cstheme="minorHAnsi"/>
          <w:sz w:val="24"/>
          <w:szCs w:val="24"/>
        </w:rPr>
      </w:pPr>
      <w:r w:rsidRPr="0075041C">
        <w:rPr>
          <w:rFonts w:cstheme="minorHAnsi"/>
          <w:sz w:val="24"/>
          <w:szCs w:val="24"/>
        </w:rPr>
        <w:t>PoMo- Polymorphism aware phylogenetic models Annotated Bibliography</w:t>
      </w:r>
    </w:p>
    <w:p w14:paraId="31D5190D" w14:textId="77777777" w:rsidR="00067A51" w:rsidRPr="0075041C" w:rsidRDefault="00067A51" w:rsidP="0075041C">
      <w:pPr>
        <w:jc w:val="both"/>
        <w:rPr>
          <w:rFonts w:cstheme="minorHAnsi"/>
          <w:sz w:val="24"/>
          <w:szCs w:val="24"/>
        </w:rPr>
      </w:pPr>
      <w:r w:rsidRPr="0075041C">
        <w:rPr>
          <w:rFonts w:cstheme="minorHAnsi"/>
          <w:sz w:val="24"/>
          <w:szCs w:val="24"/>
        </w:rPr>
        <w:t>Phyloseminar 2024</w:t>
      </w:r>
    </w:p>
    <w:p w14:paraId="127A28DA" w14:textId="2A2E920F" w:rsidR="00067A51" w:rsidRPr="0075041C" w:rsidRDefault="00067A51" w:rsidP="0075041C">
      <w:pPr>
        <w:jc w:val="both"/>
        <w:rPr>
          <w:rFonts w:cstheme="minorHAnsi"/>
          <w:sz w:val="24"/>
          <w:szCs w:val="24"/>
        </w:rPr>
      </w:pPr>
      <w:r w:rsidRPr="0075041C">
        <w:rPr>
          <w:rFonts w:cstheme="minorHAnsi"/>
          <w:sz w:val="24"/>
          <w:szCs w:val="24"/>
        </w:rPr>
        <w:t>Bhagya Amarasinghe</w:t>
      </w:r>
    </w:p>
    <w:p w14:paraId="16B0F897" w14:textId="77777777" w:rsidR="00067A51" w:rsidRPr="0075041C" w:rsidRDefault="00067A51" w:rsidP="0075041C">
      <w:pPr>
        <w:jc w:val="both"/>
        <w:rPr>
          <w:rFonts w:cstheme="minorHAnsi"/>
          <w:sz w:val="24"/>
          <w:szCs w:val="24"/>
        </w:rPr>
      </w:pPr>
    </w:p>
    <w:p w14:paraId="49539EAC" w14:textId="61B63D9C" w:rsidR="00743767" w:rsidRPr="0075041C" w:rsidRDefault="00743767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</w:rPr>
      </w:pP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Wilson, D. J., Hernandez, R. D., Andolfatto, P., &amp; Przeworski, M. (2011). A population genetics-phylogenetics approach to inferring natural selection in coding sequences.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PLoS genetics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7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(12), e1002395.</w:t>
      </w:r>
    </w:p>
    <w:p w14:paraId="63A19629" w14:textId="6F880FDC" w:rsidR="00743767" w:rsidRPr="0075041C" w:rsidRDefault="00743767" w:rsidP="0075041C">
      <w:pPr>
        <w:jc w:val="both"/>
        <w:rPr>
          <w:rFonts w:cstheme="minorHAnsi"/>
          <w:sz w:val="24"/>
          <w:szCs w:val="24"/>
        </w:rPr>
      </w:pPr>
      <w:proofErr w:type="gramStart"/>
      <w:r w:rsidRPr="0075041C">
        <w:rPr>
          <w:rFonts w:cstheme="minorHAnsi"/>
          <w:sz w:val="24"/>
          <w:szCs w:val="24"/>
        </w:rPr>
        <w:t>Similar to</w:t>
      </w:r>
      <w:proofErr w:type="gramEnd"/>
      <w:r w:rsidRPr="0075041C">
        <w:rPr>
          <w:rFonts w:cstheme="minorHAnsi"/>
          <w:sz w:val="24"/>
          <w:szCs w:val="24"/>
        </w:rPr>
        <w:t xml:space="preserve"> PoMo </w:t>
      </w:r>
      <w:r w:rsidR="00BF3277" w:rsidRPr="0075041C">
        <w:rPr>
          <w:rFonts w:cstheme="minorHAnsi"/>
          <w:sz w:val="24"/>
          <w:szCs w:val="24"/>
        </w:rPr>
        <w:t>in this paper they</w:t>
      </w:r>
      <w:r w:rsidRPr="0075041C">
        <w:rPr>
          <w:rFonts w:cstheme="minorHAnsi"/>
          <w:sz w:val="24"/>
          <w:szCs w:val="24"/>
        </w:rPr>
        <w:t xml:space="preserve"> use</w:t>
      </w:r>
      <w:r w:rsidR="00BF3277" w:rsidRPr="0075041C">
        <w:rPr>
          <w:rFonts w:cstheme="minorHAnsi"/>
          <w:sz w:val="24"/>
          <w:szCs w:val="24"/>
        </w:rPr>
        <w:t xml:space="preserve"> </w:t>
      </w:r>
      <w:r w:rsidRPr="0075041C">
        <w:rPr>
          <w:rFonts w:cstheme="minorHAnsi"/>
          <w:sz w:val="24"/>
          <w:szCs w:val="24"/>
        </w:rPr>
        <w:t>patterns of polymorphism within species and divergence between species, but they use Bayesian sliding window approach to model intragenic variation in selection coefficients.</w:t>
      </w:r>
      <w:r w:rsidR="00BF3277" w:rsidRPr="0075041C">
        <w:rPr>
          <w:rFonts w:cstheme="minorHAnsi"/>
          <w:sz w:val="24"/>
          <w:szCs w:val="24"/>
        </w:rPr>
        <w:t xml:space="preserve"> This </w:t>
      </w:r>
      <w:r w:rsidR="00BF3277" w:rsidRPr="0075041C">
        <w:rPr>
          <w:rFonts w:cstheme="minorHAnsi"/>
          <w:sz w:val="24"/>
          <w:szCs w:val="24"/>
        </w:rPr>
        <w:t>approach combines population genetics and phylogenetics, focusing on how specific genetic codes change over generations</w:t>
      </w:r>
      <w:r w:rsidR="00BF3277" w:rsidRPr="0075041C">
        <w:rPr>
          <w:rFonts w:cstheme="minorHAnsi"/>
          <w:sz w:val="24"/>
          <w:szCs w:val="24"/>
        </w:rPr>
        <w:t xml:space="preserve"> (coding sequences). </w:t>
      </w:r>
    </w:p>
    <w:p w14:paraId="33D2D949" w14:textId="77777777" w:rsidR="00743767" w:rsidRPr="0075041C" w:rsidRDefault="00743767" w:rsidP="0075041C">
      <w:pPr>
        <w:jc w:val="both"/>
        <w:rPr>
          <w:rFonts w:cstheme="minorHAnsi"/>
          <w:color w:val="4472C4" w:themeColor="accent1"/>
          <w:sz w:val="24"/>
          <w:szCs w:val="24"/>
        </w:rPr>
      </w:pPr>
    </w:p>
    <w:p w14:paraId="1237B6C6" w14:textId="561B9141" w:rsidR="00067A51" w:rsidRPr="0075041C" w:rsidRDefault="00067A51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  <w:lang w:val="fr-FR"/>
        </w:rPr>
        <w:t xml:space="preserve">De Maio, N., Schlötterer, C., &amp; Kosiol, C. (2013). 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Linking great </w:t>
      </w:r>
      <w:proofErr w:type="gramStart"/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apes</w:t>
      </w:r>
      <w:proofErr w:type="gramEnd"/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genome evolution across    time scales using polymorphism-aware phylogenetic models.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Molecular biology and evolution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30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(10), 2249-2262.</w:t>
      </w:r>
    </w:p>
    <w:p w14:paraId="658CA564" w14:textId="57E20B1F" w:rsidR="00743767" w:rsidRPr="0075041C" w:rsidRDefault="00910CB4" w:rsidP="0075041C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5041C">
        <w:rPr>
          <w:rFonts w:cstheme="minorHAnsi"/>
          <w:sz w:val="24"/>
          <w:szCs w:val="24"/>
          <w:shd w:val="clear" w:color="auto" w:fill="FFFFFF"/>
        </w:rPr>
        <w:t>Th</w:t>
      </w:r>
      <w:r w:rsidR="00BF3277" w:rsidRPr="0075041C">
        <w:rPr>
          <w:rFonts w:cstheme="minorHAnsi"/>
          <w:sz w:val="24"/>
          <w:szCs w:val="24"/>
          <w:shd w:val="clear" w:color="auto" w:fill="FFFFFF"/>
        </w:rPr>
        <w:t>is is the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first</w:t>
      </w:r>
      <w:r w:rsidR="00E0636D" w:rsidRPr="0075041C">
        <w:rPr>
          <w:rFonts w:cstheme="minorHAnsi"/>
          <w:sz w:val="24"/>
          <w:szCs w:val="24"/>
          <w:shd w:val="clear" w:color="auto" w:fill="FFFFFF"/>
        </w:rPr>
        <w:t xml:space="preserve"> paper </w:t>
      </w:r>
      <w:r w:rsidRPr="0075041C">
        <w:rPr>
          <w:rFonts w:cstheme="minorHAnsi"/>
          <w:sz w:val="24"/>
          <w:szCs w:val="24"/>
          <w:shd w:val="clear" w:color="auto" w:fill="FFFFFF"/>
        </w:rPr>
        <w:t>to</w:t>
      </w:r>
      <w:r w:rsidR="00E0636D" w:rsidRPr="0075041C">
        <w:rPr>
          <w:rFonts w:cstheme="minorHAnsi"/>
          <w:sz w:val="24"/>
          <w:szCs w:val="24"/>
          <w:shd w:val="clear" w:color="auto" w:fill="FFFFFF"/>
        </w:rPr>
        <w:t xml:space="preserve"> introduce PoMo and they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analyzed genome-wide synonymous site alignments of </w:t>
      </w:r>
      <w:r w:rsidR="0075041C" w:rsidRPr="0075041C">
        <w:rPr>
          <w:rFonts w:cstheme="minorHAnsi"/>
          <w:sz w:val="24"/>
          <w:szCs w:val="24"/>
          <w:shd w:val="clear" w:color="auto" w:fill="FFFFFF"/>
        </w:rPr>
        <w:t>humans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75041C" w:rsidRPr="0075041C">
        <w:rPr>
          <w:rFonts w:cstheme="minorHAnsi"/>
          <w:sz w:val="24"/>
          <w:szCs w:val="24"/>
          <w:shd w:val="clear" w:color="auto" w:fill="FFFFFF"/>
        </w:rPr>
        <w:t>chimpanzees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, and two orangutan </w:t>
      </w:r>
      <w:r w:rsidR="007B3250" w:rsidRPr="0075041C">
        <w:rPr>
          <w:rFonts w:cstheme="minorHAnsi"/>
          <w:sz w:val="24"/>
          <w:szCs w:val="24"/>
          <w:shd w:val="clear" w:color="auto" w:fill="FFFFFF"/>
        </w:rPr>
        <w:t>species (</w:t>
      </w:r>
      <w:r w:rsidRPr="0075041C">
        <w:rPr>
          <w:rFonts w:cstheme="minorHAnsi"/>
          <w:sz w:val="24"/>
          <w:szCs w:val="24"/>
          <w:shd w:val="clear" w:color="auto" w:fill="FFFFFF"/>
        </w:rPr>
        <w:t>great apes).</w:t>
      </w:r>
      <w:r w:rsidR="007B3250" w:rsidRPr="0075041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B3250" w:rsidRPr="0075041C">
        <w:rPr>
          <w:rFonts w:cstheme="minorHAnsi"/>
          <w:sz w:val="24"/>
          <w:szCs w:val="24"/>
          <w:shd w:val="clear" w:color="auto" w:fill="FFFFFF"/>
        </w:rPr>
        <w:t xml:space="preserve">Unlike previous approaches, </w:t>
      </w:r>
      <w:proofErr w:type="spellStart"/>
      <w:r w:rsidR="007B3250"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="007B3250" w:rsidRPr="0075041C">
        <w:rPr>
          <w:rFonts w:cstheme="minorHAnsi"/>
          <w:sz w:val="24"/>
          <w:szCs w:val="24"/>
          <w:shd w:val="clear" w:color="auto" w:fill="FFFFFF"/>
        </w:rPr>
        <w:t xml:space="preserve"> can separate mutation rates from fixation biases in shaping genetic differences between species.</w:t>
      </w:r>
      <w:r w:rsidR="007B3250" w:rsidRPr="0075041C">
        <w:rPr>
          <w:rFonts w:cstheme="minorHAnsi"/>
          <w:sz w:val="24"/>
          <w:szCs w:val="24"/>
          <w:shd w:val="clear" w:color="auto" w:fill="FFFFFF"/>
        </w:rPr>
        <w:t xml:space="preserve"> This is a good paper to go through if you want to know how the model works. </w:t>
      </w:r>
    </w:p>
    <w:p w14:paraId="45F582F8" w14:textId="77777777" w:rsidR="00743767" w:rsidRPr="0075041C" w:rsidRDefault="00743767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1D703E67" w14:textId="3904FDFF" w:rsidR="00067A51" w:rsidRPr="0075041C" w:rsidRDefault="00067A51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  <w:lang w:val="fr-FR"/>
        </w:rPr>
        <w:t xml:space="preserve">Schrempf, D., Minh, B. Q., De Maio, N., von Haeseler, A., &amp; Kosiol, C. (2016). 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Reversible polymorphism-aware phylogenetic models and their application to tree inference.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Journal of theoretical biology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407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 362-370.</w:t>
      </w:r>
    </w:p>
    <w:p w14:paraId="6DFFF423" w14:textId="5CE849BC" w:rsidR="00910CB4" w:rsidRPr="0075041C" w:rsidRDefault="00B471E8" w:rsidP="0075041C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5041C">
        <w:rPr>
          <w:rFonts w:cstheme="minorHAnsi"/>
          <w:sz w:val="24"/>
          <w:szCs w:val="24"/>
          <w:shd w:val="clear" w:color="auto" w:fill="FFFFFF"/>
        </w:rPr>
        <w:t>T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he number of populations that could be analyzed with the non-reversible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implementation </w:t>
      </w:r>
      <w:r w:rsidRPr="0075041C">
        <w:rPr>
          <w:rFonts w:cstheme="minorHAnsi"/>
          <w:sz w:val="24"/>
          <w:szCs w:val="24"/>
          <w:shd w:val="clear" w:color="auto" w:fill="FFFFFF"/>
        </w:rPr>
        <w:t>is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limited.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So, this paper talks about a </w:t>
      </w:r>
      <w:r w:rsidR="00910CB4" w:rsidRPr="0075041C">
        <w:rPr>
          <w:rFonts w:cstheme="minorHAnsi"/>
          <w:sz w:val="24"/>
          <w:szCs w:val="24"/>
          <w:shd w:val="clear" w:color="auto" w:fill="FFFFFF"/>
        </w:rPr>
        <w:t>reversible mutation model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which </w:t>
      </w:r>
      <w:r w:rsidR="00910CB4" w:rsidRPr="0075041C">
        <w:rPr>
          <w:rFonts w:cstheme="minorHAnsi"/>
          <w:sz w:val="24"/>
          <w:szCs w:val="24"/>
          <w:shd w:val="clear" w:color="auto" w:fill="FFFFFF"/>
        </w:rPr>
        <w:t xml:space="preserve">expands the scope of applications for </w:t>
      </w:r>
      <w:proofErr w:type="spellStart"/>
      <w:r w:rsidR="00910CB4"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Here they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tested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revPoMo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using simulation studies and real data from great apes, showing that it accurately estimates trees, divergence times, and mutation rates with comparable runtime to standard models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. They show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revPoMo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is a valuable tool for various applications like dating speciation events and reconstructing species trees.</w:t>
      </w:r>
    </w:p>
    <w:p w14:paraId="61299A18" w14:textId="77777777" w:rsidR="00067A51" w:rsidRPr="0075041C" w:rsidRDefault="00067A51" w:rsidP="0075041C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18093AAF" w14:textId="77777777" w:rsidR="0075041C" w:rsidRDefault="0075041C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48D662F0" w14:textId="67F408FA" w:rsidR="00067A51" w:rsidRPr="0075041C" w:rsidRDefault="00067A51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lastRenderedPageBreak/>
        <w:t>Borges, R., &amp; Kosiol, C. (2020). Consistency and identifiability of the polymorphism-aware phylogenetic models.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Journal of Theoretical Biology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486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 110074.</w:t>
      </w:r>
    </w:p>
    <w:p w14:paraId="5DF414FB" w14:textId="623CC0B7" w:rsidR="00067A51" w:rsidRPr="0075041C" w:rsidRDefault="00247B77" w:rsidP="0075041C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5041C">
        <w:rPr>
          <w:rFonts w:cstheme="minorHAnsi"/>
          <w:sz w:val="24"/>
          <w:szCs w:val="24"/>
          <w:shd w:val="clear" w:color="auto" w:fill="FFFFFF"/>
        </w:rPr>
        <w:t xml:space="preserve">This is another paper that talks about effectiveness in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at accurately estimating parameters.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They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show that the maximum a posteriori (MAP) tree estimator of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consistently estimates the species tree.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They 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tested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PoMo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with simulated data representing natural populations with incomplete lineage sorting</w:t>
      </w:r>
      <w:r w:rsidRPr="0075041C">
        <w:rPr>
          <w:rFonts w:cstheme="minorHAnsi"/>
          <w:sz w:val="24"/>
          <w:szCs w:val="24"/>
          <w:shd w:val="clear" w:color="auto" w:fill="FFFFFF"/>
        </w:rPr>
        <w:t xml:space="preserve"> and showed that </w:t>
      </w:r>
      <w:proofErr w:type="spellStart"/>
      <w:r w:rsidRPr="0075041C">
        <w:rPr>
          <w:rFonts w:cstheme="minorHAnsi"/>
          <w:sz w:val="24"/>
          <w:szCs w:val="24"/>
          <w:shd w:val="clear" w:color="auto" w:fill="FFFFFF"/>
        </w:rPr>
        <w:t>PoMo's</w:t>
      </w:r>
      <w:proofErr w:type="spellEnd"/>
      <w:r w:rsidRPr="0075041C">
        <w:rPr>
          <w:rFonts w:cstheme="minorHAnsi"/>
          <w:sz w:val="24"/>
          <w:szCs w:val="24"/>
          <w:shd w:val="clear" w:color="auto" w:fill="FFFFFF"/>
        </w:rPr>
        <w:t xml:space="preserve"> MAP tree accurately recovered the true tree with typical genome-wide data sampling</w:t>
      </w:r>
      <w:r w:rsidRPr="0075041C">
        <w:rPr>
          <w:rFonts w:cstheme="minorHAnsi"/>
          <w:sz w:val="24"/>
          <w:szCs w:val="24"/>
          <w:shd w:val="clear" w:color="auto" w:fill="FFFFFF"/>
        </w:rPr>
        <w:t>.</w:t>
      </w:r>
    </w:p>
    <w:p w14:paraId="386AF99D" w14:textId="77777777" w:rsidR="0075041C" w:rsidRDefault="0075041C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</w:p>
    <w:p w14:paraId="62097216" w14:textId="351D1993" w:rsidR="00067A51" w:rsidRPr="0075041C" w:rsidRDefault="00067A51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Borges, R., Kotari, I., Bergman, J., Chase, M. A., Mugal, C. F., &amp; Kosiol, C. (2022). Traditional phylogenetic models fail to account for variations in the effective population size. </w:t>
      </w:r>
      <w:r w:rsidRPr="0075041C">
        <w:rPr>
          <w:rFonts w:cstheme="minorHAnsi"/>
          <w:i/>
          <w:iCs/>
          <w:color w:val="4472C4" w:themeColor="accent1"/>
          <w:sz w:val="24"/>
          <w:szCs w:val="24"/>
          <w:shd w:val="clear" w:color="auto" w:fill="FFFFFF"/>
        </w:rPr>
        <w:t>bioRxiv</w:t>
      </w:r>
      <w:r w:rsidRPr="0075041C">
        <w:rPr>
          <w:rFonts w:cstheme="minorHAnsi"/>
          <w:color w:val="4472C4" w:themeColor="accent1"/>
          <w:sz w:val="24"/>
          <w:szCs w:val="24"/>
          <w:shd w:val="clear" w:color="auto" w:fill="FFFFFF"/>
        </w:rPr>
        <w:t>, 2022-09.</w:t>
      </w:r>
    </w:p>
    <w:p w14:paraId="4E89519E" w14:textId="7519CB48" w:rsidR="00067A51" w:rsidRPr="0075041C" w:rsidRDefault="005A6332" w:rsidP="0075041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 xml:space="preserve">In this study, </w:t>
      </w: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>they</w:t>
      </w: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 xml:space="preserve"> compared evolutionary rates and times between traditional phylogenetic models and population-genetics-informed models using diverse taxa from animals, plants, and fungi</w:t>
      </w: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>. They talk about how t</w:t>
      </w: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>raditional models struggle to establish meaningful distances between closely related taxa due to unaccounted-for variations in effective population size, leading to errors in phylogenetic inference</w:t>
      </w:r>
      <w:r w:rsidRPr="0075041C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6A3E46A2" w14:textId="77777777" w:rsidR="0075041C" w:rsidRDefault="0075041C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</w:rPr>
      </w:pPr>
    </w:p>
    <w:p w14:paraId="60751221" w14:textId="7AF6D45F" w:rsidR="00067A51" w:rsidRPr="0075041C" w:rsidRDefault="003556C2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</w:rPr>
      </w:pPr>
      <w:r w:rsidRPr="0075041C">
        <w:rPr>
          <w:rFonts w:cstheme="minorHAnsi"/>
          <w:color w:val="4472C4" w:themeColor="accent1"/>
          <w:sz w:val="24"/>
          <w:szCs w:val="24"/>
        </w:rPr>
        <w:t xml:space="preserve">Sanderson, M. J., </w:t>
      </w:r>
      <w:proofErr w:type="spellStart"/>
      <w:r w:rsidRPr="0075041C">
        <w:rPr>
          <w:rFonts w:cstheme="minorHAnsi"/>
          <w:color w:val="4472C4" w:themeColor="accent1"/>
          <w:sz w:val="24"/>
          <w:szCs w:val="24"/>
        </w:rPr>
        <w:t>Búrquez</w:t>
      </w:r>
      <w:proofErr w:type="spellEnd"/>
      <w:r w:rsidRPr="0075041C">
        <w:rPr>
          <w:rFonts w:cstheme="minorHAnsi"/>
          <w:color w:val="4472C4" w:themeColor="accent1"/>
          <w:sz w:val="24"/>
          <w:szCs w:val="24"/>
        </w:rPr>
        <w:t xml:space="preserve">, A., Copetti, D., McMahon, M. M., Zeng, Y., &amp; Wojciechowski, M. F. (2022). Origin and diversification of the saguaro cactus (Carnegiea gigantea): a within-species phylogenomic analysis. </w:t>
      </w:r>
      <w:r w:rsidRPr="0075041C">
        <w:rPr>
          <w:rFonts w:cstheme="minorHAnsi"/>
          <w:i/>
          <w:iCs/>
          <w:color w:val="4472C4" w:themeColor="accent1"/>
          <w:sz w:val="24"/>
          <w:szCs w:val="24"/>
        </w:rPr>
        <w:t>Systematic biology</w:t>
      </w:r>
      <w:r w:rsidRPr="0075041C">
        <w:rPr>
          <w:rFonts w:cstheme="minorHAnsi"/>
          <w:color w:val="4472C4" w:themeColor="accent1"/>
          <w:sz w:val="24"/>
          <w:szCs w:val="24"/>
        </w:rPr>
        <w:t>, 71(5), 1178-1194.</w:t>
      </w:r>
    </w:p>
    <w:p w14:paraId="1A53E63D" w14:textId="328ECB5C" w:rsidR="003556C2" w:rsidRPr="0075041C" w:rsidRDefault="003556C2" w:rsidP="0075041C">
      <w:pPr>
        <w:ind w:left="720" w:hanging="720"/>
        <w:jc w:val="both"/>
        <w:rPr>
          <w:rFonts w:cstheme="minorHAnsi"/>
          <w:color w:val="4472C4" w:themeColor="accent1"/>
          <w:sz w:val="24"/>
          <w:szCs w:val="24"/>
        </w:rPr>
      </w:pPr>
      <w:r w:rsidRPr="0075041C">
        <w:rPr>
          <w:rFonts w:cstheme="minorHAnsi"/>
          <w:color w:val="4472C4" w:themeColor="accent1"/>
          <w:sz w:val="24"/>
          <w:szCs w:val="24"/>
        </w:rPr>
        <w:t xml:space="preserve">Rogers, J., Raveendran, M., Harris, R. A., Mailund, T., Leppälä, K., Athanasiadis, G., ... &amp; Baboon Genome Analysis Consortium. (2019). The comparative genomics and complex population history of Papio baboons. </w:t>
      </w:r>
      <w:r w:rsidRPr="0075041C">
        <w:rPr>
          <w:rFonts w:cstheme="minorHAnsi"/>
          <w:i/>
          <w:iCs/>
          <w:color w:val="4472C4" w:themeColor="accent1"/>
          <w:sz w:val="24"/>
          <w:szCs w:val="24"/>
        </w:rPr>
        <w:t>Science Advances</w:t>
      </w:r>
      <w:r w:rsidRPr="0075041C">
        <w:rPr>
          <w:rFonts w:cstheme="minorHAnsi"/>
          <w:color w:val="4472C4" w:themeColor="accent1"/>
          <w:sz w:val="24"/>
          <w:szCs w:val="24"/>
        </w:rPr>
        <w:t>, 5(1), eaau6947.</w:t>
      </w:r>
    </w:p>
    <w:p w14:paraId="0513E2D3" w14:textId="35AA405F" w:rsidR="003556C2" w:rsidRPr="0075041C" w:rsidRDefault="003556C2" w:rsidP="0075041C">
      <w:pPr>
        <w:jc w:val="both"/>
        <w:rPr>
          <w:rFonts w:cstheme="minorHAnsi"/>
          <w:sz w:val="24"/>
          <w:szCs w:val="24"/>
        </w:rPr>
      </w:pPr>
      <w:r w:rsidRPr="0075041C">
        <w:rPr>
          <w:rFonts w:cstheme="minorHAnsi"/>
          <w:sz w:val="24"/>
          <w:szCs w:val="24"/>
        </w:rPr>
        <w:t xml:space="preserve">These two papers are empirical examples where </w:t>
      </w:r>
      <w:proofErr w:type="spellStart"/>
      <w:r w:rsidRPr="0075041C">
        <w:rPr>
          <w:rFonts w:cstheme="minorHAnsi"/>
          <w:sz w:val="24"/>
          <w:szCs w:val="24"/>
        </w:rPr>
        <w:t>PoMo</w:t>
      </w:r>
      <w:proofErr w:type="spellEnd"/>
      <w:r w:rsidRPr="0075041C">
        <w:rPr>
          <w:rFonts w:cstheme="minorHAnsi"/>
          <w:sz w:val="24"/>
          <w:szCs w:val="24"/>
        </w:rPr>
        <w:t xml:space="preserve"> is applied. </w:t>
      </w:r>
      <w:r w:rsidR="005A6332" w:rsidRPr="0075041C">
        <w:rPr>
          <w:rFonts w:cstheme="minorHAnsi"/>
          <w:sz w:val="24"/>
          <w:szCs w:val="24"/>
        </w:rPr>
        <w:t xml:space="preserve">In </w:t>
      </w:r>
      <w:proofErr w:type="gramStart"/>
      <w:r w:rsidR="005A6332" w:rsidRPr="0075041C">
        <w:rPr>
          <w:rFonts w:cstheme="minorHAnsi"/>
          <w:sz w:val="24"/>
          <w:szCs w:val="24"/>
        </w:rPr>
        <w:t>both of these</w:t>
      </w:r>
      <w:proofErr w:type="gramEnd"/>
      <w:r w:rsidR="005A6332" w:rsidRPr="0075041C">
        <w:rPr>
          <w:rFonts w:cstheme="minorHAnsi"/>
          <w:sz w:val="24"/>
          <w:szCs w:val="24"/>
        </w:rPr>
        <w:t xml:space="preserve"> papers the model organisms show </w:t>
      </w:r>
      <w:r w:rsidR="0075041C" w:rsidRPr="0075041C">
        <w:rPr>
          <w:rFonts w:cstheme="minorHAnsi"/>
          <w:sz w:val="24"/>
          <w:szCs w:val="24"/>
        </w:rPr>
        <w:t xml:space="preserve">hybridization and thus </w:t>
      </w:r>
      <w:proofErr w:type="spellStart"/>
      <w:r w:rsidR="0075041C" w:rsidRPr="0075041C">
        <w:rPr>
          <w:rFonts w:cstheme="minorHAnsi"/>
          <w:sz w:val="24"/>
          <w:szCs w:val="24"/>
        </w:rPr>
        <w:t>PoMo</w:t>
      </w:r>
      <w:proofErr w:type="spellEnd"/>
      <w:r w:rsidR="0075041C" w:rsidRPr="0075041C">
        <w:rPr>
          <w:rFonts w:cstheme="minorHAnsi"/>
          <w:sz w:val="24"/>
          <w:szCs w:val="24"/>
        </w:rPr>
        <w:t xml:space="preserve"> is used as a model to account for </w:t>
      </w:r>
      <w:r w:rsidR="0075041C" w:rsidRPr="0075041C">
        <w:rPr>
          <w:rFonts w:cstheme="minorHAnsi"/>
          <w:sz w:val="24"/>
          <w:szCs w:val="24"/>
        </w:rPr>
        <w:t>current and possible ancient polymorphism</w:t>
      </w:r>
      <w:r w:rsidR="0075041C" w:rsidRPr="0075041C">
        <w:rPr>
          <w:rFonts w:cstheme="minorHAnsi"/>
          <w:sz w:val="24"/>
          <w:szCs w:val="24"/>
        </w:rPr>
        <w:t xml:space="preserve"> when doing the phylogenetic analysis. </w:t>
      </w:r>
    </w:p>
    <w:sectPr w:rsidR="003556C2" w:rsidRPr="0075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1"/>
    <w:rsid w:val="00067A51"/>
    <w:rsid w:val="000904DC"/>
    <w:rsid w:val="00247B77"/>
    <w:rsid w:val="002B5828"/>
    <w:rsid w:val="003556C2"/>
    <w:rsid w:val="005A6332"/>
    <w:rsid w:val="006774AC"/>
    <w:rsid w:val="00743767"/>
    <w:rsid w:val="0075041C"/>
    <w:rsid w:val="007B3250"/>
    <w:rsid w:val="00910CB4"/>
    <w:rsid w:val="00B471E8"/>
    <w:rsid w:val="00BF3277"/>
    <w:rsid w:val="00C51A01"/>
    <w:rsid w:val="00E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31B3"/>
  <w15:docId w15:val="{C26A560A-3EF8-43C9-BFA0-4786E0AC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E8CE-618C-4A01-AE09-5564D853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Amarasinghe</dc:creator>
  <cp:keywords/>
  <dc:description/>
  <cp:lastModifiedBy>Bhagya Amarasinghe</cp:lastModifiedBy>
  <cp:revision>2</cp:revision>
  <dcterms:created xsi:type="dcterms:W3CDTF">2024-03-06T16:23:00Z</dcterms:created>
  <dcterms:modified xsi:type="dcterms:W3CDTF">2024-03-06T16:23:00Z</dcterms:modified>
</cp:coreProperties>
</file>