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spacing w:before="20" w:after="20" w:line="227" w:lineRule="exact"/>
        <w:ind w:left="0" w:right="0" w:firstLine="0"/>
      </w:pPr>
      <w:bookmarkStart w:id="1" w:name="_Toc000000001"/>
      <w:r>
        <w:fldChar w:fldCharType="begin"/>
      </w:r>
      <w:r>
        <w:instrText xml:space="preserve"> TC "Table 1.1 Adverse Events of Special Interest (Defined by Sponsor’s PT) by System Organ Class (SOC) and Preferred Term (PT): Infections. Placebo-Controlled Period. Pool #2a." \l 1 </w:instrText>
      </w:r>
      <w:r>
        <w:fldChar w:fldCharType="separate"/>
      </w:r>
      <w:r>
        <w:fldChar w:fldCharType="end"/>
      </w:r>
      <w:bookmarkEnd w:id="1"/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25"/>
        <w:gridCol w:w="1778"/>
        <w:gridCol w:w="1778"/>
        <w:gridCol w:w="1778"/>
        <w:gridCol w:w="1778"/>
      </w:tblGrid>
      <w:tr>
        <w:trPr>
          <w:tblHeader/>
          <w:cantSplit/>
          <w:trHeight w:val="528" w:hRule="exact"/>
        </w:trPr>
        <w:tc>
          <w:tcPr>
            <w:tcW w:w="2125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7114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125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244" w:hRule="exact"/>
        </w:trPr>
        <w:tc>
          <w:tcPr>
            <w:tcW w:w="9239" w:type="dxa"/>
            <w:gridSpan w:val="5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621" w:hRule="exact"/>
        </w:trPr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171 (21.3)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145 (19.1)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316 (20.2)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101 (23.5)</w:t>
            </w:r>
          </w:p>
        </w:tc>
      </w:tr>
      <w:tr>
        <w:trPr>
          <w:cantSplit/>
          <w:trHeight w:val="621" w:hRule="exact"/>
        </w:trPr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171 (21.3)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145 (19.1)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316 (20.2)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101 (23.5)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Abdominal abscess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Abscess limb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Acute sinusitis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(0.2)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Bacterial vaginosis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Body tinea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25"/>
        <w:gridCol w:w="2371"/>
        <w:gridCol w:w="2371"/>
        <w:gridCol w:w="2371"/>
      </w:tblGrid>
      <w:tr>
        <w:trPr>
          <w:tblHeader/>
          <w:cantSplit/>
          <w:trHeight w:val="528" w:hRule="exact"/>
        </w:trPr>
        <w:tc>
          <w:tcPr>
            <w:tcW w:w="2125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7114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125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244" w:hRule="exact"/>
        </w:trPr>
        <w:tc>
          <w:tcPr>
            <w:tcW w:w="923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621" w:hRule="exact"/>
        </w:trPr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-2.22 [-7.13, 2.52]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-4.26 [-9.14, 0.44]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-3.17 [-7.66, 1.01]</w:t>
            </w:r>
          </w:p>
        </w:tc>
      </w:tr>
      <w:tr>
        <w:trPr>
          <w:cantSplit/>
          <w:trHeight w:val="621" w:hRule="exact"/>
        </w:trPr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-2.22 [-7.13, 2.52]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-4.26 [-9.14, 0.44]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-3.17 [-7.66, 1.01]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Abdominal abscess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Abscess limb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Acute sinusitis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-0.01 [-1.08, 0.68]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-0.11 [-1.17, 0.54]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-0.06 [-1.1, 0.36]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Bacterial vaginosis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Body tinea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-0.47 [-1.66, -0.01]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-0.35 [-1.55, 0.33]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 [-1.58, 0]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25"/>
        <w:gridCol w:w="1778"/>
        <w:gridCol w:w="1778"/>
        <w:gridCol w:w="1778"/>
        <w:gridCol w:w="1778"/>
      </w:tblGrid>
      <w:tr>
        <w:trPr>
          <w:tblHeader/>
          <w:cantSplit/>
          <w:trHeight w:val="528" w:hRule="exact"/>
        </w:trPr>
        <w:tc>
          <w:tcPr>
            <w:tcW w:w="2125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7114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125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Breast abscess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 (1)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 (1.8)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 (1.4)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(2.2)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 bacterial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Candida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Cellulitis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 (0.5)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Chikungunya virus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 (0.8)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 (0.6)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 viral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25"/>
        <w:gridCol w:w="2371"/>
        <w:gridCol w:w="2371"/>
        <w:gridCol w:w="2371"/>
      </w:tblGrid>
      <w:tr>
        <w:trPr>
          <w:tblHeader/>
          <w:cantSplit/>
          <w:trHeight w:val="528" w:hRule="exact"/>
        </w:trPr>
        <w:tc>
          <w:tcPr>
            <w:tcW w:w="2125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7114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125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Breast abscess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-1.23 [-3.15, 0.11]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-0.36 [-2.29, 1.15]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-0.75 [-2.59, 0.43]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 bacterial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[-0.76, 0.7]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Candida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Cellulitis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-0.01 [-1.25, 0.86]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0.02 [-1.22, 0.93]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0.01 [-1.2, 0.62]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Chikungunya virus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0.47 [-0.42, 1.27]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0.8 [-0.06, 1.76]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0.62 [-0.24, 1.18]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 viral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25"/>
        <w:gridCol w:w="1778"/>
        <w:gridCol w:w="1778"/>
        <w:gridCol w:w="1778"/>
        <w:gridCol w:w="1778"/>
      </w:tblGrid>
      <w:tr>
        <w:trPr>
          <w:tblHeader/>
          <w:cantSplit/>
          <w:trHeight w:val="528" w:hRule="exact"/>
        </w:trPr>
        <w:tc>
          <w:tcPr>
            <w:tcW w:w="2125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7114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125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Cystitis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(0.4)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(0.3)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Ear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Epstein-Barr virus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Erysipelas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(0.2)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Eyelid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Folliculitis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foot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25"/>
        <w:gridCol w:w="2371"/>
        <w:gridCol w:w="2371"/>
        <w:gridCol w:w="2371"/>
      </w:tblGrid>
      <w:tr>
        <w:trPr>
          <w:tblHeader/>
          <w:cantSplit/>
          <w:trHeight w:val="528" w:hRule="exact"/>
        </w:trPr>
        <w:tc>
          <w:tcPr>
            <w:tcW w:w="2125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7114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125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Cystitis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0.42 [-0.41, 1.19]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0.25 [-0.62, 0.96]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0.34 [-0.51, 0.79]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Ear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Epstein-Barr virus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0.18 [-0.64, 0.85]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 [-0.74, 0.44]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Erysipelas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0.3 [-0.52, 1.05]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0.22 [-0.62, 0.62]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[-0.76, 0.7]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Eyelid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Folliculitis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foot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25"/>
        <w:gridCol w:w="1778"/>
        <w:gridCol w:w="1778"/>
        <w:gridCol w:w="1778"/>
        <w:gridCol w:w="1778"/>
      </w:tblGrid>
      <w:tr>
        <w:trPr>
          <w:tblHeader/>
          <w:cantSplit/>
          <w:trHeight w:val="528" w:hRule="exact"/>
        </w:trPr>
        <w:tc>
          <w:tcPr>
            <w:tcW w:w="2125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7114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125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skin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Gastric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(0.6)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 (0.4)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(1.1)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 viral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Gastrointestinal viral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Gingivitis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gastritis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25"/>
        <w:gridCol w:w="2371"/>
        <w:gridCol w:w="2371"/>
        <w:gridCol w:w="2371"/>
      </w:tblGrid>
      <w:tr>
        <w:trPr>
          <w:tblHeader/>
          <w:cantSplit/>
          <w:trHeight w:val="528" w:hRule="exact"/>
        </w:trPr>
        <w:tc>
          <w:tcPr>
            <w:tcW w:w="2125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7114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125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skin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Gastric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-0.55 [-2.09, 0.49]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-0.88 [-2.38, 0.01]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-0.72 [-2.2, 0.08]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 viral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-0.47 [-1.66, -0.01]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-0.23 [-1.44, 0.51]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-0.35 [-1.53, 0.1]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Gastrointestinal viral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0.21 [-0.67, 0.88]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0.48]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Gingivitis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gastritis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25"/>
        <w:gridCol w:w="1778"/>
        <w:gridCol w:w="1778"/>
        <w:gridCol w:w="1778"/>
        <w:gridCol w:w="1778"/>
      </w:tblGrid>
      <w:tr>
        <w:trPr>
          <w:tblHeader/>
          <w:cantSplit/>
          <w:trHeight w:val="528" w:hRule="exact"/>
        </w:trPr>
        <w:tc>
          <w:tcPr>
            <w:tcW w:w="2125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7114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125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1778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infection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dermatitis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ophthalmic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simplex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1778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25"/>
        <w:gridCol w:w="2371"/>
        <w:gridCol w:w="2371"/>
        <w:gridCol w:w="2371"/>
      </w:tblGrid>
      <w:tr>
        <w:trPr>
          <w:tblHeader/>
          <w:cantSplit/>
          <w:trHeight w:val="528" w:hRule="exact"/>
        </w:trPr>
        <w:tc>
          <w:tcPr>
            <w:tcW w:w="2125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7114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125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0.25 [-0.62, 0.96]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[-0.73, 0.47]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dermatitis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ophthalmic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621" w:hRule="exact"/>
        </w:trPr>
        <w:tc>
          <w:tcPr>
            <w:tcW w:w="212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simplex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-0.12 [-1.18, 0.51]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-0.24 [-1.28, 0.27]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-0.17 [-1.21, 0.18]</w:t>
            </w:r>
          </w:p>
        </w:tc>
      </w:tr>
    </w:tbl>
    <w:sectPr>
      <w:headerReference w:type="default" r:id="rId4"/>
      <w:footerReference w:type="default" r:id="rId5"/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>
  <w:p>
    <w:pPr>
      <w:jc w:val="left"/>
      <w:spacing w:before="100" w:after="0" w:line="179" w:lineRule="exact"/>
      <w:ind w:left="2307" w:right="2307" w:firstLine="0"/>
    </w:pPr>
    <w:r>
      <w:rPr>
        <w:rFonts w:ascii="Arial" w:hAnsi="Arial" w:cs="Arial"/>
        <w:i/>
        <w:iCs/>
        <w:sz w:val="16"/>
        <w:szCs w:val="16"/>
        <w:color w:val="000000"/>
      </w:rPr>
      <w:t xml:space="preserve">Abbreviations: AE, adverse event; AESI, adverse event of special interest; CI, confidence interval; OKZ, Olokizumab; N, number of patients in treatment arm; n, number of patients with at least one adverse event</w:t>
    </w:r>
  </w:p>
  <w:p>
    <w:pPr>
      <w:jc w:val="left"/>
      <w:spacing w:before="100" w:after="0" w:line="179" w:lineRule="exact"/>
      <w:ind w:left="2307" w:right="2307" w:firstLine="0"/>
    </w:pPr>
    <w:r>
      <w:rPr>
        <w:rFonts w:ascii="Arial" w:hAnsi="Arial" w:cs="Arial"/>
        <w:i/>
        <w:iCs/>
        <w:sz w:val="16"/>
        <w:szCs w:val="16"/>
        <w:color w:val="000000"/>
      </w:rPr>
      <w:t xml:space="preserve">Note: MedDRA version 25.1</w:t>
    </w:r>
  </w:p>
  <w:p>
    <w:pPr>
      <w:jc w:val="left"/>
      <w:spacing w:before="100" w:after="0" w:line="179" w:lineRule="exact"/>
      <w:ind w:left="2307" w:right="2307" w:firstLine="0"/>
    </w:pPr>
    <w:r>
      <w:rPr>
        <w:rFonts w:ascii="Arial" w:hAnsi="Arial" w:cs="Arial"/>
        <w:i/>
        <w:iCs/>
        <w:sz w:val="16"/>
        <w:szCs w:val="16"/>
        <w:color w:val="000000"/>
      </w:rPr>
      <w:t xml:space="preserve">Note: OKZ Low dose = Olokizumab sc 64 mg q4w</w:t>
    </w:r>
  </w:p>
  <w:p>
    <w:pPr>
      <w:jc w:val="left"/>
      <w:spacing w:before="100" w:after="0" w:line="179" w:lineRule="exact"/>
      <w:ind w:left="2307" w:right="2307" w:firstLine="0"/>
    </w:pPr>
    <w:r>
      <w:rPr>
        <w:rFonts w:ascii="Arial" w:hAnsi="Arial" w:cs="Arial"/>
        <w:i/>
        <w:iCs/>
        <w:sz w:val="16"/>
        <w:szCs w:val="16"/>
        <w:color w:val="000000"/>
      </w:rPr>
      <w:t xml:space="preserve">Note: OKZ High dose = Olokizumab sc 64 mg q2w</w:t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i/>
        <w:iCs/>
        <w:sz w:val="18"/>
        <w:szCs w:val="18"/>
        <w:color w:val="000000"/>
      </w:rPr>
      <w:t xml:space="preserve">Example Outputs</w:t>
    </w:r>
    <w:r>
      <w:tab/>
    </w:r>
    <w:r>
      <w:tab/>
    </w:r>
    <w:r>
      <w:rPr>
        <w:rFonts w:ascii="Courier New" w:hAnsi="Courier New" w:cs="Courier New"/>
        <w:i/>
        <w:iCs/>
        <w:sz w:val="18"/>
        <w:szCs w:val="18"/>
        <w:color w:val="000000"/>
      </w:rPr>
      <w:t xml:space="preserve">For presentation purposes</w:t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Program: some_program.R</w:t>
    </w:r>
    <w:r>
      <w:tab/>
    </w:r>
    <w:r>
      <w:tab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KeyStat LLC.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CONFIDENTIAL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Courier New" w:hAnsi="Courier New" w:cs="Courier New"/>
        <w:sz w:val="18"/>
        <w:szCs w:val="18"/>
        <w:color w:val="00000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Study: Miracle Drug 001</w:t>
    </w:r>
    <w:r>
      <w:tab/>
    </w:r>
    <w: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tabs>
        <w:tab w:val="right" w:leader="dot" w:pos="15398"/>
      </w:tabs>
    </w:pPr>
  </w:style>
  <w:style w:type="paragraph" w:styleId="TOC2">
    <w:name w:val="toc 2"/>
    <w:basedOn w:val="Normal"/>
    <w:pPr>
      <w:ind w:left="360"/>
      <w:tabs>
        <w:tab w:val="right" w:leader="dot" w:pos="15398"/>
      </w:tabs>
    </w:pPr>
  </w:style>
  <w:style w:type="paragraph" w:styleId="TOC3">
    <w:name w:val="toc 3"/>
    <w:basedOn w:val="Normal"/>
    <w:pPr>
      <w:ind w:left="720"/>
      <w:tabs>
        <w:tab w:val="right" w:leader="dot" w:pos="15398"/>
      </w:tabs>
    </w:pPr>
  </w:style>
  <w:style w:type="paragraph" w:styleId="TOC4">
    <w:name w:val="toc 4"/>
    <w:basedOn w:val="Normal"/>
    <w:pPr>
      <w:ind w:left="1080"/>
      <w:tabs>
        <w:tab w:val="right" w:leader="dot" w:pos="15398"/>
      </w:tabs>
    </w:pPr>
  </w:style>
  <w:style w:type="paragraph" w:styleId="TOC5">
    <w:name w:val="toc 5"/>
    <w:basedOn w:val="Normal"/>
    <w:pPr>
      <w:ind w:left="1440"/>
      <w:tabs>
        <w:tab w:val="right" w:leader="dot" w:pos="15398"/>
      </w:tabs>
    </w:pPr>
  </w:style>
  <w:style w:type="paragraph" w:styleId="TOC6">
    <w:name w:val="toc 6"/>
    <w:basedOn w:val="Normal"/>
    <w:pPr>
      <w:ind w:left="1800"/>
      <w:tabs>
        <w:tab w:val="right" w:leader="dot" w:pos="15398"/>
      </w:tabs>
    </w:pPr>
  </w:style>
  <w:style w:type="paragraph" w:styleId="TOC7">
    <w:name w:val="toc 7"/>
    <w:basedOn w:val="Normal"/>
    <w:pPr>
      <w:ind w:left="2160"/>
      <w:tabs>
        <w:tab w:val="right" w:leader="dot" w:pos="15398"/>
      </w:tabs>
    </w:pPr>
  </w:style>
  <w:style w:type="paragraph" w:styleId="TOC8">
    <w:name w:val="toc 8"/>
    <w:basedOn w:val="Normal"/>
    <w:pPr>
      <w:ind w:left="2520"/>
      <w:tabs>
        <w:tab w:val="right" w:leader="dot" w:pos="15398"/>
      </w:tabs>
    </w:pPr>
  </w:style>
  <w:style w:type="paragraph" w:styleId="TOC9">
    <w:name w:val="toc 9"/>
    <w:basedOn w:val="Normal"/>
    <w:pPr>
      <w:ind w:left="2880"/>
      <w:tabs>
        <w:tab w:val="right" w:leader="dot" w:pos="15398"/>
      </w:tabs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2.xml"/></Relationships>
</file>