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>
  <w:body>
    <w:p>
      <w:r>
        <w:rPr>
          <w:b/>
        </w:rPr>
        <w:t xml:space="preserve">Table of Contents</w:t>
      </w:r>
    </w:p>
    <w:p>
      <w:r>
        <w:fldChar w:fldCharType="begin"/>
      </w:r>
      <w:r>
        <w:instrText xml:space="preserve"> TOC \f \h \z </w:instrText>
      </w:r>
      <w:r>
        <w:fldChar w:fldCharType="separate"/>
      </w:r>
      <w:r>
        <w:rPr>
          <w:noProof/>
        </w:rPr>
      </w:r>
      <w:r>
        <w:fldChar w:fldCharType="end"/>
      </w:r>
    </w:p>
    <w:p>
      <w:pPr>
        <w:sectPr>
          <w:type w:val="nextPage"/>
          <w:headerReference w:type="default" r:id="rId4"/>
          <w:footerReference w:type="default" r:id="rId5"/>
          <w:pgSz w:w="16838" w:h="11906" w:orient="landscape"/>
          <w:pgMar w:top="1080" w:bottom="1080" w:left="720" w:right="720" w:header="504" w:footer="504"/>
        </w:sectPr>
      </w:pPr>
    </w:p>
    <w:p>
      <w:pPr>
        <w:jc w:val="center"/>
        <w:spacing w:before="0" w:after="80" w:line="295" w:lineRule="exact"/>
        <w:ind w:left="0" w:right="0" w:firstLine="0"/>
      </w:pPr>
      <w:bookmarkStart w:id="1" w:name="_Toc000000001"/>
      <w:r>
        <w:fldChar w:fldCharType="begin"/>
      </w:r>
      <w:r>
        <w:instrText xml:space="preserve"> TC "Таблица 1.2 Демографические и другие исходные характеристики" \l 1 </w:instrText>
      </w:r>
      <w:r>
        <w:fldChar w:fldCharType="separate"/>
      </w:r>
      <w:r>
        <w:fldChar w:fldCharType="end"/>
      </w:r>
      <w:bookmarkEnd w:id="1"/>
      <w:r>
        <w:rPr>
          <w:rFonts w:ascii="Arial" w:hAnsi="Arial" w:cs="Arial"/>
          <w:b/>
          <w:bCs/>
          <w:sz w:val="22"/>
          <w:szCs w:val="22"/>
          <w:color w:val="1B3C5E"/>
        </w:rPr>
        <w:t xml:space="preserve">Таблица 1.2</w:t>
      </w:r>
    </w:p>
    <w:p>
      <w:pPr>
        <w:jc w:val="center"/>
        <w:spacing w:before="0" w:after="80" w:line="295" w:lineRule="exact"/>
        <w:ind w:left="0" w:right="0" w:firstLine="0"/>
      </w:pPr>
      <w:r>
        <w:rPr>
          <w:rFonts w:ascii="Arial" w:hAnsi="Arial" w:cs="Arial"/>
          <w:b/>
          <w:bCs/>
          <w:sz w:val="22"/>
          <w:szCs w:val="22"/>
          <w:color w:val="1B3C5E"/>
        </w:rPr>
        <w:t xml:space="preserve">Демографические и другие исходные характеристики</w:t>
      </w:r>
    </w:p>
    <w:p>
      <w:pPr>
        <w:jc w:val="center"/>
        <w:spacing w:before="0" w:after="80" w:line="295" w:lineRule="exact"/>
        <w:ind w:left="0" w:right="0" w:firstLine="0"/>
      </w:pPr>
      <w:r>
        <w:rPr>
          <w:rFonts w:ascii="Arial" w:hAnsi="Arial" w:cs="Arial"/>
          <w:b/>
          <w:bCs/>
          <w:i/>
          <w:iCs/>
          <w:sz w:val="22"/>
          <w:szCs w:val="22"/>
          <w:color w:val="1B3C5E"/>
        </w:rPr>
        <w:t xml:space="preserve">Популяция FAS</w:t>
      </w:r>
    </w:p>
    <w:tbl>
      <w:tblPr>
        <w:tblLayout w:type="fixed"/>
        <w:tblW w:w="11548" w:type="dxa"/>
        <w:jc w:val="center"/>
        <w:tblCellMar>
          <w:top w:w="0" w:type="dxa"/>
          <w:bottom w:w="0" w:type="dxa"/>
          <w:left w:w="80" w:type="dxa"/>
          <w:right w:w="80" w:type="dxa"/>
        </w:tblCellMar>
      </w:tblPr>
      <w:tblGrid>
        <w:gridCol w:w="6352"/>
        <w:gridCol w:w="1732"/>
        <w:gridCol w:w="1732"/>
        <w:gridCol w:w="1732"/>
      </w:tblGrid>
      <w:tr>
        <w:trPr>
          <w:tblHeader/>
          <w:cantSplit/>
          <w:trHeight w:val="893" w:hRule="exact"/>
        </w:trPr>
        <w:tc>
          <w:tcPr>
            <w:tcW w:w="6352" w:type="dxa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Параметр</w:t>
            </w:r>
          </w:p>
          <w:p>
            <w:pPr>
              <w:jc w:val="left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  Статистика</w:t>
            </w:r>
          </w:p>
        </w:tc>
        <w:tc>
          <w:tcPr>
            <w:tcW w:w="1732" w:type="dxa"/>
            <w:vAlign w:val="center"/>
            <w:shd w:val="clear" w:color="auto" w:fill="1B3C5E"/>
            <w:textDirection w:val="btLr"/>
            <w:noWrap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RPH-104</w:t>
            </w:r>
          </w:p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(N=16)</w:t>
            </w:r>
          </w:p>
        </w:tc>
        <w:tc>
          <w:tcPr>
            <w:tcW w:w="1732" w:type="dxa"/>
            <w:vAlign w:val="center"/>
            <w:shd w:val="clear" w:color="auto" w:fill="1B3C5E"/>
            <w:textDirection w:val="btLr"/>
            <w:noWrap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Плацебо</w:t>
            </w:r>
          </w:p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(N=17)</w:t>
            </w:r>
          </w:p>
        </w:tc>
        <w:tc>
          <w:tcPr>
            <w:tcW w:w="1732" w:type="dxa"/>
            <w:vAlign w:val="center"/>
            <w:shd w:val="clear" w:color="auto" w:fill="1B3C5E"/>
            <w:textDirection w:val="btLr"/>
            <w:noWrap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Всего</w:t>
            </w:r>
          </w:p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(N=33)</w:t>
            </w:r>
          </w:p>
        </w:tc>
      </w:tr>
      <w:tr>
        <w:trPr>
          <w:cantSplit/>
          <w:trHeight w:val="311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1A1A2E"/>
              </w:rPr>
              <w:t xml:space="preserve">Возраст (лет)</w:t>
            </w:r>
          </w:p>
        </w:tc>
      </w:tr>
      <w:tr>
        <w:trPr>
          <w:cantSplit/>
          <w:trHeight w:val="311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n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16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17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33</w:t>
            </w:r>
          </w:p>
        </w:tc>
      </w:tr>
      <w:tr>
        <w:trPr>
          <w:cantSplit/>
          <w:trHeight w:val="311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Сред. (СО)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30.9 (11.3)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41.6 (11.9)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36.4 (12.6)</w:t>
            </w:r>
          </w:p>
        </w:tc>
      </w:tr>
      <w:tr>
        <w:trPr>
          <w:cantSplit/>
          <w:trHeight w:val="311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Медиана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28.0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40.0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33.0</w:t>
            </w:r>
          </w:p>
        </w:tc>
      </w:tr>
      <w:tr>
        <w:trPr>
          <w:cantSplit/>
          <w:trHeight w:val="311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Q1; Q3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22.5; 36.5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33.0; 48.0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26.0; 45.0</w:t>
            </w:r>
          </w:p>
        </w:tc>
      </w:tr>
      <w:tr>
        <w:trPr>
          <w:cantSplit/>
          <w:trHeight w:val="311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Мин.; Макс.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18; 57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21; 59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18; 59</w:t>
            </w:r>
          </w:p>
        </w:tc>
      </w:tr>
      <w:tr>
        <w:trPr>
          <w:cantSplit/>
          <w:trHeight w:val="311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i/>
                <w:iCs/>
                <w:sz w:val="18"/>
                <w:szCs w:val="18"/>
                <w:color w:val="1A1A2E"/>
              </w:rPr>
              <w:t xml:space="preserve">p-величина (ANOVA μ₁=μ₂)</w:t>
            </w:r>
          </w:p>
        </w:tc>
        <w:tc>
          <w:tcPr>
            <w:tcW w:w="3465" w:type="dxa"/>
            <w:gridSpan w:val="2"/>
            <w:vAlign w:val="center"/>
            <w:tcBorders>
              <w:top w:val="single" w:sz="4" w:color="000000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i/>
                <w:iCs/>
                <w:sz w:val="18"/>
                <w:szCs w:val="18"/>
                <w:color w:val="1A1A2E"/>
              </w:rPr>
              <w:t xml:space="preserve">0.013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</w:p>
        </w:tc>
      </w:tr>
      <w:tr>
        <w:trPr>
          <w:cantSplit/>
          <w:trHeight w:val="80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0" w:right="0" w:firstLine="0"/>
            </w:pPr>
          </w:p>
        </w:tc>
      </w:tr>
      <w:tr>
        <w:trPr>
          <w:cantSplit/>
          <w:trHeight w:val="311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1A1A2E"/>
              </w:rPr>
              <w:t xml:space="preserve">Пол</w:t>
            </w:r>
          </w:p>
        </w:tc>
      </w:tr>
      <w:tr>
        <w:trPr>
          <w:cantSplit/>
          <w:trHeight w:val="311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Женский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6 ( 37.5%)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7 ( 41.2%)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13 ( 39.4%)</w:t>
            </w:r>
          </w:p>
        </w:tc>
      </w:tr>
      <w:tr>
        <w:trPr>
          <w:cantSplit/>
          <w:trHeight w:val="311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Мужской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10 ( 62.5%)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10 ( 58.8%)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20 ( 60.6%)</w:t>
            </w:r>
          </w:p>
        </w:tc>
      </w:tr>
      <w:tr>
        <w:trPr>
          <w:cantSplit/>
          <w:trHeight w:val="311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i/>
                <w:iCs/>
                <w:sz w:val="18"/>
                <w:szCs w:val="18"/>
                <w:color w:val="1A1A2E"/>
              </w:rPr>
              <w:t xml:space="preserve">p-величина (Фишер)</w:t>
            </w:r>
          </w:p>
        </w:tc>
        <w:tc>
          <w:tcPr>
            <w:tcW w:w="3465" w:type="dxa"/>
            <w:gridSpan w:val="2"/>
            <w:vAlign w:val="center"/>
            <w:tcBorders>
              <w:top w:val="single" w:sz="4" w:color="000000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i/>
                <w:iCs/>
                <w:sz w:val="18"/>
                <w:szCs w:val="18"/>
                <w:color w:val="1A1A2E"/>
              </w:rPr>
              <w:t xml:space="preserve">&gt;0.999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</w:p>
        </w:tc>
      </w:tr>
      <w:tr>
        <w:trPr>
          <w:cantSplit/>
          <w:trHeight w:val="80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0" w:right="0" w:firstLine="0"/>
            </w:pPr>
          </w:p>
        </w:tc>
      </w:tr>
      <w:tr>
        <w:trPr>
          <w:cantSplit/>
          <w:trHeight w:val="311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1A1A2E"/>
              </w:rPr>
              <w:t xml:space="preserve">Раса</w:t>
            </w:r>
          </w:p>
        </w:tc>
      </w:tr>
      <w:tr>
        <w:trPr>
          <w:cantSplit/>
          <w:trHeight w:val="311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Белые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16 (100.0%)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17 (100.0%)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33 (100.0%)</w:t>
            </w:r>
          </w:p>
        </w:tc>
      </w:tr>
      <w:tr>
        <w:trPr>
          <w:cantSplit/>
          <w:trHeight w:val="311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Азиаты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0</w:t>
            </w:r>
          </w:p>
        </w:tc>
      </w:tr>
      <w:tr>
        <w:trPr>
          <w:cantSplit/>
          <w:trHeight w:val="311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Черные или афроамериканцы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0</w:t>
            </w:r>
          </w:p>
        </w:tc>
      </w:tr>
      <w:tr>
        <w:trPr>
          <w:cantSplit/>
          <w:trHeight w:val="311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Американские индейцы или коренные жители Аляски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0</w:t>
            </w:r>
          </w:p>
        </w:tc>
      </w:tr>
      <w:tr>
        <w:trPr>
          <w:cantSplit/>
          <w:trHeight w:val="311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Коренные жители гавайских и других тихоокеанских островов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0</w:t>
            </w:r>
          </w:p>
        </w:tc>
      </w:tr>
      <w:tr>
        <w:trPr>
          <w:cantSplit/>
          <w:trHeight w:val="311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Другие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0</w:t>
            </w:r>
          </w:p>
        </w:tc>
      </w:tr>
      <w:tr>
        <w:trPr>
          <w:cantSplit/>
          <w:trHeight w:val="311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i/>
                <w:iCs/>
                <w:sz w:val="18"/>
                <w:szCs w:val="18"/>
                <w:color w:val="1A1A2E"/>
              </w:rPr>
              <w:t xml:space="preserve">p-величина (Фишер)</w:t>
            </w:r>
          </w:p>
        </w:tc>
        <w:tc>
          <w:tcPr>
            <w:tcW w:w="3465" w:type="dxa"/>
            <w:gridSpan w:val="2"/>
            <w:vAlign w:val="center"/>
            <w:tcBorders>
              <w:top w:val="single" w:sz="4" w:color="000000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i/>
                <w:iCs/>
                <w:sz w:val="18"/>
                <w:szCs w:val="18"/>
                <w:color w:val="1A1A2E"/>
              </w:rPr>
              <w:t xml:space="preserve">&gt;0.999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</w:p>
        </w:tc>
      </w:tr>
      <w:tr>
        <w:trPr>
          <w:cantSplit/>
          <w:trHeight w:val="80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0" w:right="0" w:firstLine="0"/>
            </w:pPr>
          </w:p>
        </w:tc>
      </w:tr>
    </w:tbl>
    <w:p>
      <w:pPr>
        <w:jc w:val="left"/>
        <w:spacing w:before="80" w:after="0" w:line="179" w:lineRule="exact"/>
        <w:ind w:left="1134" w:right="0" w:firstLine="0"/>
      </w:pPr>
      <w:r>
        <w:rPr>
          <w:rFonts w:ascii="Arial" w:hAnsi="Arial" w:cs="Arial"/>
          <w:i/>
          <w:iCs/>
          <w:sz w:val="16"/>
          <w:szCs w:val="16"/>
          <w:color w:val="444444"/>
        </w:rPr>
        <w:t xml:space="preserve">Источник: Перечень 16.3; Перечень 16.33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0" w:after="80" w:line="295" w:lineRule="exact"/>
        <w:ind w:left="0" w:right="0" w:firstLine="0"/>
      </w:pPr>
      <w:r>
        <w:rPr>
          <w:rFonts w:ascii="Arial" w:hAnsi="Arial" w:cs="Arial"/>
          <w:b/>
          <w:bCs/>
          <w:sz w:val="22"/>
          <w:szCs w:val="22"/>
          <w:color w:val="1B3C5E"/>
        </w:rPr>
        <w:t xml:space="preserve">Таблица 1.2</w:t>
      </w:r>
    </w:p>
    <w:p>
      <w:pPr>
        <w:jc w:val="center"/>
        <w:spacing w:before="0" w:after="80" w:line="295" w:lineRule="exact"/>
        <w:ind w:left="0" w:right="0" w:firstLine="0"/>
      </w:pPr>
      <w:r>
        <w:rPr>
          <w:rFonts w:ascii="Arial" w:hAnsi="Arial" w:cs="Arial"/>
          <w:b/>
          <w:bCs/>
          <w:sz w:val="22"/>
          <w:szCs w:val="22"/>
          <w:color w:val="1B3C5E"/>
        </w:rPr>
        <w:t xml:space="preserve">Демографические и другие исходные характеристики</w:t>
      </w:r>
    </w:p>
    <w:p>
      <w:pPr>
        <w:jc w:val="center"/>
        <w:spacing w:before="0" w:after="80" w:line="295" w:lineRule="exact"/>
        <w:ind w:left="0" w:right="0" w:firstLine="0"/>
      </w:pPr>
      <w:r>
        <w:rPr>
          <w:rFonts w:ascii="Arial" w:hAnsi="Arial" w:cs="Arial"/>
          <w:b/>
          <w:bCs/>
          <w:i/>
          <w:iCs/>
          <w:sz w:val="22"/>
          <w:szCs w:val="22"/>
          <w:color w:val="1B3C5E"/>
        </w:rPr>
        <w:t xml:space="preserve">Популяция FAS</w:t>
      </w:r>
    </w:p>
    <w:tbl>
      <w:tblPr>
        <w:tblLayout w:type="fixed"/>
        <w:tblW w:w="11548" w:type="dxa"/>
        <w:jc w:val="center"/>
        <w:tblCellMar>
          <w:top w:w="0" w:type="dxa"/>
          <w:bottom w:w="0" w:type="dxa"/>
          <w:left w:w="80" w:type="dxa"/>
          <w:right w:w="80" w:type="dxa"/>
        </w:tblCellMar>
      </w:tblPr>
      <w:tblGrid>
        <w:gridCol w:w="6352"/>
        <w:gridCol w:w="1732"/>
        <w:gridCol w:w="1732"/>
        <w:gridCol w:w="1732"/>
      </w:tblGrid>
      <w:tr>
        <w:trPr>
          <w:tblHeader/>
          <w:cantSplit/>
          <w:trHeight w:val="893" w:hRule="exact"/>
        </w:trPr>
        <w:tc>
          <w:tcPr>
            <w:tcW w:w="6352" w:type="dxa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Параметр</w:t>
            </w:r>
          </w:p>
          <w:p>
            <w:pPr>
              <w:jc w:val="left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  Статистика</w:t>
            </w:r>
          </w:p>
        </w:tc>
        <w:tc>
          <w:tcPr>
            <w:tcW w:w="1732" w:type="dxa"/>
            <w:vAlign w:val="center"/>
            <w:shd w:val="clear" w:color="auto" w:fill="1B3C5E"/>
            <w:textDirection w:val="btLr"/>
            <w:noWrap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RPH-104</w:t>
            </w:r>
          </w:p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(N=16)</w:t>
            </w:r>
          </w:p>
        </w:tc>
        <w:tc>
          <w:tcPr>
            <w:tcW w:w="1732" w:type="dxa"/>
            <w:vAlign w:val="center"/>
            <w:shd w:val="clear" w:color="auto" w:fill="1B3C5E"/>
            <w:textDirection w:val="btLr"/>
            <w:noWrap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Плацебо</w:t>
            </w:r>
          </w:p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(N=17)</w:t>
            </w:r>
          </w:p>
        </w:tc>
        <w:tc>
          <w:tcPr>
            <w:tcW w:w="1732" w:type="dxa"/>
            <w:vAlign w:val="center"/>
            <w:shd w:val="clear" w:color="auto" w:fill="1B3C5E"/>
            <w:textDirection w:val="btLr"/>
            <w:noWrap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Всего</w:t>
            </w:r>
          </w:p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(N=33)</w:t>
            </w:r>
          </w:p>
        </w:tc>
      </w:tr>
      <w:tr>
        <w:trPr>
          <w:cantSplit/>
          <w:trHeight w:val="311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1A1A2E"/>
              </w:rPr>
              <w:t xml:space="preserve">Этническая принадлежность</w:t>
            </w:r>
          </w:p>
        </w:tc>
      </w:tr>
      <w:tr>
        <w:trPr>
          <w:cantSplit/>
          <w:trHeight w:val="311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Русский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1 (  5.9%)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1 (  3.0%)</w:t>
            </w:r>
          </w:p>
        </w:tc>
      </w:tr>
      <w:tr>
        <w:trPr>
          <w:cantSplit/>
          <w:trHeight w:val="311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Армянин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10 ( 62.5%)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9 ( 52.9%)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19 ( 57.6%)</w:t>
            </w:r>
          </w:p>
        </w:tc>
      </w:tr>
      <w:tr>
        <w:trPr>
          <w:cantSplit/>
          <w:trHeight w:val="311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Турок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4 ( 25.0%)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5 ( 29.4%)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9 ( 27.3%)</w:t>
            </w:r>
          </w:p>
        </w:tc>
      </w:tr>
      <w:tr>
        <w:trPr>
          <w:cantSplit/>
          <w:trHeight w:val="311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Азербайджанец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1 (  6.2%)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1 (  5.9%)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2 (  6.1%)</w:t>
            </w:r>
          </w:p>
        </w:tc>
      </w:tr>
      <w:tr>
        <w:trPr>
          <w:cantSplit/>
          <w:trHeight w:val="311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Табасаран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1 (  5.9%)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1 (  3.0%)</w:t>
            </w:r>
          </w:p>
        </w:tc>
      </w:tr>
      <w:tr>
        <w:trPr>
          <w:cantSplit/>
          <w:trHeight w:val="311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Ассириец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1 (  6.2%)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1 (  3.0%)</w:t>
            </w:r>
          </w:p>
        </w:tc>
      </w:tr>
      <w:tr>
        <w:trPr>
          <w:cantSplit/>
          <w:trHeight w:val="311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Грузин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0</w:t>
            </w:r>
          </w:p>
        </w:tc>
      </w:tr>
      <w:tr>
        <w:trPr>
          <w:cantSplit/>
          <w:trHeight w:val="311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i/>
                <w:iCs/>
                <w:sz w:val="18"/>
                <w:szCs w:val="18"/>
                <w:color w:val="1A1A2E"/>
              </w:rPr>
              <w:t xml:space="preserve">p-величина (Фишер)</w:t>
            </w:r>
          </w:p>
        </w:tc>
        <w:tc>
          <w:tcPr>
            <w:tcW w:w="3465" w:type="dxa"/>
            <w:gridSpan w:val="2"/>
            <w:vAlign w:val="center"/>
            <w:tcBorders>
              <w:top w:val="single" w:sz="4" w:color="000000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i/>
                <w:iCs/>
                <w:sz w:val="18"/>
                <w:szCs w:val="18"/>
                <w:color w:val="1A1A2E"/>
              </w:rPr>
              <w:t xml:space="preserve">&gt;0.999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</w:p>
        </w:tc>
      </w:tr>
      <w:tr>
        <w:trPr>
          <w:cantSplit/>
          <w:trHeight w:val="80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0" w:right="0" w:firstLine="0"/>
            </w:pPr>
          </w:p>
        </w:tc>
      </w:tr>
      <w:tr>
        <w:trPr>
          <w:cantSplit/>
          <w:trHeight w:val="311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1A1A2E"/>
              </w:rPr>
              <w:t xml:space="preserve">Подвергался профессиональным рискам</w:t>
            </w:r>
          </w:p>
        </w:tc>
      </w:tr>
      <w:tr>
        <w:trPr>
          <w:cantSplit/>
          <w:trHeight w:val="311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Да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1 (  5.9%)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1 (  3.0%)</w:t>
            </w:r>
          </w:p>
        </w:tc>
      </w:tr>
      <w:tr>
        <w:trPr>
          <w:cantSplit/>
          <w:trHeight w:val="311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Нет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16 (100.0%)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16 ( 94.1%)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32 ( 97.0%)</w:t>
            </w:r>
          </w:p>
        </w:tc>
      </w:tr>
      <w:tr>
        <w:trPr>
          <w:cantSplit/>
          <w:trHeight w:val="80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0" w:right="0" w:firstLine="0"/>
            </w:pPr>
          </w:p>
        </w:tc>
      </w:tr>
      <w:tr>
        <w:trPr>
          <w:cantSplit/>
          <w:trHeight w:val="311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1A1A2E"/>
              </w:rPr>
              <w:t xml:space="preserve">Курение в анамнезе</w:t>
            </w:r>
          </w:p>
        </w:tc>
      </w:tr>
      <w:tr>
        <w:trPr>
          <w:cantSplit/>
          <w:trHeight w:val="311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Да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4 ( 25.0%)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5 ( 29.4%)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9 ( 27.3%)</w:t>
            </w:r>
          </w:p>
        </w:tc>
      </w:tr>
      <w:tr>
        <w:trPr>
          <w:cantSplit/>
          <w:trHeight w:val="311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Нет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12 ( 75.0%)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12 ( 70.6%)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24 ( 72.7%)</w:t>
            </w:r>
          </w:p>
        </w:tc>
      </w:tr>
      <w:tr>
        <w:trPr>
          <w:cantSplit/>
          <w:trHeight w:val="80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0" w:right="0" w:firstLine="0"/>
            </w:pPr>
          </w:p>
        </w:tc>
      </w:tr>
      <w:tr>
        <w:trPr>
          <w:cantSplit/>
          <w:trHeight w:val="311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1A1A2E"/>
              </w:rPr>
              <w:t xml:space="preserve">Злоупотребление алкоголем в анамнезе</w:t>
            </w:r>
          </w:p>
        </w:tc>
      </w:tr>
      <w:tr>
        <w:trPr>
          <w:cantSplit/>
          <w:trHeight w:val="311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Да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0</w:t>
            </w:r>
          </w:p>
        </w:tc>
      </w:tr>
      <w:tr>
        <w:trPr>
          <w:cantSplit/>
          <w:trHeight w:val="311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Нет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16 (100.0%)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17 (100.0%)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33 (100.0%)</w:t>
            </w:r>
          </w:p>
        </w:tc>
      </w:tr>
      <w:tr>
        <w:trPr>
          <w:cantSplit/>
          <w:trHeight w:val="80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0" w:right="0" w:firstLine="0"/>
            </w:pPr>
          </w:p>
        </w:tc>
      </w:tr>
      <w:tr>
        <w:trPr>
          <w:cantSplit/>
          <w:trHeight w:val="311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1A1A2E"/>
              </w:rPr>
              <w:t xml:space="preserve">Прием наркотиков в анамнезе</w:t>
            </w:r>
          </w:p>
        </w:tc>
      </w:tr>
      <w:tr>
        <w:trPr>
          <w:cantSplit/>
          <w:trHeight w:val="311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Да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0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 0</w:t>
            </w:r>
          </w:p>
        </w:tc>
      </w:tr>
      <w:tr>
        <w:trPr>
          <w:cantSplit/>
          <w:trHeight w:val="311" w:hRule="exact"/>
        </w:trPr>
        <w:tc>
          <w:tcPr>
            <w:tcW w:w="635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Нет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16 (100.0%)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17 (100.0%)</w:t>
            </w:r>
          </w:p>
        </w:tc>
        <w:tc>
          <w:tcPr>
            <w:tcW w:w="1732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33 (100.0%)</w:t>
            </w:r>
          </w:p>
        </w:tc>
      </w:tr>
      <w:tr>
        <w:trPr>
          <w:cantSplit/>
          <w:trHeight w:val="80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0" w:right="0" w:firstLine="0"/>
            </w:pPr>
          </w:p>
        </w:tc>
      </w:tr>
    </w:tbl>
    <w:p>
      <w:pPr>
        <w:jc w:val="left"/>
        <w:spacing w:before="80" w:after="0" w:line="179" w:lineRule="exact"/>
        <w:ind w:left="1134" w:right="0" w:firstLine="0"/>
      </w:pPr>
      <w:r>
        <w:rPr>
          <w:rFonts w:ascii="Arial" w:hAnsi="Arial" w:cs="Arial"/>
          <w:i/>
          <w:iCs/>
          <w:sz w:val="16"/>
          <w:szCs w:val="16"/>
          <w:color w:val="444444"/>
        </w:rPr>
        <w:t xml:space="preserve">Источник: Перечень 16.3; Перечень 16.33</w:t>
      </w:r>
    </w:p>
    <w:p>
      <w:pPr>
        <w:sectPr>
          <w:type w:val="nextPage"/>
          <w:headerReference w:type="default" r:id="rId4"/>
          <w:footerReference w:type="default" r:id="rId5"/>
          <w:pgSz w:w="16838" w:h="11906" w:orient="landscape"/>
          <w:pgMar w:top="1080" w:bottom="1080" w:left="720" w:right="720" w:header="504" w:footer="504"/>
        </w:sectPr>
      </w:pPr>
    </w:p>
    <w:p>
      <w:pPr>
        <w:jc w:val="center"/>
        <w:spacing w:before="0" w:after="80" w:line="295" w:lineRule="exact"/>
        <w:ind w:left="0" w:right="0" w:firstLine="0"/>
      </w:pPr>
      <w:bookmarkStart w:id="2" w:name="_Toc000000002"/>
      <w:r>
        <w:fldChar w:fldCharType="begin"/>
      </w:r>
      <w:r>
        <w:instrText xml:space="preserve"> TC "Table 1.1 Adverse Events of Special Interest (Defined by Sponsor’s PT) by System Organ Class (SOC) and Preferred Term (PT): Infections. Placebo-Controlled Period. Pool #2a." \l 1 </w:instrText>
      </w:r>
      <w:r>
        <w:fldChar w:fldCharType="separate"/>
      </w:r>
      <w:r>
        <w:fldChar w:fldCharType="end"/>
      </w:r>
      <w:bookmarkEnd w:id="2"/>
      <w:r>
        <w:rPr>
          <w:rFonts w:ascii="Arial" w:hAnsi="Arial" w:cs="Arial"/>
          <w:b/>
          <w:bCs/>
          <w:sz w:val="22"/>
          <w:szCs w:val="22"/>
          <w:color w:val="1B3C5E"/>
        </w:rPr>
        <w:t xml:space="preserve">Table 1.1</w:t>
      </w:r>
    </w:p>
    <w:p>
      <w:pPr>
        <w:jc w:val="center"/>
        <w:spacing w:before="0" w:after="80" w:line="295" w:lineRule="exact"/>
        <w:ind w:left="0" w:right="0" w:firstLine="0"/>
      </w:pPr>
      <w:r>
        <w:rPr>
          <w:rFonts w:ascii="Arial" w:hAnsi="Arial" w:cs="Arial"/>
          <w:b/>
          <w:bCs/>
          <w:sz w:val="22"/>
          <w:szCs w:val="22"/>
          <w:color w:val="1B3C5E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0" w:after="80" w:line="295" w:lineRule="exact"/>
        <w:ind w:left="0" w:right="0" w:firstLine="0"/>
      </w:pPr>
      <w:r>
        <w:rPr>
          <w:rFonts w:ascii="Arial" w:hAnsi="Arial" w:cs="Arial"/>
          <w:b/>
          <w:bCs/>
          <w:i/>
          <w:iCs/>
          <w:sz w:val="22"/>
          <w:szCs w:val="22"/>
          <w:color w:val="1B3C5E"/>
        </w:rPr>
        <w:t xml:space="preserve">Safety Population</w:t>
      </w:r>
    </w:p>
    <w:tbl>
      <w:tblPr>
        <w:tblLayout w:type="fixed"/>
        <w:tblW w:w="11548" w:type="dxa"/>
        <w:jc w:val="center"/>
        <w:tblCellMar>
          <w:top w:w="0" w:type="dxa"/>
          <w:bottom w:w="0" w:type="dxa"/>
          <w:left w:w="80" w:type="dxa"/>
          <w:right w:w="80" w:type="dxa"/>
        </w:tblCellMar>
      </w:tblPr>
      <w:tblGrid>
        <w:gridCol w:w="2656"/>
        <w:gridCol w:w="2223"/>
        <w:gridCol w:w="2223"/>
        <w:gridCol w:w="2223"/>
        <w:gridCol w:w="2223"/>
      </w:tblGrid>
      <w:tr>
        <w:trPr>
          <w:tblHeader/>
          <w:cantSplit/>
          <w:trHeight w:val="522" w:hRule="exact"/>
        </w:trPr>
        <w:tc>
          <w:tcPr>
            <w:tcW w:w="2656" w:type="dxa"/>
            <w:vMerge w:val="restart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System Organ Class</w:t>
            </w:r>
          </w:p>
          <w:p>
            <w:pPr>
              <w:jc w:val="left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  Preferred Term</w:t>
            </w:r>
          </w:p>
        </w:tc>
        <w:tc>
          <w:tcPr>
            <w:tcW w:w="8892" w:type="dxa"/>
            <w:gridSpan w:val="4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Rates</w:t>
            </w:r>
          </w:p>
        </w:tc>
      </w:tr>
      <w:tr>
        <w:trPr>
          <w:tblHeader/>
          <w:cantSplit/>
          <w:trHeight w:val="1125" w:hRule="exact"/>
        </w:trPr>
        <w:tc>
          <w:tcPr>
            <w:tcW w:w="2656" w:type="dxa"/>
            <w:vMerge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</w:p>
        </w:tc>
        <w:tc>
          <w:tcPr>
            <w:tcW w:w="2223" w:type="dxa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OKZ Low Dose</w:t>
            </w:r>
          </w:p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(N=782)</w:t>
            </w:r>
          </w:p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n(%)</w:t>
            </w:r>
          </w:p>
        </w:tc>
        <w:tc>
          <w:tcPr>
            <w:tcW w:w="2223" w:type="dxa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OKZ High Dose</w:t>
            </w:r>
          </w:p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(N=742)</w:t>
            </w:r>
          </w:p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n(%)</w:t>
            </w:r>
          </w:p>
        </w:tc>
        <w:tc>
          <w:tcPr>
            <w:tcW w:w="2223" w:type="dxa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OKZ All Doses</w:t>
            </w:r>
          </w:p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(N=1524)</w:t>
            </w:r>
          </w:p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n(%)</w:t>
            </w:r>
          </w:p>
        </w:tc>
        <w:tc>
          <w:tcPr>
            <w:tcW w:w="2223" w:type="dxa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Placebo</w:t>
            </w:r>
          </w:p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(N=454)</w:t>
            </w:r>
          </w:p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n(%)</w:t>
            </w:r>
          </w:p>
        </w:tc>
      </w:tr>
      <w:tr>
        <w:trPr>
          <w:cantSplit/>
          <w:trHeight w:val="281" w:hRule="exact"/>
        </w:trPr>
        <w:tc>
          <w:tcPr>
            <w:tcW w:w="11548" w:type="dxa"/>
            <w:gridSpan w:val="5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0" w:right="0" w:firstLine="0"/>
            </w:pPr>
          </w:p>
        </w:tc>
      </w:tr>
      <w:tr>
        <w:trPr>
          <w:cantSplit/>
          <w:trHeight w:val="543" w:hRule="exact"/>
        </w:trPr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171 (21.3)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145 (19.1)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316 (20.2)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101 (23.5)</w:t>
            </w:r>
          </w:p>
        </w:tc>
      </w:tr>
      <w:tr>
        <w:trPr>
          <w:cantSplit/>
          <w:trHeight w:val="543" w:hRule="exact"/>
        </w:trPr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171 (21.3)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145 (19.1)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316 (20.2)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101 (23.5)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Abdominal abscess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Abscess limb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2 (0.2)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2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Acute sinusitis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2 (0.2)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3 (0.2)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(0.2)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Bacterial vaginosis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Body tinea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2 (0.5)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Breast abscess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Bronchitis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8 (1)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13 (1.8)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21 (1.4)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9 (2.2)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Bronchitis bacterial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Candida infection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Cellulitis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4 (0.5)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4 (0.5)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8 (0.5)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2 (0.5)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Chikungunya virus infection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Conjunctivitis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4 (0.5)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6 (0.8)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10 (0.6)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</w:tr>
    </w:tbl>
    <w:p>
      <w:pPr>
        <w:jc w:val="left"/>
        <w:spacing w:before="8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444444"/>
        </w:rPr>
        <w:t xml:space="preserve">Abbreviations: AE, adverse event; AESI, adverse event of special interest; CI, confidence interval; OKZ, Olokizumab; N, number of patients in treatment arm; n, number of patients with at least one adverse event</w:t>
      </w:r>
    </w:p>
    <w:p>
      <w:pPr>
        <w:jc w:val="left"/>
        <w:spacing w:before="8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444444"/>
        </w:rPr>
        <w:t xml:space="preserve">Note: MedDRA version 25.1</w:t>
      </w:r>
    </w:p>
    <w:p>
      <w:pPr>
        <w:jc w:val="left"/>
        <w:spacing w:before="8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444444"/>
        </w:rPr>
        <w:t xml:space="preserve">Note: OKZ Low dose = Olokizumab sc 64 mg q4w</w:t>
      </w:r>
    </w:p>
    <w:p>
      <w:pPr>
        <w:jc w:val="left"/>
        <w:spacing w:before="8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444444"/>
        </w:rPr>
        <w:t xml:space="preserve">Note: OKZ High dose = Olokizumab sc 64 mg q2w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0" w:after="80" w:line="295" w:lineRule="exact"/>
        <w:ind w:left="0" w:right="0" w:firstLine="0"/>
      </w:pPr>
      <w:r>
        <w:rPr>
          <w:rFonts w:ascii="Arial" w:hAnsi="Arial" w:cs="Arial"/>
          <w:b/>
          <w:bCs/>
          <w:sz w:val="22"/>
          <w:szCs w:val="22"/>
          <w:color w:val="1B3C5E"/>
        </w:rPr>
        <w:t xml:space="preserve">Table 1.1</w:t>
      </w:r>
    </w:p>
    <w:p>
      <w:pPr>
        <w:jc w:val="center"/>
        <w:spacing w:before="0" w:after="80" w:line="295" w:lineRule="exact"/>
        <w:ind w:left="0" w:right="0" w:firstLine="0"/>
      </w:pPr>
      <w:r>
        <w:rPr>
          <w:rFonts w:ascii="Arial" w:hAnsi="Arial" w:cs="Arial"/>
          <w:b/>
          <w:bCs/>
          <w:sz w:val="22"/>
          <w:szCs w:val="22"/>
          <w:color w:val="1B3C5E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0" w:after="80" w:line="295" w:lineRule="exact"/>
        <w:ind w:left="0" w:right="0" w:firstLine="0"/>
      </w:pPr>
      <w:r>
        <w:rPr>
          <w:rFonts w:ascii="Arial" w:hAnsi="Arial" w:cs="Arial"/>
          <w:b/>
          <w:bCs/>
          <w:i/>
          <w:iCs/>
          <w:sz w:val="22"/>
          <w:szCs w:val="22"/>
          <w:color w:val="1B3C5E"/>
        </w:rPr>
        <w:t xml:space="preserve">Safety Population</w:t>
      </w:r>
    </w:p>
    <w:tbl>
      <w:tblPr>
        <w:tblLayout w:type="fixed"/>
        <w:tblW w:w="11548" w:type="dxa"/>
        <w:jc w:val="center"/>
        <w:tblCellMar>
          <w:top w:w="0" w:type="dxa"/>
          <w:bottom w:w="0" w:type="dxa"/>
          <w:left w:w="80" w:type="dxa"/>
          <w:right w:w="80" w:type="dxa"/>
        </w:tblCellMar>
      </w:tblPr>
      <w:tblGrid>
        <w:gridCol w:w="2656"/>
        <w:gridCol w:w="2964"/>
        <w:gridCol w:w="2964"/>
        <w:gridCol w:w="2964"/>
      </w:tblGrid>
      <w:tr>
        <w:trPr>
          <w:tblHeader/>
          <w:cantSplit/>
          <w:trHeight w:val="522" w:hRule="exact"/>
        </w:trPr>
        <w:tc>
          <w:tcPr>
            <w:tcW w:w="2656" w:type="dxa"/>
            <w:vMerge w:val="restart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System Organ Class</w:t>
            </w:r>
          </w:p>
          <w:p>
            <w:pPr>
              <w:jc w:val="left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  Preferred Term</w:t>
            </w:r>
          </w:p>
        </w:tc>
        <w:tc>
          <w:tcPr>
            <w:tcW w:w="8892" w:type="dxa"/>
            <w:gridSpan w:val="3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Risk difference (%) vs Placebo (95% CI)</w:t>
            </w:r>
          </w:p>
        </w:tc>
      </w:tr>
      <w:tr>
        <w:trPr>
          <w:tblHeader/>
          <w:cantSplit/>
          <w:trHeight w:val="1125" w:hRule="exact"/>
        </w:trPr>
        <w:tc>
          <w:tcPr>
            <w:tcW w:w="2656" w:type="dxa"/>
            <w:vMerge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</w:p>
        </w:tc>
        <w:tc>
          <w:tcPr>
            <w:tcW w:w="2964" w:type="dxa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OKZ Low Dose</w:t>
            </w:r>
          </w:p>
        </w:tc>
        <w:tc>
          <w:tcPr>
            <w:tcW w:w="2964" w:type="dxa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OKZ High Dose</w:t>
            </w:r>
          </w:p>
        </w:tc>
        <w:tc>
          <w:tcPr>
            <w:tcW w:w="2964" w:type="dxa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OKZ All Doses</w:t>
            </w:r>
          </w:p>
        </w:tc>
      </w:tr>
      <w:tr>
        <w:trPr>
          <w:cantSplit/>
          <w:trHeight w:val="281" w:hRule="exact"/>
        </w:trPr>
        <w:tc>
          <w:tcPr>
            <w:tcW w:w="11548" w:type="dxa"/>
            <w:gridSpan w:val="4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0" w:right="0" w:firstLine="0"/>
            </w:pPr>
          </w:p>
        </w:tc>
      </w:tr>
      <w:tr>
        <w:trPr>
          <w:cantSplit/>
          <w:trHeight w:val="543" w:hRule="exact"/>
        </w:trPr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-2.22 [-7.13, 2.52]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-4.26 [-9.14, 0.44]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-3.17 [-7.66, 1.01]</w:t>
            </w:r>
          </w:p>
        </w:tc>
      </w:tr>
      <w:tr>
        <w:trPr>
          <w:cantSplit/>
          <w:trHeight w:val="543" w:hRule="exact"/>
        </w:trPr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-2.22 [-7.13, 2.52]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-4.26 [-9.14, 0.44]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-3.17 [-7.66, 1.01]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Abdominal abscess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--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0.12 [-0.74, 0.76]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0.06 [-0.79, 0.37]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Abscess limb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0.23 [-0.65, 0.9]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--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0.11 [-0.74, 0.46]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Acute sinusitis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-0.01 [-1.08, 0.68]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-0.11 [-1.17, 0.54]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-0.06 [-1.1, 0.36]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Bacterial vaginosis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--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0.12 [-0.74, 0.76]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0.06 [-0.79, 0.37]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Body tinea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-0.47 [-1.66, -0.01]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-0.35 [-1.55, 0.33]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-0.4 [-1.58, 0]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Breast abscess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0.12 [-0.74, 0.73]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--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0.06 [-0.79, 0.37]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Bronchitis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-1.23 [-3.15, 0.11]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-0.36 [-2.29, 1.15]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-0.75 [-2.59, 0.43]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Bronchitis bacterial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0.11 [-0.76, 0.7]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--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0.05 [-0.79, 0.37]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Candida infection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--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0.12 [-0.74, 0.76]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0.06 [-0.79, 0.37]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Cellulitis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-0.01 [-1.25, 0.86]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0.02 [-1.22, 0.93]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0.01 [-1.2, 0.62]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Chikungunya virus infection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0.12 [-0.74, 0.73]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--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0.06 [-0.79, 0.37]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Conjunctivitis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0.47 [-0.42, 1.27]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0.8 [-0.06, 1.76]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0.62 [-0.24, 1.18]</w:t>
            </w:r>
          </w:p>
        </w:tc>
      </w:tr>
    </w:tbl>
    <w:p>
      <w:pPr>
        <w:jc w:val="left"/>
        <w:spacing w:before="8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444444"/>
        </w:rPr>
        <w:t xml:space="preserve">Abbreviations: AE, adverse event; AESI, adverse event of special interest; CI, confidence interval; OKZ, Olokizumab; N, number of patients in treatment arm; n, number of patients with at least one adverse event</w:t>
      </w:r>
    </w:p>
    <w:p>
      <w:pPr>
        <w:jc w:val="left"/>
        <w:spacing w:before="8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444444"/>
        </w:rPr>
        <w:t xml:space="preserve">Note: MedDRA version 25.1</w:t>
      </w:r>
    </w:p>
    <w:p>
      <w:pPr>
        <w:jc w:val="left"/>
        <w:spacing w:before="8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444444"/>
        </w:rPr>
        <w:t xml:space="preserve">Note: OKZ Low dose = Olokizumab sc 64 mg q4w</w:t>
      </w:r>
    </w:p>
    <w:p>
      <w:pPr>
        <w:jc w:val="left"/>
        <w:spacing w:before="8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444444"/>
        </w:rPr>
        <w:t xml:space="preserve">Note: OKZ High dose = Olokizumab sc 64 mg q2w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0" w:after="80" w:line="295" w:lineRule="exact"/>
        <w:ind w:left="0" w:right="0" w:firstLine="0"/>
      </w:pPr>
      <w:r>
        <w:rPr>
          <w:rFonts w:ascii="Arial" w:hAnsi="Arial" w:cs="Arial"/>
          <w:b/>
          <w:bCs/>
          <w:sz w:val="22"/>
          <w:szCs w:val="22"/>
          <w:color w:val="1B3C5E"/>
        </w:rPr>
        <w:t xml:space="preserve">Table 1.1</w:t>
      </w:r>
    </w:p>
    <w:p>
      <w:pPr>
        <w:jc w:val="center"/>
        <w:spacing w:before="0" w:after="80" w:line="295" w:lineRule="exact"/>
        <w:ind w:left="0" w:right="0" w:firstLine="0"/>
      </w:pPr>
      <w:r>
        <w:rPr>
          <w:rFonts w:ascii="Arial" w:hAnsi="Arial" w:cs="Arial"/>
          <w:b/>
          <w:bCs/>
          <w:sz w:val="22"/>
          <w:szCs w:val="22"/>
          <w:color w:val="1B3C5E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0" w:after="80" w:line="295" w:lineRule="exact"/>
        <w:ind w:left="0" w:right="0" w:firstLine="0"/>
      </w:pPr>
      <w:r>
        <w:rPr>
          <w:rFonts w:ascii="Arial" w:hAnsi="Arial" w:cs="Arial"/>
          <w:b/>
          <w:bCs/>
          <w:i/>
          <w:iCs/>
          <w:sz w:val="22"/>
          <w:szCs w:val="22"/>
          <w:color w:val="1B3C5E"/>
        </w:rPr>
        <w:t xml:space="preserve">Safety Population</w:t>
      </w:r>
    </w:p>
    <w:tbl>
      <w:tblPr>
        <w:tblLayout w:type="fixed"/>
        <w:tblW w:w="11548" w:type="dxa"/>
        <w:jc w:val="center"/>
        <w:tblCellMar>
          <w:top w:w="0" w:type="dxa"/>
          <w:bottom w:w="0" w:type="dxa"/>
          <w:left w:w="80" w:type="dxa"/>
          <w:right w:w="80" w:type="dxa"/>
        </w:tblCellMar>
      </w:tblPr>
      <w:tblGrid>
        <w:gridCol w:w="2656"/>
        <w:gridCol w:w="2223"/>
        <w:gridCol w:w="2223"/>
        <w:gridCol w:w="2223"/>
        <w:gridCol w:w="2223"/>
      </w:tblGrid>
      <w:tr>
        <w:trPr>
          <w:tblHeader/>
          <w:cantSplit/>
          <w:trHeight w:val="522" w:hRule="exact"/>
        </w:trPr>
        <w:tc>
          <w:tcPr>
            <w:tcW w:w="2656" w:type="dxa"/>
            <w:vMerge w:val="restart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System Organ Class</w:t>
            </w:r>
          </w:p>
          <w:p>
            <w:pPr>
              <w:jc w:val="left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  Preferred Term</w:t>
            </w:r>
          </w:p>
        </w:tc>
        <w:tc>
          <w:tcPr>
            <w:tcW w:w="8892" w:type="dxa"/>
            <w:gridSpan w:val="4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Rates</w:t>
            </w:r>
          </w:p>
        </w:tc>
      </w:tr>
      <w:tr>
        <w:trPr>
          <w:tblHeader/>
          <w:cantSplit/>
          <w:trHeight w:val="1125" w:hRule="exact"/>
        </w:trPr>
        <w:tc>
          <w:tcPr>
            <w:tcW w:w="2656" w:type="dxa"/>
            <w:vMerge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</w:p>
        </w:tc>
        <w:tc>
          <w:tcPr>
            <w:tcW w:w="2223" w:type="dxa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OKZ Low Dose</w:t>
            </w:r>
          </w:p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(N=782)</w:t>
            </w:r>
          </w:p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n(%)</w:t>
            </w:r>
          </w:p>
        </w:tc>
        <w:tc>
          <w:tcPr>
            <w:tcW w:w="2223" w:type="dxa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OKZ High Dose</w:t>
            </w:r>
          </w:p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(N=742)</w:t>
            </w:r>
          </w:p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n(%)</w:t>
            </w:r>
          </w:p>
        </w:tc>
        <w:tc>
          <w:tcPr>
            <w:tcW w:w="2223" w:type="dxa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OKZ All Doses</w:t>
            </w:r>
          </w:p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(N=1524)</w:t>
            </w:r>
          </w:p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n(%)</w:t>
            </w:r>
          </w:p>
        </w:tc>
        <w:tc>
          <w:tcPr>
            <w:tcW w:w="2223" w:type="dxa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Placebo</w:t>
            </w:r>
          </w:p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(N=454)</w:t>
            </w:r>
          </w:p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n(%)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Conjunctivitis viral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Cystitis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3 (0.4)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2 (0.3)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5 (0.3)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Ear infection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2 (0.2)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2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Epstein-Barr virus infection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(0.2)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Erysipelas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2 (0.3)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3 (0.2)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Eye infection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Eyelid infection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Folliculitis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Fungal foot infection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Fungal infection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Fungal skin infection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2 (0.2)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2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Gastric infection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Gastroenteritis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5 (0.6)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2 (0.3)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7 (0.4)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5 (1.1)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Gastroenteritis viral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2 (0.3)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2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2 (0.5)</w:t>
            </w:r>
          </w:p>
        </w:tc>
      </w:tr>
      <w:tr>
        <w:trPr>
          <w:cantSplit/>
          <w:trHeight w:val="543" w:hRule="exact"/>
        </w:trPr>
        <w:tc>
          <w:tcPr>
            <w:tcW w:w="2656" w:type="dxa"/>
            <w:vAlign w:val="center"/>
            <w:tcBorders>
              <w:top w:val="nil" w:color="auto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Gastrointestinal viral infection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2 (0.2)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2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</w:tr>
    </w:tbl>
    <w:p>
      <w:pPr>
        <w:jc w:val="left"/>
        <w:spacing w:before="8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444444"/>
        </w:rPr>
        <w:t xml:space="preserve">Abbreviations: AE, adverse event; AESI, adverse event of special interest; CI, confidence interval; OKZ, Olokizumab; N, number of patients in treatment arm; n, number of patients with at least one adverse event</w:t>
      </w:r>
    </w:p>
    <w:p>
      <w:pPr>
        <w:jc w:val="left"/>
        <w:spacing w:before="8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444444"/>
        </w:rPr>
        <w:t xml:space="preserve">Note: MedDRA version 25.1</w:t>
      </w:r>
    </w:p>
    <w:p>
      <w:pPr>
        <w:jc w:val="left"/>
        <w:spacing w:before="8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444444"/>
        </w:rPr>
        <w:t xml:space="preserve">Note: OKZ Low dose = Olokizumab sc 64 mg q4w</w:t>
      </w:r>
    </w:p>
    <w:p>
      <w:pPr>
        <w:jc w:val="left"/>
        <w:spacing w:before="8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444444"/>
        </w:rPr>
        <w:t xml:space="preserve">Note: OKZ High dose = Olokizumab sc 64 mg q2w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0" w:after="80" w:line="295" w:lineRule="exact"/>
        <w:ind w:left="0" w:right="0" w:firstLine="0"/>
      </w:pPr>
      <w:r>
        <w:rPr>
          <w:rFonts w:ascii="Arial" w:hAnsi="Arial" w:cs="Arial"/>
          <w:b/>
          <w:bCs/>
          <w:sz w:val="22"/>
          <w:szCs w:val="22"/>
          <w:color w:val="1B3C5E"/>
        </w:rPr>
        <w:t xml:space="preserve">Table 1.1</w:t>
      </w:r>
    </w:p>
    <w:p>
      <w:pPr>
        <w:jc w:val="center"/>
        <w:spacing w:before="0" w:after="80" w:line="295" w:lineRule="exact"/>
        <w:ind w:left="0" w:right="0" w:firstLine="0"/>
      </w:pPr>
      <w:r>
        <w:rPr>
          <w:rFonts w:ascii="Arial" w:hAnsi="Arial" w:cs="Arial"/>
          <w:b/>
          <w:bCs/>
          <w:sz w:val="22"/>
          <w:szCs w:val="22"/>
          <w:color w:val="1B3C5E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0" w:after="80" w:line="295" w:lineRule="exact"/>
        <w:ind w:left="0" w:right="0" w:firstLine="0"/>
      </w:pPr>
      <w:r>
        <w:rPr>
          <w:rFonts w:ascii="Arial" w:hAnsi="Arial" w:cs="Arial"/>
          <w:b/>
          <w:bCs/>
          <w:i/>
          <w:iCs/>
          <w:sz w:val="22"/>
          <w:szCs w:val="22"/>
          <w:color w:val="1B3C5E"/>
        </w:rPr>
        <w:t xml:space="preserve">Safety Population</w:t>
      </w:r>
    </w:p>
    <w:tbl>
      <w:tblPr>
        <w:tblLayout w:type="fixed"/>
        <w:tblW w:w="11548" w:type="dxa"/>
        <w:jc w:val="center"/>
        <w:tblCellMar>
          <w:top w:w="0" w:type="dxa"/>
          <w:bottom w:w="0" w:type="dxa"/>
          <w:left w:w="80" w:type="dxa"/>
          <w:right w:w="80" w:type="dxa"/>
        </w:tblCellMar>
      </w:tblPr>
      <w:tblGrid>
        <w:gridCol w:w="2656"/>
        <w:gridCol w:w="2964"/>
        <w:gridCol w:w="2964"/>
        <w:gridCol w:w="2964"/>
      </w:tblGrid>
      <w:tr>
        <w:trPr>
          <w:tblHeader/>
          <w:cantSplit/>
          <w:trHeight w:val="522" w:hRule="exact"/>
        </w:trPr>
        <w:tc>
          <w:tcPr>
            <w:tcW w:w="2656" w:type="dxa"/>
            <w:vMerge w:val="restart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System Organ Class</w:t>
            </w:r>
          </w:p>
          <w:p>
            <w:pPr>
              <w:jc w:val="left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  Preferred Term</w:t>
            </w:r>
          </w:p>
        </w:tc>
        <w:tc>
          <w:tcPr>
            <w:tcW w:w="8892" w:type="dxa"/>
            <w:gridSpan w:val="3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Risk difference (%) vs Placebo (95% CI)</w:t>
            </w:r>
          </w:p>
        </w:tc>
      </w:tr>
      <w:tr>
        <w:trPr>
          <w:tblHeader/>
          <w:cantSplit/>
          <w:trHeight w:val="1125" w:hRule="exact"/>
        </w:trPr>
        <w:tc>
          <w:tcPr>
            <w:tcW w:w="2656" w:type="dxa"/>
            <w:vMerge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</w:p>
        </w:tc>
        <w:tc>
          <w:tcPr>
            <w:tcW w:w="2964" w:type="dxa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OKZ Low Dose</w:t>
            </w:r>
          </w:p>
        </w:tc>
        <w:tc>
          <w:tcPr>
            <w:tcW w:w="2964" w:type="dxa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OKZ High Dose</w:t>
            </w:r>
          </w:p>
        </w:tc>
        <w:tc>
          <w:tcPr>
            <w:tcW w:w="2964" w:type="dxa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OKZ All Doses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Conjunctivitis viral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--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0.12 [-0.74, 0.76]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0.06 [-0.79, 0.37]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Cystitis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0.42 [-0.41, 1.19]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0.25 [-0.62, 0.96]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0.34 [-0.51, 0.79]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Ear infection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0.23 [-0.65, 0.9]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--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0.11 [-0.74, 0.46]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Epstein-Barr virus infection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--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0.18 [-0.64, 0.85]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0.1 [-0.74, 0.44]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Erysipelas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0.12 [-0.74, 0.73]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0.3 [-0.52, 1.05]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0.22 [-0.62, 0.62]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Eye infection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0.11 [-0.76, 0.7]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--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0.05 [-0.79, 0.37]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Eyelid infection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--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0.12 [-0.74, 0.75]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0.05 [-0.79, 0.37]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Folliculitis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--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0.12 [-0.74, 0.75]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0.05 [-0.79, 0.37]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Fungal foot infection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--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0.12 [-0.74, 0.75]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0.05 [-0.79, 0.37]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Fungal infection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0.12 [-0.74, 0.73]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--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0.06 [-0.79, 0.37]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Fungal skin infection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0.23 [-0.65, 0.9]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--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0.11 [-0.74, 0.46]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Gastric infection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0.12 [-0.74, 0.73]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--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0.06 [-0.79, 0.37]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Gastroenteritis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-0.55 [-2.09, 0.49]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-0.88 [-2.38, 0.01]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-0.72 [-2.2, 0.08]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Gastroenteritis viral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-0.47 [-1.66, -0.01]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-0.23 [-1.44, 0.51]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-0.35 [-1.53, 0.1]</w:t>
            </w:r>
          </w:p>
        </w:tc>
      </w:tr>
      <w:tr>
        <w:trPr>
          <w:cantSplit/>
          <w:trHeight w:val="543" w:hRule="exact"/>
        </w:trPr>
        <w:tc>
          <w:tcPr>
            <w:tcW w:w="2656" w:type="dxa"/>
            <w:vAlign w:val="center"/>
            <w:tcBorders>
              <w:top w:val="nil" w:color="auto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Gastrointestinal viral infection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0.21 [-0.67, 0.88]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--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0.11 [-0.74, 0.48]</w:t>
            </w:r>
          </w:p>
        </w:tc>
      </w:tr>
    </w:tbl>
    <w:p>
      <w:pPr>
        <w:jc w:val="left"/>
        <w:spacing w:before="8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444444"/>
        </w:rPr>
        <w:t xml:space="preserve">Abbreviations: AE, adverse event; AESI, adverse event of special interest; CI, confidence interval; OKZ, Olokizumab; N, number of patients in treatment arm; n, number of patients with at least one adverse event</w:t>
      </w:r>
    </w:p>
    <w:p>
      <w:pPr>
        <w:jc w:val="left"/>
        <w:spacing w:before="8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444444"/>
        </w:rPr>
        <w:t xml:space="preserve">Note: MedDRA version 25.1</w:t>
      </w:r>
    </w:p>
    <w:p>
      <w:pPr>
        <w:jc w:val="left"/>
        <w:spacing w:before="8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444444"/>
        </w:rPr>
        <w:t xml:space="preserve">Note: OKZ Low dose = Olokizumab sc 64 mg q4w</w:t>
      </w:r>
    </w:p>
    <w:p>
      <w:pPr>
        <w:jc w:val="left"/>
        <w:spacing w:before="8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444444"/>
        </w:rPr>
        <w:t xml:space="preserve">Note: OKZ High dose = Olokizumab sc 64 mg q2w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0" w:after="80" w:line="295" w:lineRule="exact"/>
        <w:ind w:left="0" w:right="0" w:firstLine="0"/>
      </w:pPr>
      <w:r>
        <w:rPr>
          <w:rFonts w:ascii="Arial" w:hAnsi="Arial" w:cs="Arial"/>
          <w:b/>
          <w:bCs/>
          <w:sz w:val="22"/>
          <w:szCs w:val="22"/>
          <w:color w:val="1B3C5E"/>
        </w:rPr>
        <w:t xml:space="preserve">Table 1.1</w:t>
      </w:r>
    </w:p>
    <w:p>
      <w:pPr>
        <w:jc w:val="center"/>
        <w:spacing w:before="0" w:after="80" w:line="295" w:lineRule="exact"/>
        <w:ind w:left="0" w:right="0" w:firstLine="0"/>
      </w:pPr>
      <w:r>
        <w:rPr>
          <w:rFonts w:ascii="Arial" w:hAnsi="Arial" w:cs="Arial"/>
          <w:b/>
          <w:bCs/>
          <w:sz w:val="22"/>
          <w:szCs w:val="22"/>
          <w:color w:val="1B3C5E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0" w:after="80" w:line="295" w:lineRule="exact"/>
        <w:ind w:left="0" w:right="0" w:firstLine="0"/>
      </w:pPr>
      <w:r>
        <w:rPr>
          <w:rFonts w:ascii="Arial" w:hAnsi="Arial" w:cs="Arial"/>
          <w:b/>
          <w:bCs/>
          <w:i/>
          <w:iCs/>
          <w:sz w:val="22"/>
          <w:szCs w:val="22"/>
          <w:color w:val="1B3C5E"/>
        </w:rPr>
        <w:t xml:space="preserve">Safety Population</w:t>
      </w:r>
    </w:p>
    <w:tbl>
      <w:tblPr>
        <w:tblLayout w:type="fixed"/>
        <w:tblW w:w="11548" w:type="dxa"/>
        <w:jc w:val="center"/>
        <w:tblCellMar>
          <w:top w:w="0" w:type="dxa"/>
          <w:bottom w:w="0" w:type="dxa"/>
          <w:left w:w="80" w:type="dxa"/>
          <w:right w:w="80" w:type="dxa"/>
        </w:tblCellMar>
      </w:tblPr>
      <w:tblGrid>
        <w:gridCol w:w="2656"/>
        <w:gridCol w:w="2223"/>
        <w:gridCol w:w="2223"/>
        <w:gridCol w:w="2223"/>
        <w:gridCol w:w="2223"/>
      </w:tblGrid>
      <w:tr>
        <w:trPr>
          <w:tblHeader/>
          <w:cantSplit/>
          <w:trHeight w:val="522" w:hRule="exact"/>
        </w:trPr>
        <w:tc>
          <w:tcPr>
            <w:tcW w:w="2656" w:type="dxa"/>
            <w:vMerge w:val="restart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System Organ Class</w:t>
            </w:r>
          </w:p>
          <w:p>
            <w:pPr>
              <w:jc w:val="left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  Preferred Term</w:t>
            </w:r>
          </w:p>
        </w:tc>
        <w:tc>
          <w:tcPr>
            <w:tcW w:w="8892" w:type="dxa"/>
            <w:gridSpan w:val="4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Rates</w:t>
            </w:r>
          </w:p>
        </w:tc>
      </w:tr>
      <w:tr>
        <w:trPr>
          <w:tblHeader/>
          <w:cantSplit/>
          <w:trHeight w:val="1125" w:hRule="exact"/>
        </w:trPr>
        <w:tc>
          <w:tcPr>
            <w:tcW w:w="2656" w:type="dxa"/>
            <w:vMerge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</w:p>
        </w:tc>
        <w:tc>
          <w:tcPr>
            <w:tcW w:w="2223" w:type="dxa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OKZ Low Dose</w:t>
            </w:r>
          </w:p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(N=782)</w:t>
            </w:r>
          </w:p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n(%)</w:t>
            </w:r>
          </w:p>
        </w:tc>
        <w:tc>
          <w:tcPr>
            <w:tcW w:w="2223" w:type="dxa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OKZ High Dose</w:t>
            </w:r>
          </w:p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(N=742)</w:t>
            </w:r>
          </w:p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n(%)</w:t>
            </w:r>
          </w:p>
        </w:tc>
        <w:tc>
          <w:tcPr>
            <w:tcW w:w="2223" w:type="dxa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OKZ All Doses</w:t>
            </w:r>
          </w:p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(N=1524)</w:t>
            </w:r>
          </w:p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n(%)</w:t>
            </w:r>
          </w:p>
        </w:tc>
        <w:tc>
          <w:tcPr>
            <w:tcW w:w="2223" w:type="dxa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Placebo</w:t>
            </w:r>
          </w:p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(N=454)</w:t>
            </w:r>
          </w:p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n(%)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Gingivitis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Helicobacter gastritis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Helicobacter infection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2 (0.3)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2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Herpes dermatitis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Herpes ophthalmic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Herpes simplex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 (0)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(0.1)</w:t>
            </w:r>
          </w:p>
        </w:tc>
        <w:tc>
          <w:tcPr>
            <w:tcW w:w="2223" w:type="dxa"/>
            <w:vAlign w:val="center"/>
            <w:tcBorders>
              <w:top w:val="nil" w:color="auto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1 (0.2)</w:t>
            </w:r>
          </w:p>
        </w:tc>
      </w:tr>
    </w:tbl>
    <w:p>
      <w:pPr>
        <w:jc w:val="left"/>
        <w:spacing w:before="8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444444"/>
        </w:rPr>
        <w:t xml:space="preserve">Abbreviations: AE, adverse event; AESI, adverse event of special interest; CI, confidence interval; OKZ, Olokizumab; N, number of patients in treatment arm; n, number of patients with at least one adverse event</w:t>
      </w:r>
    </w:p>
    <w:p>
      <w:pPr>
        <w:jc w:val="left"/>
        <w:spacing w:before="8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444444"/>
        </w:rPr>
        <w:t xml:space="preserve">Note: MedDRA version 25.1</w:t>
      </w:r>
    </w:p>
    <w:p>
      <w:pPr>
        <w:jc w:val="left"/>
        <w:spacing w:before="8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444444"/>
        </w:rPr>
        <w:t xml:space="preserve">Note: OKZ Low dose = Olokizumab sc 64 mg q4w</w:t>
      </w:r>
    </w:p>
    <w:p>
      <w:pPr>
        <w:jc w:val="left"/>
        <w:spacing w:before="8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444444"/>
        </w:rPr>
        <w:t xml:space="preserve">Note: OKZ High dose = Olokizumab sc 64 mg q2w</w:t>
      </w:r>
    </w:p>
    <w:p>
      <w:pPr>
        <w:spacing w:before="0" w:after="0" w:line="20" w:lineRule="exact"/>
        <w:rPr>
          <w:sz w:val="2"/>
        </w:rPr>
      </w:pPr>
      <w:r>
        <w:rPr>
          <w:sz w:val="2"/>
        </w:rPr>
        <w:br w:type="page"/>
      </w:r>
    </w:p>
    <w:p>
      <w:pPr>
        <w:jc w:val="center"/>
        <w:spacing w:before="0" w:after="80" w:line="295" w:lineRule="exact"/>
        <w:ind w:left="0" w:right="0" w:firstLine="0"/>
      </w:pPr>
      <w:r>
        <w:rPr>
          <w:rFonts w:ascii="Arial" w:hAnsi="Arial" w:cs="Arial"/>
          <w:b/>
          <w:bCs/>
          <w:sz w:val="22"/>
          <w:szCs w:val="22"/>
          <w:color w:val="1B3C5E"/>
        </w:rPr>
        <w:t xml:space="preserve">Table 1.1</w:t>
      </w:r>
    </w:p>
    <w:p>
      <w:pPr>
        <w:jc w:val="center"/>
        <w:spacing w:before="0" w:after="80" w:line="295" w:lineRule="exact"/>
        <w:ind w:left="0" w:right="0" w:firstLine="0"/>
      </w:pPr>
      <w:r>
        <w:rPr>
          <w:rFonts w:ascii="Arial" w:hAnsi="Arial" w:cs="Arial"/>
          <w:b/>
          <w:bCs/>
          <w:sz w:val="22"/>
          <w:szCs w:val="22"/>
          <w:color w:val="1B3C5E"/>
        </w:rPr>
        <w:t xml:space="preserve">Adverse Events of Special Interest (Defined by Sponsor’s PT) by System Organ Class (SOC) and Preferred Term (PT): Infections. Placebo-Controlled Period. Pool #2a.</w:t>
      </w:r>
    </w:p>
    <w:p>
      <w:pPr>
        <w:jc w:val="center"/>
        <w:spacing w:before="0" w:after="80" w:line="295" w:lineRule="exact"/>
        <w:ind w:left="0" w:right="0" w:firstLine="0"/>
      </w:pPr>
      <w:r>
        <w:rPr>
          <w:rFonts w:ascii="Arial" w:hAnsi="Arial" w:cs="Arial"/>
          <w:b/>
          <w:bCs/>
          <w:i/>
          <w:iCs/>
          <w:sz w:val="22"/>
          <w:szCs w:val="22"/>
          <w:color w:val="1B3C5E"/>
        </w:rPr>
        <w:t xml:space="preserve">Safety Population</w:t>
      </w:r>
    </w:p>
    <w:tbl>
      <w:tblPr>
        <w:tblLayout w:type="fixed"/>
        <w:tblW w:w="11548" w:type="dxa"/>
        <w:jc w:val="center"/>
        <w:tblCellMar>
          <w:top w:w="0" w:type="dxa"/>
          <w:bottom w:w="0" w:type="dxa"/>
          <w:left w:w="80" w:type="dxa"/>
          <w:right w:w="80" w:type="dxa"/>
        </w:tblCellMar>
      </w:tblPr>
      <w:tblGrid>
        <w:gridCol w:w="2656"/>
        <w:gridCol w:w="2964"/>
        <w:gridCol w:w="2964"/>
        <w:gridCol w:w="2964"/>
      </w:tblGrid>
      <w:tr>
        <w:trPr>
          <w:tblHeader/>
          <w:cantSplit/>
          <w:trHeight w:val="522" w:hRule="exact"/>
        </w:trPr>
        <w:tc>
          <w:tcPr>
            <w:tcW w:w="2656" w:type="dxa"/>
            <w:vMerge w:val="restart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System Organ Class</w:t>
            </w:r>
          </w:p>
          <w:p>
            <w:pPr>
              <w:jc w:val="left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  Preferred Term</w:t>
            </w:r>
          </w:p>
        </w:tc>
        <w:tc>
          <w:tcPr>
            <w:tcW w:w="8892" w:type="dxa"/>
            <w:gridSpan w:val="3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Risk difference (%) vs Placebo (95% CI)</w:t>
            </w:r>
          </w:p>
        </w:tc>
      </w:tr>
      <w:tr>
        <w:trPr>
          <w:tblHeader/>
          <w:cantSplit/>
          <w:trHeight w:val="1125" w:hRule="exact"/>
        </w:trPr>
        <w:tc>
          <w:tcPr>
            <w:tcW w:w="2656" w:type="dxa"/>
            <w:vMerge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</w:p>
        </w:tc>
        <w:tc>
          <w:tcPr>
            <w:tcW w:w="2964" w:type="dxa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OKZ Low Dose</w:t>
            </w:r>
          </w:p>
        </w:tc>
        <w:tc>
          <w:tcPr>
            <w:tcW w:w="2964" w:type="dxa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OKZ High Dose</w:t>
            </w:r>
          </w:p>
        </w:tc>
        <w:tc>
          <w:tcPr>
            <w:tcW w:w="2964" w:type="dxa"/>
            <w:vAlign w:val="center"/>
            <w:shd w:val="clear" w:color="auto" w:fill="1B3C5E"/>
            <w:tcBorders>
              <w:top w:val="single" w:sz="12" w:color="1B3C5E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40" w:lineRule="auto"/>
              <w:ind w:left="0" w:right="0" w:firstLine="0"/>
            </w:pPr>
            <w:r>
              <w:rPr>
                <w:rFonts w:ascii="Arial" w:hAnsi="Arial" w:cs="Arial"/>
                <w:b/>
                <w:bCs/>
                <w:sz w:val="18"/>
                <w:szCs w:val="18"/>
                <w:color w:val="FFFFFF"/>
              </w:rPr>
              <w:t xml:space="preserve">OKZ All Doses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Gingivitis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0.12 [-0.74, 0.73]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--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0.06 [-0.79, 0.37]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Helicobacter gastritis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--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0.12 [-0.74, 0.76]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0.06 [-0.79, 0.37]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Helicobacter infection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--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0.25 [-0.62, 0.96]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0.12 [-0.73, 0.47]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Herpes dermatitis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0.12 [-0.74, 0.73]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--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0.06 [-0.79, 0.37]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Herpes ophthalmic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--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0.12 [-0.74, 0.76]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nil" w:color="auto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0.06 [-0.79, 0.37]</w:t>
            </w:r>
          </w:p>
        </w:tc>
      </w:tr>
      <w:tr>
        <w:trPr>
          <w:cantSplit/>
          <w:trHeight w:val="311" w:hRule="exact"/>
        </w:trPr>
        <w:tc>
          <w:tcPr>
            <w:tcW w:w="2656" w:type="dxa"/>
            <w:vAlign w:val="center"/>
            <w:tcBorders>
              <w:top w:val="nil" w:color="auto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left"/>
              <w:spacing w:before="0" w:after="0" w:line="276" w:lineRule="auto"/>
              <w:ind w:left="283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Herpes simplex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-0.12 [-1.18, 0.51]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-0.24 [-1.28, 0.27]</w:t>
            </w:r>
          </w:p>
        </w:tc>
        <w:tc>
          <w:tcPr>
            <w:tcW w:w="2964" w:type="dxa"/>
            <w:vAlign w:val="center"/>
            <w:tcBorders>
              <w:top w:val="nil" w:color="auto" w:space="0"/>
              <w:bottom w:val="single" w:sz="12" w:color="1B3C5E" w:space="0"/>
              <w:left w:val="nil" w:color="auto" w:space="0"/>
              <w:right w:val="nil" w:color="auto" w:space="0"/>
            </w:tcBorders>
            <w:tcMar>
              <w:left w:w="80" w:type="dxa"/>
              <w:right w:w="80" w:type="dxa"/>
            </w:tcMar>
          </w:tcPr>
          <w:p>
            <w:pPr>
              <w:jc w:val="center"/>
              <w:spacing w:before="0" w:after="0" w:line="276" w:lineRule="auto"/>
              <w:ind w:left="0" w:right="0" w:firstLine="0"/>
            </w:pPr>
            <w:r>
              <w:rPr>
                <w:rFonts w:ascii="Arial" w:hAnsi="Arial" w:cs="Arial"/>
                <w:sz w:val="18"/>
                <w:szCs w:val="18"/>
                <w:color w:val="1A1A2E"/>
              </w:rPr>
              <w:t xml:space="preserve">-0.17 [-1.21, 0.18]</w:t>
            </w:r>
          </w:p>
        </w:tc>
      </w:tr>
    </w:tbl>
    <w:p>
      <w:pPr>
        <w:jc w:val="left"/>
        <w:spacing w:before="8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444444"/>
        </w:rPr>
        <w:t xml:space="preserve">Abbreviations: AE, adverse event; AESI, adverse event of special interest; CI, confidence interval; OKZ, Olokizumab; N, number of patients in treatment arm; n, number of patients with at least one adverse event</w:t>
      </w:r>
    </w:p>
    <w:p>
      <w:pPr>
        <w:jc w:val="left"/>
        <w:spacing w:before="8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444444"/>
        </w:rPr>
        <w:t xml:space="preserve">Note: MedDRA version 25.1</w:t>
      </w:r>
    </w:p>
    <w:p>
      <w:pPr>
        <w:jc w:val="left"/>
        <w:spacing w:before="8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444444"/>
        </w:rPr>
        <w:t xml:space="preserve">Note: OKZ Low dose = Olokizumab sc 64 mg q4w</w:t>
      </w:r>
    </w:p>
    <w:p>
      <w:pPr>
        <w:jc w:val="left"/>
        <w:spacing w:before="80" w:after="0" w:line="179" w:lineRule="exact"/>
        <w:ind w:left="2307" w:right="2307" w:firstLine="0"/>
      </w:pPr>
      <w:r>
        <w:rPr>
          <w:rFonts w:ascii="Arial" w:hAnsi="Arial" w:cs="Arial"/>
          <w:i/>
          <w:iCs/>
          <w:sz w:val="16"/>
          <w:szCs w:val="16"/>
          <w:color w:val="444444"/>
        </w:rPr>
        <w:t xml:space="preserve">Note: OKZ High dose = Olokizumab sc 64 mg q2w</w:t>
      </w:r>
    </w:p>
    <w:sectPr>
      <w:headerReference w:type="default" r:id="rId6"/>
      <w:footerReference w:type="default" r:id="rId7"/>
      <w:pgSz w:w="16838" w:h="11906" w:orient="landscape"/>
      <w:pgMar w:top="1080" w:bottom="1080" w:left="720" w:right="720" w:header="504" w:footer="504"/>
    </w:sectPr>
  </w:body>
</w:document>
</file>

<file path=word/fontTable.xml><?xml version="1.0" encoding="utf-8"?>
<w:fonts xmlns:w="http://schemas.openxmlformats.org/wordprocessingml/2006/main">
  <w:font w:name="Arial">
    <w:charset w:val="00"/>
    <w:family w:val="modern"/>
    <w:pitch w:val="fixed"/>
  </w:font>
  <w:font w:name="Times New Roman">
    <w:charset w:val="00"/>
    <w:family w:val="roman"/>
    <w:pitch w:val="variable"/>
  </w:font>
</w:fonts>
</file>

<file path=word/footer2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tabs>
        <w:tab w:val="center" w:pos="7699"/>
        <w:tab w:val="right" w:pos="15398"/>
      </w:tabs>
    </w:pPr>
    <w:r>
      <w:rPr>
        <w:rFonts w:ascii="Arial" w:hAnsi="Arial" w:cs="Arial"/>
        <w:i/>
        <w:iCs/>
        <w:sz w:val="16"/>
        <w:szCs w:val="16"/>
        <w:color w:val="1A1A2E"/>
      </w:rPr>
      <w:t xml:space="preserve">Example Outputs</w:t>
    </w:r>
    <w:r>
      <w:tab/>
    </w:r>
    <w:r>
      <w:tab/>
    </w:r>
    <w:r>
      <w:rPr>
        <w:rFonts w:ascii="Arial" w:hAnsi="Arial" w:cs="Arial"/>
        <w:i/>
        <w:iCs/>
        <w:sz w:val="16"/>
        <w:szCs w:val="16"/>
        <w:color w:val="1A1A2E"/>
      </w:rPr>
      <w:t xml:space="preserve">For presentation purposes</w:t>
    </w:r>
  </w:p>
  <w:p>
    <w:pPr>
      <w:spacing w:before="0" w:after="0" w:line="240" w:lineRule="auto"/>
      <w:tabs>
        <w:tab w:val="center" w:pos="7699"/>
        <w:tab w:val="right" w:pos="15398"/>
      </w:tabs>
    </w:pPr>
    <w:r>
      <w:rPr>
        <w:rFonts w:ascii="Arial" w:hAnsi="Arial" w:cs="Arial"/>
        <w:sz w:val="16"/>
        <w:szCs w:val="16"/>
        <w:color w:val="1A1A2E"/>
      </w:rPr>
      <w:t xml:space="preserve">Program: some_program.R</w:t>
    </w:r>
    <w:r>
      <w:tab/>
    </w:r>
    <w:r>
      <w:tab/>
    </w:r>
  </w:p>
</w:ftr>
</file>

<file path=word/footer4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tabs>
        <w:tab w:val="center" w:pos="7699"/>
        <w:tab w:val="right" w:pos="15398"/>
      </w:tabs>
    </w:pPr>
    <w:r>
      <w:rPr>
        <w:rFonts w:ascii="Arial" w:hAnsi="Arial" w:cs="Arial"/>
        <w:i/>
        <w:iCs/>
        <w:sz w:val="16"/>
        <w:szCs w:val="16"/>
        <w:color w:val="1A1A2E"/>
      </w:rPr>
      <w:t xml:space="preserve">Example Outputs</w:t>
    </w:r>
    <w:r>
      <w:tab/>
    </w:r>
    <w:r>
      <w:tab/>
    </w:r>
    <w:r>
      <w:rPr>
        <w:rFonts w:ascii="Arial" w:hAnsi="Arial" w:cs="Arial"/>
        <w:i/>
        <w:iCs/>
        <w:sz w:val="16"/>
        <w:szCs w:val="16"/>
        <w:color w:val="1A1A2E"/>
      </w:rPr>
      <w:t xml:space="preserve">For presentation purposes</w:t>
    </w:r>
  </w:p>
  <w:p>
    <w:pPr>
      <w:spacing w:before="0" w:after="0" w:line="240" w:lineRule="auto"/>
      <w:tabs>
        <w:tab w:val="center" w:pos="7699"/>
        <w:tab w:val="right" w:pos="15398"/>
      </w:tabs>
    </w:pPr>
    <w:r>
      <w:rPr>
        <w:rFonts w:ascii="Arial" w:hAnsi="Arial" w:cs="Arial"/>
        <w:sz w:val="16"/>
        <w:szCs w:val="16"/>
        <w:color w:val="1A1A2E"/>
      </w:rPr>
      <w:t xml:space="preserve">Program: some_program.R</w:t>
    </w:r>
    <w:r>
      <w:tab/>
    </w:r>
    <w:r>
      <w:tab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 w:line="240" w:lineRule="auto"/>
      <w:tabs>
        <w:tab w:val="center" w:pos="7699"/>
        <w:tab w:val="right" w:pos="15398"/>
      </w:tabs>
    </w:pPr>
    <w:r>
      <w:rPr>
        <w:rFonts w:ascii="Arial" w:hAnsi="Arial" w:cs="Arial"/>
        <w:sz w:val="16"/>
        <w:szCs w:val="16"/>
        <w:color w:val="1A1A2E"/>
      </w:rPr>
      <w:t xml:space="preserve">KeyStat LLC.</w:t>
    </w:r>
    <w:r>
      <w:tab/>
    </w:r>
    <w:r>
      <w:rPr>
        <w:rFonts w:ascii="Arial" w:hAnsi="Arial" w:cs="Arial"/>
        <w:sz w:val="16"/>
        <w:szCs w:val="16"/>
        <w:color w:val="1A1A2E"/>
      </w:rPr>
      <w:t xml:space="preserve">CONFIDENTIAL</w:t>
    </w:r>
    <w:r>
      <w:tab/>
    </w:r>
    <w:r>
      <w:rPr>
        <w:rFonts w:ascii="Arial" w:hAnsi="Arial" w:cs="Arial"/>
        <w:sz w:val="16"/>
        <w:szCs w:val="16"/>
        <w:color w:val="1A1A2E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rPr>
        <w:rFonts w:ascii="Arial" w:hAnsi="Arial" w:cs="Arial"/>
        <w:sz w:val="16"/>
        <w:szCs w:val="16"/>
        <w:color w:val="1A1A2E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fldChar w:fldCharType="end"/>
    </w:r>
  </w:p>
  <w:p>
    <w:pPr>
      <w:spacing w:before="0" w:after="0" w:line="240" w:lineRule="auto"/>
      <w:tabs>
        <w:tab w:val="center" w:pos="7699"/>
        <w:tab w:val="right" w:pos="15398"/>
      </w:tabs>
    </w:pPr>
    <w:r>
      <w:rPr>
        <w:rFonts w:ascii="Arial" w:hAnsi="Arial" w:cs="Arial"/>
        <w:sz w:val="16"/>
        <w:szCs w:val="16"/>
        <w:color w:val="1A1A2E"/>
      </w:rPr>
      <w:t xml:space="preserve">Study: Miracle Drug 001</w:t>
    </w:r>
    <w:r>
      <w:tab/>
    </w:r>
    <w:r>
      <w:tab/>
    </w:r>
  </w:p>
</w:hdr>
</file>

<file path=word/header3.xml><?xml version="1.0" encoding="utf-8"?>
<w:hdr xmlns:w="http://schemas.openxmlformats.org/wordprocessingml/2006/main" xmlns:r="http://schemas.openxmlformats.org/officeDocument/2006/relationships">
  <w:p>
    <w:pPr>
      <w:spacing w:before="0" w:after="0" w:line="240" w:lineRule="auto"/>
      <w:tabs>
        <w:tab w:val="center" w:pos="7699"/>
        <w:tab w:val="right" w:pos="15398"/>
      </w:tabs>
    </w:pPr>
    <w:r>
      <w:rPr>
        <w:rFonts w:ascii="Arial" w:hAnsi="Arial" w:cs="Arial"/>
        <w:sz w:val="16"/>
        <w:szCs w:val="16"/>
        <w:color w:val="1A1A2E"/>
      </w:rPr>
      <w:t xml:space="preserve">KeyStat LLC.</w:t>
    </w:r>
    <w:r>
      <w:tab/>
    </w:r>
    <w:r>
      <w:rPr>
        <w:rFonts w:ascii="Arial" w:hAnsi="Arial" w:cs="Arial"/>
        <w:sz w:val="16"/>
        <w:szCs w:val="16"/>
        <w:color w:val="1A1A2E"/>
      </w:rPr>
      <w:t xml:space="preserve">CONFIDENTIAL</w:t>
    </w:r>
    <w:r>
      <w:tab/>
    </w:r>
    <w:r>
      <w:rPr>
        <w:rFonts w:ascii="Arial" w:hAnsi="Arial" w:cs="Arial"/>
        <w:sz w:val="16"/>
        <w:szCs w:val="16"/>
        <w:color w:val="1A1A2E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rPr>
        <w:rFonts w:ascii="Arial" w:hAnsi="Arial" w:cs="Arial"/>
        <w:sz w:val="16"/>
        <w:szCs w:val="16"/>
        <w:color w:val="1A1A2E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fldChar w:fldCharType="end"/>
    </w:r>
  </w:p>
  <w:p>
    <w:pPr>
      <w:spacing w:before="0" w:after="0" w:line="240" w:lineRule="auto"/>
      <w:tabs>
        <w:tab w:val="center" w:pos="7699"/>
        <w:tab w:val="right" w:pos="15398"/>
      </w:tabs>
    </w:pPr>
    <w:r>
      <w:rPr>
        <w:rFonts w:ascii="Arial" w:hAnsi="Arial" w:cs="Arial"/>
        <w:sz w:val="16"/>
        <w:szCs w:val="16"/>
        <w:color w:val="1A1A2E"/>
      </w:rPr>
      <w:t xml:space="preserve">Study: Miracle Drug 001</w:t>
    </w:r>
    <w:r>
      <w:tab/>
    </w:r>
    <w:r>
      <w:tab/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updateFields w:val="false"/>
  <w:widowControl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18"/>
        <w:szCs w:val="18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paragraph" w:styleId="TOC1">
    <w:name w:val="toc 1"/>
    <w:basedOn w:val="Normal"/>
    <w:pPr>
      <w:tabs>
        <w:tab w:val="right" w:leader="dot" w:pos="15398"/>
      </w:tabs>
    </w:pPr>
  </w:style>
  <w:style w:type="paragraph" w:styleId="TOC2">
    <w:name w:val="toc 2"/>
    <w:basedOn w:val="Normal"/>
    <w:pPr>
      <w:ind w:left="360"/>
      <w:tabs>
        <w:tab w:val="right" w:leader="dot" w:pos="15398"/>
      </w:tabs>
    </w:pPr>
  </w:style>
  <w:style w:type="paragraph" w:styleId="TOC3">
    <w:name w:val="toc 3"/>
    <w:basedOn w:val="Normal"/>
    <w:pPr>
      <w:ind w:left="720"/>
      <w:tabs>
        <w:tab w:val="right" w:leader="dot" w:pos="15398"/>
      </w:tabs>
    </w:pPr>
  </w:style>
  <w:style w:type="paragraph" w:styleId="TOC4">
    <w:name w:val="toc 4"/>
    <w:basedOn w:val="Normal"/>
    <w:pPr>
      <w:ind w:left="1080"/>
      <w:tabs>
        <w:tab w:val="right" w:leader="dot" w:pos="15398"/>
      </w:tabs>
    </w:pPr>
  </w:style>
  <w:style w:type="paragraph" w:styleId="TOC5">
    <w:name w:val="toc 5"/>
    <w:basedOn w:val="Normal"/>
    <w:pPr>
      <w:ind w:left="1440"/>
      <w:tabs>
        <w:tab w:val="right" w:leader="dot" w:pos="15398"/>
      </w:tabs>
    </w:pPr>
  </w:style>
  <w:style w:type="paragraph" w:styleId="TOC6">
    <w:name w:val="toc 6"/>
    <w:basedOn w:val="Normal"/>
    <w:pPr>
      <w:ind w:left="1800"/>
      <w:tabs>
        <w:tab w:val="right" w:leader="dot" w:pos="15398"/>
      </w:tabs>
    </w:pPr>
  </w:style>
  <w:style w:type="paragraph" w:styleId="TOC7">
    <w:name w:val="toc 7"/>
    <w:basedOn w:val="Normal"/>
    <w:pPr>
      <w:ind w:left="2160"/>
      <w:tabs>
        <w:tab w:val="right" w:leader="dot" w:pos="15398"/>
      </w:tabs>
    </w:pPr>
  </w:style>
  <w:style w:type="paragraph" w:styleId="TOC8">
    <w:name w:val="toc 8"/>
    <w:basedOn w:val="Normal"/>
    <w:pPr>
      <w:ind w:left="2520"/>
      <w:tabs>
        <w:tab w:val="right" w:leader="dot" w:pos="15398"/>
      </w:tabs>
    </w:pPr>
  </w:style>
  <w:style w:type="paragraph" w:styleId="TOC9">
    <w:name w:val="toc 9"/>
    <w:basedOn w:val="Normal"/>
    <w:pPr>
      <w:ind w:left="2880"/>
      <w:tabs>
        <w:tab w:val="right" w:leader="dot" w:pos="15398"/>
      </w:tabs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4.xml"/></Relationships>
</file>