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64B95" w14:textId="0BF132F9" w:rsidR="008E4979" w:rsidRPr="00F62E3F" w:rsidRDefault="00125B0C" w:rsidP="000B31A7">
      <w:pPr>
        <w:pStyle w:val="Header"/>
        <w:widowControl/>
        <w:shd w:val="clear" w:color="auto" w:fill="FFFFFF" w:themeFill="background1"/>
        <w:tabs>
          <w:tab w:val="clear" w:pos="4320"/>
          <w:tab w:val="left" w:pos="8640"/>
        </w:tabs>
        <w:spacing w:after="100" w:afterAutospacing="1"/>
        <w:jc w:val="center"/>
        <w:rPr>
          <w:b/>
          <w:bCs/>
          <w:sz w:val="21"/>
          <w:szCs w:val="21"/>
        </w:rPr>
      </w:pPr>
      <w:r w:rsidRPr="00F62E3F">
        <w:rPr>
          <w:b/>
          <w:bCs/>
          <w:sz w:val="21"/>
          <w:szCs w:val="21"/>
        </w:rPr>
        <w:t>TAVANT</w:t>
      </w:r>
      <w:r w:rsidR="008F43CA" w:rsidRPr="00F62E3F">
        <w:rPr>
          <w:b/>
          <w:bCs/>
          <w:sz w:val="21"/>
          <w:szCs w:val="21"/>
        </w:rPr>
        <w:t xml:space="preserve"> TECHNOLOGIES, INC.</w:t>
      </w:r>
      <w:r w:rsidR="00B56D70" w:rsidRPr="00F62E3F">
        <w:rPr>
          <w:b/>
          <w:bCs/>
          <w:sz w:val="21"/>
          <w:szCs w:val="21"/>
        </w:rPr>
        <w:br/>
      </w:r>
      <w:r w:rsidR="004F127F" w:rsidRPr="00F62E3F">
        <w:rPr>
          <w:b/>
          <w:bCs/>
          <w:sz w:val="21"/>
          <w:szCs w:val="21"/>
        </w:rPr>
        <w:t xml:space="preserve">TOUCHLESS LENDING </w:t>
      </w:r>
      <w:r w:rsidR="004F127F" w:rsidRPr="00F62E3F">
        <w:rPr>
          <w:b/>
          <w:bCs/>
          <w:sz w:val="21"/>
          <w:szCs w:val="21"/>
          <w:vertAlign w:val="superscript"/>
        </w:rPr>
        <w:t>TM</w:t>
      </w:r>
      <w:r w:rsidR="004F127F" w:rsidRPr="00F62E3F">
        <w:rPr>
          <w:b/>
          <w:bCs/>
          <w:sz w:val="21"/>
          <w:szCs w:val="21"/>
        </w:rPr>
        <w:t xml:space="preserve"> </w:t>
      </w:r>
      <w:r w:rsidR="004E2872" w:rsidRPr="00F62E3F">
        <w:rPr>
          <w:b/>
          <w:bCs/>
          <w:sz w:val="21"/>
          <w:szCs w:val="21"/>
        </w:rPr>
        <w:t>PLAT</w:t>
      </w:r>
      <w:r w:rsidR="004A7F8F" w:rsidRPr="00F62E3F">
        <w:rPr>
          <w:b/>
          <w:bCs/>
          <w:sz w:val="21"/>
          <w:szCs w:val="21"/>
        </w:rPr>
        <w:t>F</w:t>
      </w:r>
      <w:r w:rsidR="004E2872" w:rsidRPr="00F62E3F">
        <w:rPr>
          <w:b/>
          <w:bCs/>
          <w:sz w:val="21"/>
          <w:szCs w:val="21"/>
        </w:rPr>
        <w:t xml:space="preserve">ORM </w:t>
      </w:r>
      <w:r w:rsidR="00AB3D50" w:rsidRPr="00F62E3F">
        <w:rPr>
          <w:b/>
          <w:bCs/>
          <w:sz w:val="21"/>
          <w:szCs w:val="21"/>
        </w:rPr>
        <w:t>SERVICES</w:t>
      </w:r>
      <w:r w:rsidR="000316BF" w:rsidRPr="00F62E3F">
        <w:rPr>
          <w:b/>
          <w:bCs/>
          <w:sz w:val="21"/>
          <w:szCs w:val="21"/>
        </w:rPr>
        <w:t xml:space="preserve"> </w:t>
      </w:r>
      <w:r w:rsidR="00FB3304" w:rsidRPr="00F62E3F">
        <w:rPr>
          <w:b/>
          <w:bCs/>
          <w:sz w:val="21"/>
          <w:szCs w:val="21"/>
        </w:rPr>
        <w:t>AGREEMENT</w:t>
      </w:r>
    </w:p>
    <w:p w14:paraId="02CE7763" w14:textId="2D9A4393" w:rsidR="00AB3D50" w:rsidRPr="00F62E3F" w:rsidRDefault="00687940" w:rsidP="000B31A7">
      <w:pPr>
        <w:widowControl/>
        <w:shd w:val="clear" w:color="auto" w:fill="FFFFFF" w:themeFill="background1"/>
        <w:overflowPunct/>
        <w:autoSpaceDE/>
        <w:autoSpaceDN/>
        <w:adjustRightInd/>
        <w:jc w:val="both"/>
        <w:textAlignment w:val="auto"/>
        <w:rPr>
          <w:sz w:val="21"/>
          <w:szCs w:val="21"/>
        </w:rPr>
      </w:pPr>
      <w:r w:rsidRPr="00F62E3F">
        <w:rPr>
          <w:sz w:val="21"/>
          <w:szCs w:val="21"/>
        </w:rPr>
        <w:t xml:space="preserve">This </w:t>
      </w:r>
      <w:r w:rsidR="004F127F" w:rsidRPr="00F62E3F">
        <w:rPr>
          <w:sz w:val="21"/>
          <w:szCs w:val="21"/>
        </w:rPr>
        <w:t>Touchless Lending</w:t>
      </w:r>
      <w:r w:rsidR="004F127F" w:rsidRPr="00F62E3F">
        <w:rPr>
          <w:sz w:val="21"/>
          <w:szCs w:val="21"/>
          <w:vertAlign w:val="superscript"/>
        </w:rPr>
        <w:t>TM</w:t>
      </w:r>
      <w:r w:rsidR="004F127F" w:rsidRPr="00F62E3F">
        <w:rPr>
          <w:sz w:val="21"/>
          <w:szCs w:val="21"/>
        </w:rPr>
        <w:t xml:space="preserve"> </w:t>
      </w:r>
      <w:r w:rsidR="004E2872" w:rsidRPr="00F62E3F">
        <w:rPr>
          <w:sz w:val="21"/>
          <w:szCs w:val="21"/>
        </w:rPr>
        <w:t xml:space="preserve">Platform </w:t>
      </w:r>
      <w:r w:rsidR="00B979ED" w:rsidRPr="00F62E3F">
        <w:rPr>
          <w:sz w:val="21"/>
          <w:szCs w:val="21"/>
        </w:rPr>
        <w:t>Services</w:t>
      </w:r>
      <w:r w:rsidRPr="00F62E3F">
        <w:rPr>
          <w:sz w:val="21"/>
          <w:szCs w:val="21"/>
        </w:rPr>
        <w:t xml:space="preserve"> </w:t>
      </w:r>
      <w:r w:rsidR="00FB3304" w:rsidRPr="00F62E3F">
        <w:rPr>
          <w:sz w:val="21"/>
          <w:szCs w:val="21"/>
        </w:rPr>
        <w:t>Agreement</w:t>
      </w:r>
      <w:r w:rsidRPr="00F62E3F">
        <w:rPr>
          <w:sz w:val="21"/>
          <w:szCs w:val="21"/>
        </w:rPr>
        <w:t xml:space="preserve"> (“</w:t>
      </w:r>
      <w:r w:rsidR="00FB3304" w:rsidRPr="00F62E3F">
        <w:rPr>
          <w:b/>
          <w:sz w:val="21"/>
          <w:szCs w:val="21"/>
        </w:rPr>
        <w:t>Agreement</w:t>
      </w:r>
      <w:r w:rsidRPr="00F62E3F">
        <w:rPr>
          <w:sz w:val="21"/>
          <w:szCs w:val="21"/>
        </w:rPr>
        <w:t xml:space="preserve">”) is made and entered into as of </w:t>
      </w:r>
      <w:r w:rsidR="00E963D4" w:rsidRPr="00F62E3F">
        <w:rPr>
          <w:sz w:val="21"/>
          <w:szCs w:val="21"/>
        </w:rPr>
        <w:t>_____________________</w:t>
      </w:r>
      <w:r w:rsidRPr="00F62E3F">
        <w:rPr>
          <w:sz w:val="21"/>
          <w:szCs w:val="21"/>
        </w:rPr>
        <w:t>(“</w:t>
      </w:r>
      <w:r w:rsidRPr="00F62E3F">
        <w:rPr>
          <w:b/>
          <w:sz w:val="21"/>
          <w:szCs w:val="21"/>
        </w:rPr>
        <w:t>Effective Date</w:t>
      </w:r>
      <w:r w:rsidRPr="00F62E3F">
        <w:rPr>
          <w:sz w:val="21"/>
          <w:szCs w:val="21"/>
        </w:rPr>
        <w:t xml:space="preserve">”), by and between </w:t>
      </w:r>
      <w:r w:rsidR="00107CA7" w:rsidRPr="00F62E3F">
        <w:rPr>
          <w:sz w:val="21"/>
          <w:szCs w:val="21"/>
        </w:rPr>
        <w:t xml:space="preserve">Tavant Technologies, Inc. a Washington corporation, having its principal place of business at </w:t>
      </w:r>
      <w:r w:rsidR="00125B0C" w:rsidRPr="00F62E3F">
        <w:rPr>
          <w:sz w:val="21"/>
          <w:szCs w:val="21"/>
        </w:rPr>
        <w:t>39</w:t>
      </w:r>
      <w:r w:rsidR="005E1823">
        <w:rPr>
          <w:sz w:val="21"/>
          <w:szCs w:val="21"/>
        </w:rPr>
        <w:t>4</w:t>
      </w:r>
      <w:r w:rsidR="00125B0C" w:rsidRPr="00F62E3F">
        <w:rPr>
          <w:sz w:val="21"/>
          <w:szCs w:val="21"/>
        </w:rPr>
        <w:t xml:space="preserve">5 Freedom Circle, Suite </w:t>
      </w:r>
      <w:r w:rsidR="005E1823">
        <w:rPr>
          <w:sz w:val="21"/>
          <w:szCs w:val="21"/>
        </w:rPr>
        <w:t>60</w:t>
      </w:r>
      <w:r w:rsidR="00125B0C" w:rsidRPr="00F62E3F">
        <w:rPr>
          <w:sz w:val="21"/>
          <w:szCs w:val="21"/>
        </w:rPr>
        <w:t>0, Santa Clara, CA 95054 (“</w:t>
      </w:r>
      <w:r w:rsidR="00125B0C" w:rsidRPr="00F62E3F">
        <w:rPr>
          <w:b/>
          <w:bCs/>
          <w:sz w:val="21"/>
          <w:szCs w:val="21"/>
        </w:rPr>
        <w:t>Tavant</w:t>
      </w:r>
      <w:r w:rsidR="00125B0C" w:rsidRPr="00F62E3F">
        <w:rPr>
          <w:sz w:val="21"/>
          <w:szCs w:val="21"/>
        </w:rPr>
        <w:t xml:space="preserve">”), </w:t>
      </w:r>
      <w:r w:rsidR="00FB3304" w:rsidRPr="00F62E3F">
        <w:rPr>
          <w:sz w:val="21"/>
          <w:szCs w:val="21"/>
        </w:rPr>
        <w:t>and</w:t>
      </w:r>
      <w:r w:rsidR="002111DA" w:rsidRPr="00F62E3F">
        <w:rPr>
          <w:sz w:val="21"/>
          <w:szCs w:val="21"/>
          <w:u w:val="single"/>
        </w:rPr>
        <w:t>,</w:t>
      </w:r>
      <w:r w:rsidR="00185F48" w:rsidRPr="00F62E3F">
        <w:rPr>
          <w:sz w:val="21"/>
          <w:szCs w:val="21"/>
        </w:rPr>
        <w:t xml:space="preserve"> </w:t>
      </w:r>
      <w:r w:rsidR="000C411F">
        <w:rPr>
          <w:sz w:val="21"/>
          <w:szCs w:val="21"/>
        </w:rPr>
        <w:t>Mason McDuffie Mortgage</w:t>
      </w:r>
      <w:r w:rsidR="00386A7D">
        <w:rPr>
          <w:sz w:val="21"/>
          <w:szCs w:val="21"/>
        </w:rPr>
        <w:t xml:space="preserve"> </w:t>
      </w:r>
      <w:r w:rsidR="00185F48" w:rsidRPr="00F62E3F">
        <w:rPr>
          <w:sz w:val="21"/>
          <w:szCs w:val="21"/>
        </w:rPr>
        <w:t>having its principal place of business</w:t>
      </w:r>
      <w:r w:rsidR="002B304D" w:rsidRPr="00F62E3F">
        <w:rPr>
          <w:sz w:val="21"/>
          <w:szCs w:val="21"/>
        </w:rPr>
        <w:t xml:space="preserve"> at</w:t>
      </w:r>
      <w:r w:rsidR="00185F48" w:rsidRPr="00F62E3F">
        <w:rPr>
          <w:sz w:val="21"/>
          <w:szCs w:val="21"/>
        </w:rPr>
        <w:t xml:space="preserve"> </w:t>
      </w:r>
      <w:r w:rsidR="000C411F">
        <w:rPr>
          <w:sz w:val="21"/>
          <w:szCs w:val="21"/>
        </w:rPr>
        <w:t>12647 Alcosta Blvd Suite 300, San Ramon, CA, 94583</w:t>
      </w:r>
      <w:r w:rsidR="00386A7D">
        <w:rPr>
          <w:sz w:val="21"/>
          <w:szCs w:val="21"/>
        </w:rPr>
        <w:t xml:space="preserve"> </w:t>
      </w:r>
      <w:r w:rsidR="00D33750" w:rsidRPr="00F62E3F">
        <w:rPr>
          <w:sz w:val="21"/>
          <w:szCs w:val="21"/>
        </w:rPr>
        <w:t xml:space="preserve"> </w:t>
      </w:r>
      <w:r w:rsidR="008A62B8" w:rsidRPr="00F62E3F">
        <w:rPr>
          <w:sz w:val="21"/>
          <w:szCs w:val="21"/>
        </w:rPr>
        <w:t xml:space="preserve"> </w:t>
      </w:r>
      <w:r w:rsidR="00125B0C" w:rsidRPr="00F62E3F">
        <w:rPr>
          <w:sz w:val="21"/>
          <w:szCs w:val="21"/>
        </w:rPr>
        <w:t>(“Customer”)</w:t>
      </w:r>
      <w:r w:rsidR="00C16079" w:rsidRPr="00F62E3F">
        <w:rPr>
          <w:sz w:val="21"/>
          <w:szCs w:val="21"/>
        </w:rPr>
        <w:t>, each a “Party” and collectively the “Parties”</w:t>
      </w:r>
      <w:r w:rsidRPr="00F62E3F">
        <w:rPr>
          <w:sz w:val="21"/>
          <w:szCs w:val="21"/>
        </w:rPr>
        <w:t>.</w:t>
      </w:r>
      <w:r w:rsidR="00CC273A" w:rsidRPr="00F62E3F">
        <w:rPr>
          <w:sz w:val="21"/>
          <w:szCs w:val="21"/>
        </w:rPr>
        <w:t xml:space="preserve"> </w:t>
      </w:r>
    </w:p>
    <w:p w14:paraId="45C6D154" w14:textId="77777777" w:rsidR="002111DA" w:rsidRPr="00F62E3F" w:rsidRDefault="002111DA" w:rsidP="000B31A7">
      <w:pPr>
        <w:widowControl/>
        <w:shd w:val="clear" w:color="auto" w:fill="FFFFFF" w:themeFill="background1"/>
        <w:overflowPunct/>
        <w:autoSpaceDE/>
        <w:autoSpaceDN/>
        <w:adjustRightInd/>
        <w:textAlignment w:val="auto"/>
        <w:rPr>
          <w:sz w:val="21"/>
          <w:szCs w:val="21"/>
        </w:rPr>
      </w:pPr>
    </w:p>
    <w:p w14:paraId="77595E7A" w14:textId="77777777" w:rsidR="00C16079" w:rsidRPr="00F62E3F" w:rsidRDefault="00C16079" w:rsidP="000B31A7">
      <w:pPr>
        <w:widowControl/>
        <w:shd w:val="clear" w:color="auto" w:fill="FFFFFF" w:themeFill="background1"/>
        <w:spacing w:after="240"/>
        <w:jc w:val="center"/>
        <w:rPr>
          <w:sz w:val="21"/>
          <w:szCs w:val="21"/>
        </w:rPr>
      </w:pPr>
      <w:r w:rsidRPr="00F62E3F">
        <w:rPr>
          <w:sz w:val="21"/>
          <w:szCs w:val="21"/>
        </w:rPr>
        <w:t>RECITALS</w:t>
      </w:r>
    </w:p>
    <w:p w14:paraId="0525039F" w14:textId="7D44448D" w:rsidR="00FF3D17" w:rsidRPr="00F62E3F" w:rsidRDefault="00FF3D17" w:rsidP="000B31A7">
      <w:pPr>
        <w:pStyle w:val="ListParagraph"/>
        <w:widowControl/>
        <w:numPr>
          <w:ilvl w:val="0"/>
          <w:numId w:val="3"/>
        </w:numPr>
        <w:shd w:val="clear" w:color="auto" w:fill="FFFFFF" w:themeFill="background1"/>
        <w:spacing w:after="240"/>
        <w:jc w:val="both"/>
        <w:rPr>
          <w:sz w:val="21"/>
          <w:szCs w:val="21"/>
        </w:rPr>
      </w:pPr>
      <w:r w:rsidRPr="00F62E3F">
        <w:rPr>
          <w:sz w:val="21"/>
          <w:szCs w:val="21"/>
        </w:rPr>
        <w:t xml:space="preserve">Tavant has developed a proprietary software solution, </w:t>
      </w:r>
      <w:r w:rsidRPr="00F62E3F">
        <w:rPr>
          <w:b/>
          <w:bCs/>
          <w:sz w:val="21"/>
          <w:szCs w:val="21"/>
        </w:rPr>
        <w:t>Touchless Lending</w:t>
      </w:r>
      <w:r w:rsidRPr="00F62E3F">
        <w:rPr>
          <w:b/>
          <w:bCs/>
          <w:sz w:val="21"/>
          <w:szCs w:val="21"/>
          <w:vertAlign w:val="superscript"/>
        </w:rPr>
        <w:t>TM</w:t>
      </w:r>
      <w:r w:rsidRPr="00F62E3F">
        <w:rPr>
          <w:b/>
          <w:bCs/>
          <w:sz w:val="21"/>
          <w:szCs w:val="21"/>
        </w:rPr>
        <w:t xml:space="preserve"> Platform Services</w:t>
      </w:r>
      <w:r w:rsidRPr="00F62E3F">
        <w:rPr>
          <w:sz w:val="21"/>
          <w:szCs w:val="21"/>
        </w:rPr>
        <w:t xml:space="preserve">, which enables Tavant’s customers’ </w:t>
      </w:r>
      <w:r w:rsidR="00B8294E" w:rsidRPr="00F62E3F">
        <w:rPr>
          <w:sz w:val="21"/>
          <w:szCs w:val="21"/>
        </w:rPr>
        <w:t>Authorized</w:t>
      </w:r>
      <w:r w:rsidRPr="00F62E3F">
        <w:rPr>
          <w:sz w:val="21"/>
          <w:szCs w:val="21"/>
        </w:rPr>
        <w:t xml:space="preserve"> Users to work on the Business Opportunity </w:t>
      </w:r>
      <w:r w:rsidR="00B8294E" w:rsidRPr="00F62E3F">
        <w:rPr>
          <w:sz w:val="21"/>
          <w:szCs w:val="21"/>
        </w:rPr>
        <w:t>(as</w:t>
      </w:r>
      <w:r w:rsidR="00031CCE" w:rsidRPr="00F62E3F">
        <w:rPr>
          <w:sz w:val="21"/>
          <w:szCs w:val="21"/>
        </w:rPr>
        <w:t xml:space="preserve"> defined below) </w:t>
      </w:r>
      <w:r w:rsidRPr="00F62E3F">
        <w:rPr>
          <w:sz w:val="21"/>
          <w:szCs w:val="21"/>
        </w:rPr>
        <w:t xml:space="preserve">and communicate with the customers’ loan origination system for a seamless transaction experience.  </w:t>
      </w:r>
      <w:r w:rsidR="00DC2A9C" w:rsidRPr="00F62E3F">
        <w:rPr>
          <w:sz w:val="21"/>
          <w:szCs w:val="21"/>
        </w:rPr>
        <w:t>T</w:t>
      </w:r>
      <w:r w:rsidR="00DC2A9C" w:rsidRPr="00F62E3F">
        <w:rPr>
          <w:b/>
          <w:bCs/>
          <w:sz w:val="21"/>
          <w:szCs w:val="21"/>
        </w:rPr>
        <w:t>ouchless Lending</w:t>
      </w:r>
      <w:r w:rsidR="00DC2A9C" w:rsidRPr="00F62E3F">
        <w:rPr>
          <w:b/>
          <w:bCs/>
          <w:sz w:val="21"/>
          <w:szCs w:val="21"/>
          <w:vertAlign w:val="superscript"/>
        </w:rPr>
        <w:t>TM</w:t>
      </w:r>
      <w:r w:rsidR="00DC2A9C" w:rsidRPr="00F62E3F">
        <w:rPr>
          <w:b/>
          <w:bCs/>
          <w:sz w:val="21"/>
          <w:szCs w:val="21"/>
        </w:rPr>
        <w:t xml:space="preserve"> Platform Services</w:t>
      </w:r>
      <w:r w:rsidR="00DC2A9C" w:rsidRPr="00F62E3F">
        <w:rPr>
          <w:sz w:val="21"/>
          <w:szCs w:val="21"/>
        </w:rPr>
        <w:t xml:space="preserve"> is an AI-Powered lending-as-a-service platform that provides end-to-end mortgage manufacturing. </w:t>
      </w:r>
    </w:p>
    <w:p w14:paraId="78088EB9" w14:textId="77777777" w:rsidR="00FF3D17" w:rsidRPr="00F62E3F" w:rsidRDefault="00FF3D17" w:rsidP="000B31A7">
      <w:pPr>
        <w:pStyle w:val="ListParagraph"/>
        <w:widowControl/>
        <w:shd w:val="clear" w:color="auto" w:fill="FFFFFF" w:themeFill="background1"/>
        <w:spacing w:after="240"/>
        <w:jc w:val="both"/>
        <w:rPr>
          <w:sz w:val="21"/>
          <w:szCs w:val="21"/>
        </w:rPr>
      </w:pPr>
    </w:p>
    <w:p w14:paraId="72D18DB2" w14:textId="1A198206" w:rsidR="00031CCE" w:rsidRPr="00F62E3F" w:rsidRDefault="00C17DB7" w:rsidP="000B31A7">
      <w:pPr>
        <w:pStyle w:val="ListParagraph"/>
        <w:widowControl/>
        <w:numPr>
          <w:ilvl w:val="0"/>
          <w:numId w:val="3"/>
        </w:numPr>
        <w:shd w:val="clear" w:color="auto" w:fill="FFFFFF" w:themeFill="background1"/>
        <w:spacing w:after="240"/>
        <w:jc w:val="both"/>
        <w:rPr>
          <w:sz w:val="21"/>
          <w:szCs w:val="21"/>
        </w:rPr>
      </w:pPr>
      <w:r w:rsidRPr="00F62E3F">
        <w:rPr>
          <w:b/>
          <w:bCs/>
          <w:sz w:val="21"/>
          <w:szCs w:val="21"/>
        </w:rPr>
        <w:t>Touchless Lending</w:t>
      </w:r>
      <w:r w:rsidRPr="00F62E3F">
        <w:rPr>
          <w:b/>
          <w:bCs/>
          <w:sz w:val="21"/>
          <w:szCs w:val="21"/>
          <w:vertAlign w:val="superscript"/>
        </w:rPr>
        <w:t>TM</w:t>
      </w:r>
      <w:r w:rsidRPr="00F62E3F">
        <w:rPr>
          <w:b/>
          <w:bCs/>
          <w:sz w:val="21"/>
          <w:szCs w:val="21"/>
        </w:rPr>
        <w:t xml:space="preserve"> Platform Services</w:t>
      </w:r>
      <w:r w:rsidR="009D34CF" w:rsidRPr="00F62E3F">
        <w:rPr>
          <w:sz w:val="21"/>
          <w:szCs w:val="21"/>
        </w:rPr>
        <w:t xml:space="preserve"> incorporates </w:t>
      </w:r>
      <w:r w:rsidR="005A703C" w:rsidRPr="00F62E3F">
        <w:rPr>
          <w:sz w:val="21"/>
          <w:szCs w:val="21"/>
        </w:rPr>
        <w:t>several components and modules and for the purpose</w:t>
      </w:r>
      <w:r w:rsidR="00031CCE" w:rsidRPr="00F62E3F">
        <w:rPr>
          <w:sz w:val="21"/>
          <w:szCs w:val="21"/>
        </w:rPr>
        <w:t xml:space="preserve"> of</w:t>
      </w:r>
      <w:r w:rsidR="005A703C" w:rsidRPr="00F62E3F">
        <w:rPr>
          <w:sz w:val="21"/>
          <w:szCs w:val="21"/>
        </w:rPr>
        <w:t xml:space="preserve"> this Agreement, Tavant’s offerings will be limited to such components and modules of </w:t>
      </w:r>
      <w:r w:rsidR="005A703C" w:rsidRPr="00F62E3F">
        <w:rPr>
          <w:b/>
          <w:bCs/>
          <w:sz w:val="21"/>
          <w:szCs w:val="21"/>
        </w:rPr>
        <w:t>Touchless Lending</w:t>
      </w:r>
      <w:r w:rsidR="005A703C" w:rsidRPr="00F62E3F">
        <w:rPr>
          <w:b/>
          <w:bCs/>
          <w:sz w:val="21"/>
          <w:szCs w:val="21"/>
          <w:vertAlign w:val="superscript"/>
        </w:rPr>
        <w:t>TM</w:t>
      </w:r>
      <w:r w:rsidR="005A703C" w:rsidRPr="00F62E3F">
        <w:rPr>
          <w:b/>
          <w:bCs/>
          <w:sz w:val="21"/>
          <w:szCs w:val="21"/>
        </w:rPr>
        <w:t xml:space="preserve"> Platform Services</w:t>
      </w:r>
      <w:r w:rsidR="005A703C" w:rsidRPr="00F62E3F">
        <w:rPr>
          <w:sz w:val="21"/>
          <w:szCs w:val="21"/>
        </w:rPr>
        <w:t xml:space="preserve"> as detailed in the </w:t>
      </w:r>
      <w:r w:rsidR="005A703C" w:rsidRPr="00F62E3F">
        <w:rPr>
          <w:b/>
          <w:bCs/>
          <w:sz w:val="21"/>
          <w:szCs w:val="21"/>
        </w:rPr>
        <w:t xml:space="preserve">Order Schedule (Exhibit A) </w:t>
      </w:r>
      <w:r w:rsidR="005A703C" w:rsidRPr="00F62E3F">
        <w:rPr>
          <w:sz w:val="21"/>
          <w:szCs w:val="21"/>
        </w:rPr>
        <w:t xml:space="preserve">as amended from time to time. </w:t>
      </w:r>
    </w:p>
    <w:p w14:paraId="6C35DC0C" w14:textId="77777777" w:rsidR="00031CCE" w:rsidRPr="00F62E3F" w:rsidRDefault="00031CCE" w:rsidP="000B31A7">
      <w:pPr>
        <w:pStyle w:val="ListParagraph"/>
        <w:shd w:val="clear" w:color="auto" w:fill="FFFFFF" w:themeFill="background1"/>
        <w:rPr>
          <w:sz w:val="21"/>
          <w:szCs w:val="21"/>
        </w:rPr>
      </w:pPr>
    </w:p>
    <w:p w14:paraId="7B585699" w14:textId="05C61672" w:rsidR="00FF3D17" w:rsidRPr="00F62E3F" w:rsidRDefault="00031CCE" w:rsidP="000B31A7">
      <w:pPr>
        <w:pStyle w:val="ListParagraph"/>
        <w:widowControl/>
        <w:numPr>
          <w:ilvl w:val="0"/>
          <w:numId w:val="3"/>
        </w:numPr>
        <w:shd w:val="clear" w:color="auto" w:fill="FFFFFF" w:themeFill="background1"/>
        <w:spacing w:after="240"/>
        <w:jc w:val="both"/>
        <w:rPr>
          <w:sz w:val="21"/>
          <w:szCs w:val="21"/>
        </w:rPr>
      </w:pPr>
      <w:r w:rsidRPr="00F62E3F">
        <w:rPr>
          <w:sz w:val="21"/>
          <w:szCs w:val="21"/>
        </w:rPr>
        <w:t xml:space="preserve">Customer is a financial institution and desires to access and use such modules and components of </w:t>
      </w:r>
      <w:r w:rsidRPr="00F62E3F">
        <w:rPr>
          <w:b/>
          <w:bCs/>
          <w:sz w:val="21"/>
          <w:szCs w:val="21"/>
        </w:rPr>
        <w:t>Touchless Lending</w:t>
      </w:r>
      <w:r w:rsidRPr="00F62E3F">
        <w:rPr>
          <w:b/>
          <w:bCs/>
          <w:sz w:val="21"/>
          <w:szCs w:val="21"/>
          <w:vertAlign w:val="superscript"/>
        </w:rPr>
        <w:t>TM</w:t>
      </w:r>
      <w:r w:rsidRPr="00F62E3F">
        <w:rPr>
          <w:b/>
          <w:bCs/>
          <w:sz w:val="21"/>
          <w:szCs w:val="21"/>
        </w:rPr>
        <w:t xml:space="preserve"> Platform Services as specifically listed in the Order Schedule (Exhibit A) </w:t>
      </w:r>
      <w:r w:rsidRPr="00F62E3F">
        <w:rPr>
          <w:sz w:val="21"/>
          <w:szCs w:val="21"/>
        </w:rPr>
        <w:t>f</w:t>
      </w:r>
      <w:r w:rsidR="005A703C" w:rsidRPr="00F62E3F">
        <w:rPr>
          <w:sz w:val="21"/>
          <w:szCs w:val="21"/>
        </w:rPr>
        <w:t xml:space="preserve">or processing its loan applications, subject to the terms and conditions of this </w:t>
      </w:r>
      <w:r w:rsidR="00B8294E" w:rsidRPr="00F62E3F">
        <w:rPr>
          <w:sz w:val="21"/>
          <w:szCs w:val="21"/>
        </w:rPr>
        <w:t>Agreement</w:t>
      </w:r>
      <w:r w:rsidR="00C17DB7" w:rsidRPr="00F62E3F">
        <w:rPr>
          <w:sz w:val="21"/>
          <w:szCs w:val="21"/>
        </w:rPr>
        <w:t xml:space="preserve">. </w:t>
      </w:r>
    </w:p>
    <w:p w14:paraId="06FF347B" w14:textId="77777777" w:rsidR="00FF3D17" w:rsidRPr="00F62E3F" w:rsidRDefault="00FF3D17" w:rsidP="000B31A7">
      <w:pPr>
        <w:pStyle w:val="ListParagraph"/>
        <w:shd w:val="clear" w:color="auto" w:fill="FFFFFF" w:themeFill="background1"/>
        <w:rPr>
          <w:sz w:val="21"/>
          <w:szCs w:val="21"/>
        </w:rPr>
      </w:pPr>
    </w:p>
    <w:p w14:paraId="47632DE1" w14:textId="77777777" w:rsidR="00FF3D17" w:rsidRPr="00F62E3F" w:rsidRDefault="00FF3D17" w:rsidP="000B31A7">
      <w:pPr>
        <w:widowControl/>
        <w:shd w:val="clear" w:color="auto" w:fill="FFFFFF" w:themeFill="background1"/>
        <w:spacing w:after="240"/>
        <w:jc w:val="both"/>
        <w:rPr>
          <w:sz w:val="21"/>
          <w:szCs w:val="21"/>
        </w:rPr>
      </w:pPr>
    </w:p>
    <w:p w14:paraId="3B12D3CD" w14:textId="77777777" w:rsidR="00FF3D17" w:rsidRPr="00F62E3F" w:rsidRDefault="00FF3D17" w:rsidP="000B31A7">
      <w:pPr>
        <w:shd w:val="clear" w:color="auto" w:fill="FFFFFF" w:themeFill="background1"/>
        <w:spacing w:after="240"/>
        <w:jc w:val="both"/>
        <w:rPr>
          <w:sz w:val="21"/>
          <w:szCs w:val="21"/>
        </w:rPr>
      </w:pPr>
      <w:r w:rsidRPr="00F62E3F">
        <w:rPr>
          <w:sz w:val="21"/>
          <w:szCs w:val="21"/>
        </w:rPr>
        <w:t>NOW, THEREFORE, the Parties hereby agree as follows:</w:t>
      </w:r>
    </w:p>
    <w:p w14:paraId="3DA9EFED" w14:textId="77777777" w:rsidR="00AB3D50" w:rsidRPr="00F62E3F" w:rsidRDefault="00AB3D50" w:rsidP="000B31A7">
      <w:pPr>
        <w:pStyle w:val="Heading1"/>
        <w:shd w:val="clear" w:color="auto" w:fill="FFFFFF" w:themeFill="background1"/>
        <w:jc w:val="both"/>
        <w:rPr>
          <w:b/>
          <w:sz w:val="21"/>
          <w:szCs w:val="21"/>
        </w:rPr>
      </w:pPr>
      <w:r w:rsidRPr="00F62E3F">
        <w:rPr>
          <w:b/>
          <w:sz w:val="21"/>
          <w:szCs w:val="21"/>
        </w:rPr>
        <w:t>DEFINITIONS</w:t>
      </w:r>
    </w:p>
    <w:p w14:paraId="29CADB9D" w14:textId="41A5D003" w:rsidR="00FF3D17" w:rsidRPr="00F62E3F" w:rsidRDefault="00FF3D17" w:rsidP="000B31A7">
      <w:pPr>
        <w:pStyle w:val="Heading2"/>
        <w:shd w:val="clear" w:color="auto" w:fill="FFFFFF" w:themeFill="background1"/>
        <w:jc w:val="both"/>
        <w:rPr>
          <w:sz w:val="21"/>
          <w:szCs w:val="21"/>
        </w:rPr>
      </w:pPr>
      <w:r w:rsidRPr="00F62E3F">
        <w:rPr>
          <w:sz w:val="21"/>
          <w:szCs w:val="21"/>
        </w:rPr>
        <w:t>“</w:t>
      </w:r>
      <w:r w:rsidRPr="00F62E3F">
        <w:rPr>
          <w:b/>
          <w:sz w:val="21"/>
          <w:szCs w:val="21"/>
        </w:rPr>
        <w:t>Aggregate Data</w:t>
      </w:r>
      <w:r w:rsidRPr="00F62E3F">
        <w:rPr>
          <w:sz w:val="21"/>
          <w:szCs w:val="21"/>
        </w:rPr>
        <w:t xml:space="preserve">” has the meaning ascribed to the term in </w:t>
      </w:r>
      <w:r w:rsidRPr="00F62E3F">
        <w:rPr>
          <w:b/>
          <w:bCs/>
          <w:sz w:val="21"/>
          <w:szCs w:val="21"/>
        </w:rPr>
        <w:t xml:space="preserve">Section </w:t>
      </w:r>
      <w:r w:rsidR="002C3CAD" w:rsidRPr="00F62E3F">
        <w:rPr>
          <w:b/>
          <w:bCs/>
          <w:sz w:val="21"/>
          <w:szCs w:val="21"/>
        </w:rPr>
        <w:t>5</w:t>
      </w:r>
      <w:r w:rsidRPr="00F62E3F">
        <w:rPr>
          <w:b/>
          <w:bCs/>
          <w:sz w:val="21"/>
          <w:szCs w:val="21"/>
        </w:rPr>
        <w:t>.1</w:t>
      </w:r>
      <w:r w:rsidRPr="00F62E3F">
        <w:rPr>
          <w:sz w:val="21"/>
          <w:szCs w:val="21"/>
        </w:rPr>
        <w:t>.</w:t>
      </w:r>
    </w:p>
    <w:p w14:paraId="070C2D95" w14:textId="0ECF29AC" w:rsidR="00FF3D17" w:rsidRPr="00F62E3F" w:rsidRDefault="00FF3D17" w:rsidP="000B31A7">
      <w:pPr>
        <w:pStyle w:val="Heading2"/>
        <w:shd w:val="clear" w:color="auto" w:fill="FFFFFF" w:themeFill="background1"/>
        <w:jc w:val="both"/>
        <w:rPr>
          <w:sz w:val="21"/>
          <w:szCs w:val="21"/>
        </w:rPr>
      </w:pPr>
      <w:r w:rsidRPr="00F62E3F">
        <w:rPr>
          <w:sz w:val="21"/>
          <w:szCs w:val="21"/>
        </w:rPr>
        <w:t>“</w:t>
      </w:r>
      <w:r w:rsidRPr="00F62E3F">
        <w:rPr>
          <w:b/>
          <w:sz w:val="21"/>
          <w:szCs w:val="21"/>
        </w:rPr>
        <w:t>Authorized User</w:t>
      </w:r>
      <w:r w:rsidR="00A76BDB" w:rsidRPr="00F62E3F">
        <w:rPr>
          <w:b/>
          <w:sz w:val="21"/>
          <w:szCs w:val="21"/>
        </w:rPr>
        <w:t>(s)</w:t>
      </w:r>
      <w:r w:rsidRPr="00F62E3F">
        <w:rPr>
          <w:sz w:val="21"/>
          <w:szCs w:val="21"/>
        </w:rPr>
        <w:t xml:space="preserve">” means an employee, contractor, or agent of Customer that has (i) been assigned a unique username-password log-in credential combination to access and use the Platform Services by Tavant upon Customer’s written request, and (ii) registered online to access and use </w:t>
      </w:r>
      <w:r w:rsidR="003516CE" w:rsidRPr="00F62E3F">
        <w:rPr>
          <w:sz w:val="21"/>
          <w:szCs w:val="21"/>
        </w:rPr>
        <w:t>Platform Services</w:t>
      </w:r>
      <w:r w:rsidRPr="00F62E3F">
        <w:rPr>
          <w:sz w:val="21"/>
          <w:szCs w:val="21"/>
        </w:rPr>
        <w:t xml:space="preserve">. </w:t>
      </w:r>
    </w:p>
    <w:p w14:paraId="793D69AB" w14:textId="56D6B165" w:rsidR="00FF3D17" w:rsidRPr="00F62E3F" w:rsidRDefault="00FF3D17" w:rsidP="000B31A7">
      <w:pPr>
        <w:pStyle w:val="Heading2"/>
        <w:shd w:val="clear" w:color="auto" w:fill="FFFFFF" w:themeFill="background1"/>
        <w:jc w:val="both"/>
        <w:rPr>
          <w:bCs/>
          <w:iCs/>
          <w:sz w:val="21"/>
          <w:szCs w:val="21"/>
        </w:rPr>
      </w:pPr>
      <w:r w:rsidRPr="00F62E3F">
        <w:rPr>
          <w:sz w:val="21"/>
          <w:szCs w:val="21"/>
        </w:rPr>
        <w:t>“</w:t>
      </w:r>
      <w:r w:rsidRPr="00F62E3F">
        <w:rPr>
          <w:b/>
          <w:sz w:val="21"/>
          <w:szCs w:val="21"/>
        </w:rPr>
        <w:t>Business Opportunity</w:t>
      </w:r>
      <w:r w:rsidRPr="00F62E3F">
        <w:rPr>
          <w:sz w:val="21"/>
          <w:szCs w:val="21"/>
        </w:rPr>
        <w:t xml:space="preserve">” means the commercial opportunity for Customer and its Authorized Users to work on a potential mortgage loan application transaction. </w:t>
      </w:r>
    </w:p>
    <w:p w14:paraId="306D0710" w14:textId="77777777" w:rsidR="002757CC" w:rsidRPr="00F62E3F" w:rsidRDefault="002757CC" w:rsidP="000B31A7">
      <w:pPr>
        <w:pStyle w:val="BodyText"/>
        <w:shd w:val="clear" w:color="auto" w:fill="FFFFFF" w:themeFill="background1"/>
        <w:rPr>
          <w:sz w:val="21"/>
          <w:szCs w:val="21"/>
          <w:highlight w:val="green"/>
        </w:rPr>
      </w:pPr>
    </w:p>
    <w:p w14:paraId="61B4C362" w14:textId="463B3E62" w:rsidR="00585309" w:rsidRPr="00F62E3F" w:rsidRDefault="00585309" w:rsidP="000B31A7">
      <w:pPr>
        <w:pStyle w:val="Heading2"/>
        <w:shd w:val="clear" w:color="auto" w:fill="FFFFFF" w:themeFill="background1"/>
        <w:jc w:val="both"/>
        <w:rPr>
          <w:sz w:val="21"/>
          <w:szCs w:val="21"/>
        </w:rPr>
      </w:pPr>
      <w:r w:rsidRPr="00F62E3F">
        <w:rPr>
          <w:sz w:val="21"/>
          <w:szCs w:val="21"/>
        </w:rPr>
        <w:t>“</w:t>
      </w:r>
      <w:r w:rsidRPr="00F62E3F">
        <w:rPr>
          <w:b/>
          <w:sz w:val="21"/>
          <w:szCs w:val="21"/>
        </w:rPr>
        <w:t>Customer Data</w:t>
      </w:r>
      <w:r w:rsidRPr="00F62E3F">
        <w:rPr>
          <w:sz w:val="21"/>
          <w:szCs w:val="21"/>
        </w:rPr>
        <w:t>” means all data and information</w:t>
      </w:r>
      <w:r w:rsidR="002111DA" w:rsidRPr="00F62E3F">
        <w:rPr>
          <w:sz w:val="21"/>
          <w:szCs w:val="21"/>
        </w:rPr>
        <w:t>,</w:t>
      </w:r>
      <w:r w:rsidRPr="00F62E3F">
        <w:rPr>
          <w:sz w:val="21"/>
          <w:szCs w:val="21"/>
        </w:rPr>
        <w:t xml:space="preserve"> input</w:t>
      </w:r>
      <w:r w:rsidR="00451506" w:rsidRPr="00F62E3F">
        <w:rPr>
          <w:sz w:val="21"/>
          <w:szCs w:val="21"/>
        </w:rPr>
        <w:t>ted</w:t>
      </w:r>
      <w:r w:rsidRPr="00F62E3F">
        <w:rPr>
          <w:sz w:val="21"/>
          <w:szCs w:val="21"/>
        </w:rPr>
        <w:t xml:space="preserve"> or submitted by Customer or Authorized Users</w:t>
      </w:r>
      <w:r w:rsidR="002111DA" w:rsidRPr="00F62E3F">
        <w:rPr>
          <w:sz w:val="21"/>
          <w:szCs w:val="21"/>
        </w:rPr>
        <w:t>,</w:t>
      </w:r>
      <w:r w:rsidRPr="00F62E3F">
        <w:rPr>
          <w:sz w:val="21"/>
          <w:szCs w:val="21"/>
        </w:rPr>
        <w:t xml:space="preserve"> into </w:t>
      </w:r>
      <w:r w:rsidR="003E3060" w:rsidRPr="00F62E3F">
        <w:rPr>
          <w:sz w:val="21"/>
          <w:szCs w:val="21"/>
        </w:rPr>
        <w:t>Platform Services</w:t>
      </w:r>
      <w:r w:rsidR="0062073B" w:rsidRPr="00F62E3F">
        <w:rPr>
          <w:sz w:val="21"/>
          <w:szCs w:val="21"/>
        </w:rPr>
        <w:t xml:space="preserve"> </w:t>
      </w:r>
      <w:r w:rsidRPr="00F62E3F">
        <w:rPr>
          <w:sz w:val="21"/>
          <w:szCs w:val="21"/>
        </w:rPr>
        <w:t xml:space="preserve">including without limitation, </w:t>
      </w:r>
      <w:r w:rsidR="00F62FF4" w:rsidRPr="00F62E3F">
        <w:rPr>
          <w:sz w:val="21"/>
          <w:szCs w:val="21"/>
        </w:rPr>
        <w:t xml:space="preserve">any personally identifiable information, financial information and any other information of the Customer’s </w:t>
      </w:r>
      <w:r w:rsidR="00FE615F" w:rsidRPr="00F62E3F">
        <w:rPr>
          <w:sz w:val="21"/>
          <w:szCs w:val="21"/>
        </w:rPr>
        <w:t xml:space="preserve">end users or </w:t>
      </w:r>
      <w:r w:rsidR="00F62FF4" w:rsidRPr="00F62E3F">
        <w:rPr>
          <w:sz w:val="21"/>
          <w:szCs w:val="21"/>
        </w:rPr>
        <w:t>borrower</w:t>
      </w:r>
      <w:r w:rsidR="00FE615F" w:rsidRPr="00F62E3F">
        <w:rPr>
          <w:sz w:val="21"/>
          <w:szCs w:val="21"/>
        </w:rPr>
        <w:t>s</w:t>
      </w:r>
      <w:r w:rsidR="00F62FF4" w:rsidRPr="00F62E3F">
        <w:rPr>
          <w:sz w:val="21"/>
          <w:szCs w:val="21"/>
        </w:rPr>
        <w:t xml:space="preserve"> entered into by or on behalf of the Customer</w:t>
      </w:r>
      <w:r w:rsidRPr="00F62E3F">
        <w:rPr>
          <w:sz w:val="21"/>
          <w:szCs w:val="21"/>
        </w:rPr>
        <w:t>.</w:t>
      </w:r>
    </w:p>
    <w:p w14:paraId="1E7C9C38" w14:textId="77777777" w:rsidR="00FF3D17" w:rsidRPr="00F62E3F" w:rsidRDefault="00FF3D17" w:rsidP="000B31A7">
      <w:pPr>
        <w:pStyle w:val="Heading2"/>
        <w:shd w:val="clear" w:color="auto" w:fill="FFFFFF" w:themeFill="background1"/>
        <w:jc w:val="both"/>
        <w:rPr>
          <w:sz w:val="21"/>
          <w:szCs w:val="21"/>
        </w:rPr>
      </w:pPr>
      <w:r w:rsidRPr="00F62E3F">
        <w:rPr>
          <w:sz w:val="21"/>
          <w:szCs w:val="21"/>
        </w:rPr>
        <w:t>“</w:t>
      </w:r>
      <w:r w:rsidRPr="00F62E3F">
        <w:rPr>
          <w:b/>
          <w:sz w:val="21"/>
          <w:szCs w:val="21"/>
        </w:rPr>
        <w:t>Customer Marks</w:t>
      </w:r>
      <w:r w:rsidRPr="00F62E3F">
        <w:rPr>
          <w:sz w:val="21"/>
          <w:szCs w:val="21"/>
        </w:rPr>
        <w:t xml:space="preserve">” means Customer’s name, trademarks, and logos, which are used to identify Customer and its business. </w:t>
      </w:r>
    </w:p>
    <w:p w14:paraId="6EB866E2" w14:textId="59469CE2" w:rsidR="000376B1" w:rsidRPr="00F62E3F" w:rsidRDefault="004E7A20" w:rsidP="000B31A7">
      <w:pPr>
        <w:pStyle w:val="Heading2"/>
        <w:shd w:val="clear" w:color="auto" w:fill="FFFFFF" w:themeFill="background1"/>
        <w:jc w:val="both"/>
        <w:rPr>
          <w:sz w:val="21"/>
          <w:szCs w:val="21"/>
        </w:rPr>
      </w:pPr>
      <w:r w:rsidRPr="00F62E3F">
        <w:rPr>
          <w:sz w:val="21"/>
          <w:szCs w:val="21"/>
        </w:rPr>
        <w:t>“</w:t>
      </w:r>
      <w:r w:rsidRPr="00F62E3F">
        <w:rPr>
          <w:b/>
          <w:sz w:val="21"/>
          <w:szCs w:val="21"/>
        </w:rPr>
        <w:t>Customer Materials</w:t>
      </w:r>
      <w:r w:rsidRPr="00F62E3F">
        <w:rPr>
          <w:sz w:val="21"/>
          <w:szCs w:val="21"/>
        </w:rPr>
        <w:t xml:space="preserve">” means collectively, Customer Data, and any other information and materials provided by Customer to Tavant under this </w:t>
      </w:r>
      <w:r w:rsidR="00FB3304" w:rsidRPr="00F62E3F">
        <w:rPr>
          <w:sz w:val="21"/>
          <w:szCs w:val="21"/>
        </w:rPr>
        <w:t>Agreement</w:t>
      </w:r>
      <w:r w:rsidRPr="00F62E3F">
        <w:rPr>
          <w:sz w:val="21"/>
          <w:szCs w:val="21"/>
        </w:rPr>
        <w:t xml:space="preserve">, including, but not limited to, any data, information, specifications, or materials specifically identified in an Order Schedule or SOW. </w:t>
      </w:r>
    </w:p>
    <w:p w14:paraId="334FD59A" w14:textId="2E0959F5" w:rsidR="000376B1" w:rsidRPr="00F62E3F" w:rsidRDefault="000376B1" w:rsidP="000B31A7">
      <w:pPr>
        <w:pStyle w:val="Heading2"/>
        <w:shd w:val="clear" w:color="auto" w:fill="FFFFFF" w:themeFill="background1"/>
        <w:jc w:val="both"/>
        <w:rPr>
          <w:sz w:val="21"/>
          <w:szCs w:val="21"/>
        </w:rPr>
      </w:pPr>
      <w:r w:rsidRPr="00F62E3F">
        <w:rPr>
          <w:sz w:val="21"/>
          <w:szCs w:val="21"/>
        </w:rPr>
        <w:lastRenderedPageBreak/>
        <w:t>“</w:t>
      </w:r>
      <w:r w:rsidRPr="00F62E3F">
        <w:rPr>
          <w:b/>
          <w:sz w:val="21"/>
          <w:szCs w:val="21"/>
        </w:rPr>
        <w:t>Fees</w:t>
      </w:r>
      <w:r w:rsidRPr="00F62E3F">
        <w:rPr>
          <w:sz w:val="21"/>
          <w:szCs w:val="21"/>
        </w:rPr>
        <w:t>” means the</w:t>
      </w:r>
      <w:r w:rsidR="004E7A20" w:rsidRPr="00F62E3F">
        <w:rPr>
          <w:sz w:val="21"/>
          <w:szCs w:val="21"/>
        </w:rPr>
        <w:t xml:space="preserve"> fees for the Platform Services, Professional Services (if any), and any other</w:t>
      </w:r>
      <w:r w:rsidRPr="00F62E3F">
        <w:rPr>
          <w:sz w:val="21"/>
          <w:szCs w:val="21"/>
        </w:rPr>
        <w:t xml:space="preserve"> fees described in the relevant </w:t>
      </w:r>
      <w:r w:rsidR="001033AC" w:rsidRPr="00F62E3F">
        <w:rPr>
          <w:sz w:val="21"/>
          <w:szCs w:val="21"/>
        </w:rPr>
        <w:t>Order Schedule</w:t>
      </w:r>
      <w:r w:rsidR="002918B0" w:rsidRPr="00F62E3F">
        <w:rPr>
          <w:sz w:val="21"/>
          <w:szCs w:val="21"/>
        </w:rPr>
        <w:t xml:space="preserve"> or SOW</w:t>
      </w:r>
      <w:r w:rsidRPr="00F62E3F">
        <w:rPr>
          <w:sz w:val="21"/>
          <w:szCs w:val="21"/>
        </w:rPr>
        <w:t xml:space="preserve">. </w:t>
      </w:r>
    </w:p>
    <w:p w14:paraId="2E57AC80" w14:textId="2B2ACA26" w:rsidR="00A76BDB" w:rsidRPr="00F62E3F" w:rsidRDefault="009D34CF" w:rsidP="000B31A7">
      <w:pPr>
        <w:pStyle w:val="Heading2"/>
        <w:shd w:val="clear" w:color="auto" w:fill="FFFFFF" w:themeFill="background1"/>
        <w:jc w:val="both"/>
        <w:rPr>
          <w:sz w:val="21"/>
          <w:szCs w:val="21"/>
        </w:rPr>
      </w:pPr>
      <w:bookmarkStart w:id="0" w:name="_Hlk497138026"/>
      <w:r w:rsidRPr="00F62E3F">
        <w:rPr>
          <w:sz w:val="21"/>
          <w:szCs w:val="21"/>
        </w:rPr>
        <w:t>“</w:t>
      </w:r>
      <w:r w:rsidRPr="00F62E3F">
        <w:rPr>
          <w:b/>
          <w:bCs/>
          <w:sz w:val="21"/>
          <w:szCs w:val="21"/>
        </w:rPr>
        <w:t>Intellectual Property Rights</w:t>
      </w:r>
      <w:r w:rsidRPr="00F62E3F">
        <w:rPr>
          <w:sz w:val="21"/>
          <w:szCs w:val="21"/>
        </w:rPr>
        <w:t>” means any intellectual property rights recognized in any jurisdiction throughout the world, including any (i) trademarks, service marks, Internet domain names, logos, trade dress, trade names, and any other indicia of source, and all goodwill associated therewith and symbolized thereby; (ii) patents, patent applications and patent disclosures, and inventions and discoveries (whether patentable or not); (iii) processes, technologies, trade secrets,</w:t>
      </w:r>
      <w:r w:rsidR="00CD5345" w:rsidRPr="00F62E3F">
        <w:rPr>
          <w:sz w:val="21"/>
          <w:szCs w:val="21"/>
        </w:rPr>
        <w:t xml:space="preserve"> </w:t>
      </w:r>
      <w:r w:rsidR="00CD5345" w:rsidRPr="000B31A7">
        <w:rPr>
          <w:sz w:val="21"/>
          <w:szCs w:val="21"/>
        </w:rPr>
        <w:t xml:space="preserve">proprietary ideas </w:t>
      </w:r>
      <w:r w:rsidRPr="00F62E3F">
        <w:rPr>
          <w:sz w:val="21"/>
          <w:szCs w:val="21"/>
        </w:rPr>
        <w:t xml:space="preserve"> and know-how; (iv) copyrights and moral rights; </w:t>
      </w:r>
      <w:r w:rsidR="00ED38B1" w:rsidRPr="00F62E3F">
        <w:rPr>
          <w:sz w:val="21"/>
          <w:szCs w:val="21"/>
        </w:rPr>
        <w:t xml:space="preserve">(v) software and software systems (including  source code, object code and related items such as documentation) </w:t>
      </w:r>
      <w:r w:rsidRPr="00F62E3F">
        <w:rPr>
          <w:sz w:val="21"/>
          <w:szCs w:val="21"/>
        </w:rPr>
        <w:t>and (v</w:t>
      </w:r>
      <w:r w:rsidR="00ED38B1" w:rsidRPr="00F62E3F">
        <w:rPr>
          <w:sz w:val="21"/>
          <w:szCs w:val="21"/>
        </w:rPr>
        <w:t>i</w:t>
      </w:r>
      <w:r w:rsidRPr="00F62E3F">
        <w:rPr>
          <w:sz w:val="21"/>
          <w:szCs w:val="21"/>
        </w:rPr>
        <w:t>) registrations and applications for any of the foregoing.</w:t>
      </w:r>
    </w:p>
    <w:p w14:paraId="184F98CB" w14:textId="086CF900" w:rsidR="009D34CF" w:rsidRPr="00F62E3F" w:rsidRDefault="009D34CF" w:rsidP="000B31A7">
      <w:pPr>
        <w:pStyle w:val="Heading2"/>
        <w:shd w:val="clear" w:color="auto" w:fill="FFFFFF" w:themeFill="background1"/>
        <w:jc w:val="both"/>
        <w:rPr>
          <w:sz w:val="21"/>
          <w:szCs w:val="21"/>
        </w:rPr>
      </w:pPr>
      <w:r w:rsidRPr="00F62E3F">
        <w:rPr>
          <w:sz w:val="21"/>
          <w:szCs w:val="21"/>
        </w:rPr>
        <w:t>“</w:t>
      </w:r>
      <w:r w:rsidRPr="00F62E3F">
        <w:rPr>
          <w:b/>
          <w:sz w:val="21"/>
          <w:szCs w:val="21"/>
        </w:rPr>
        <w:t>Order Schedule</w:t>
      </w:r>
      <w:r w:rsidRPr="00F62E3F">
        <w:rPr>
          <w:sz w:val="21"/>
          <w:szCs w:val="21"/>
        </w:rPr>
        <w:t>” means an ordering document which specifies details about the Platform Services</w:t>
      </w:r>
      <w:r w:rsidR="002918B0" w:rsidRPr="00F62E3F">
        <w:rPr>
          <w:sz w:val="21"/>
          <w:szCs w:val="21"/>
        </w:rPr>
        <w:t xml:space="preserve"> (specifically the modules and components offered by Tavant to the Customer)</w:t>
      </w:r>
      <w:r w:rsidRPr="00F62E3F">
        <w:rPr>
          <w:sz w:val="21"/>
          <w:szCs w:val="21"/>
        </w:rPr>
        <w:t xml:space="preserve">, other services, Authorized Users, Fees and any other details relating to the Platform Services agreed to by the Parties. The form of an Order Schedule is attached hereto as </w:t>
      </w:r>
      <w:r w:rsidRPr="00F62E3F">
        <w:rPr>
          <w:sz w:val="21"/>
          <w:szCs w:val="21"/>
          <w:u w:val="single"/>
        </w:rPr>
        <w:t>Exhibit A</w:t>
      </w:r>
      <w:r w:rsidRPr="00F62E3F">
        <w:rPr>
          <w:sz w:val="21"/>
          <w:szCs w:val="21"/>
        </w:rPr>
        <w:t xml:space="preserve">. </w:t>
      </w:r>
    </w:p>
    <w:p w14:paraId="18952807" w14:textId="6B7D8F2B" w:rsidR="003516CE" w:rsidRPr="00F62E3F" w:rsidRDefault="003516CE" w:rsidP="000B31A7">
      <w:pPr>
        <w:pStyle w:val="Heading2"/>
        <w:shd w:val="clear" w:color="auto" w:fill="FFFFFF" w:themeFill="background1"/>
        <w:rPr>
          <w:sz w:val="21"/>
          <w:szCs w:val="21"/>
        </w:rPr>
      </w:pPr>
      <w:r w:rsidRPr="00F62E3F">
        <w:rPr>
          <w:sz w:val="21"/>
          <w:szCs w:val="21"/>
        </w:rPr>
        <w:t>“</w:t>
      </w:r>
      <w:r w:rsidRPr="00F62E3F">
        <w:rPr>
          <w:b/>
          <w:bCs/>
          <w:sz w:val="21"/>
          <w:szCs w:val="21"/>
        </w:rPr>
        <w:t>Platform Services</w:t>
      </w:r>
      <w:r w:rsidRPr="00F62E3F">
        <w:rPr>
          <w:sz w:val="21"/>
          <w:szCs w:val="21"/>
        </w:rPr>
        <w:t xml:space="preserve">” specifically </w:t>
      </w:r>
      <w:r w:rsidR="005922E1" w:rsidRPr="00F62E3F">
        <w:rPr>
          <w:sz w:val="21"/>
          <w:szCs w:val="21"/>
        </w:rPr>
        <w:t>refers and limits</w:t>
      </w:r>
      <w:r w:rsidRPr="00F62E3F">
        <w:rPr>
          <w:sz w:val="21"/>
          <w:szCs w:val="21"/>
        </w:rPr>
        <w:t xml:space="preserve"> to </w:t>
      </w:r>
      <w:r w:rsidR="00F5499E" w:rsidRPr="00F62E3F">
        <w:rPr>
          <w:sz w:val="21"/>
          <w:szCs w:val="21"/>
        </w:rPr>
        <w:t>modules and components offered by Tavant to the Customer</w:t>
      </w:r>
      <w:r w:rsidRPr="00F62E3F">
        <w:rPr>
          <w:sz w:val="21"/>
          <w:szCs w:val="21"/>
        </w:rPr>
        <w:t xml:space="preserve"> incorporated within the </w:t>
      </w:r>
      <w:r w:rsidRPr="00F62E3F">
        <w:rPr>
          <w:b/>
          <w:bCs/>
          <w:sz w:val="21"/>
          <w:szCs w:val="21"/>
        </w:rPr>
        <w:t>Touchless Lending</w:t>
      </w:r>
      <w:r w:rsidRPr="00F62E3F">
        <w:rPr>
          <w:b/>
          <w:bCs/>
          <w:sz w:val="21"/>
          <w:szCs w:val="21"/>
          <w:vertAlign w:val="superscript"/>
        </w:rPr>
        <w:t>TM</w:t>
      </w:r>
      <w:r w:rsidRPr="00F62E3F">
        <w:rPr>
          <w:b/>
          <w:bCs/>
          <w:sz w:val="21"/>
          <w:szCs w:val="21"/>
        </w:rPr>
        <w:t xml:space="preserve"> Platform Services</w:t>
      </w:r>
      <w:r w:rsidRPr="00F62E3F">
        <w:rPr>
          <w:sz w:val="21"/>
          <w:szCs w:val="21"/>
        </w:rPr>
        <w:t xml:space="preserve">, as further described in </w:t>
      </w:r>
      <w:r w:rsidR="00D67F88" w:rsidRPr="00F62E3F">
        <w:rPr>
          <w:sz w:val="21"/>
          <w:szCs w:val="21"/>
        </w:rPr>
        <w:t>Section</w:t>
      </w:r>
      <w:r w:rsidR="00DF4E62" w:rsidRPr="00F62E3F">
        <w:rPr>
          <w:sz w:val="21"/>
          <w:szCs w:val="21"/>
        </w:rPr>
        <w:t xml:space="preserve"> </w:t>
      </w:r>
      <w:r w:rsidR="00D67F88" w:rsidRPr="00F62E3F">
        <w:rPr>
          <w:sz w:val="21"/>
          <w:szCs w:val="21"/>
        </w:rPr>
        <w:t>2.1 and</w:t>
      </w:r>
      <w:r w:rsidR="00F5499E" w:rsidRPr="00F62E3F">
        <w:rPr>
          <w:sz w:val="21"/>
          <w:szCs w:val="21"/>
        </w:rPr>
        <w:t xml:space="preserve"> the</w:t>
      </w:r>
      <w:r w:rsidRPr="00F62E3F">
        <w:rPr>
          <w:sz w:val="21"/>
          <w:szCs w:val="21"/>
        </w:rPr>
        <w:t xml:space="preserve"> Order Schedule Exhibit A.</w:t>
      </w:r>
    </w:p>
    <w:p w14:paraId="40A56F59" w14:textId="0E116763" w:rsidR="009D34CF" w:rsidRPr="004351C4" w:rsidRDefault="009D34CF" w:rsidP="004351C4">
      <w:pPr>
        <w:pStyle w:val="Heading2"/>
        <w:shd w:val="clear" w:color="auto" w:fill="FFFFFF" w:themeFill="background1"/>
        <w:rPr>
          <w:sz w:val="21"/>
          <w:szCs w:val="21"/>
          <w:u w:val="single"/>
        </w:rPr>
      </w:pPr>
      <w:r w:rsidRPr="000B31A7">
        <w:rPr>
          <w:sz w:val="21"/>
          <w:szCs w:val="21"/>
        </w:rPr>
        <w:t>“</w:t>
      </w:r>
      <w:r w:rsidRPr="000B31A7">
        <w:rPr>
          <w:b/>
          <w:sz w:val="21"/>
          <w:szCs w:val="21"/>
        </w:rPr>
        <w:t>Platform Data Security</w:t>
      </w:r>
      <w:r w:rsidRPr="000B31A7">
        <w:rPr>
          <w:sz w:val="21"/>
          <w:szCs w:val="21"/>
        </w:rPr>
        <w:t xml:space="preserve">” means the security measures that Tavant has put in place to govern, monitor and manage the security of </w:t>
      </w:r>
      <w:r w:rsidR="003516CE" w:rsidRPr="000B31A7">
        <w:rPr>
          <w:sz w:val="21"/>
          <w:szCs w:val="21"/>
        </w:rPr>
        <w:t>the Platform Services</w:t>
      </w:r>
      <w:r w:rsidRPr="000B31A7">
        <w:rPr>
          <w:sz w:val="21"/>
          <w:szCs w:val="21"/>
        </w:rPr>
        <w:t xml:space="preserve"> set out in </w:t>
      </w:r>
      <w:r w:rsidR="00AD6A3E" w:rsidRPr="00F62E3F">
        <w:rPr>
          <w:sz w:val="21"/>
          <w:szCs w:val="21"/>
          <w:u w:val="single"/>
        </w:rPr>
        <w:t xml:space="preserve">the Platform Data Security Agreement between the Parties. </w:t>
      </w:r>
    </w:p>
    <w:p w14:paraId="25AD8DBD" w14:textId="77777777" w:rsidR="009D34CF" w:rsidRPr="00F62E3F" w:rsidRDefault="009D34CF" w:rsidP="000B31A7">
      <w:pPr>
        <w:pStyle w:val="Heading2"/>
        <w:shd w:val="clear" w:color="auto" w:fill="FFFFFF" w:themeFill="background1"/>
        <w:jc w:val="both"/>
        <w:rPr>
          <w:sz w:val="21"/>
          <w:szCs w:val="21"/>
        </w:rPr>
      </w:pPr>
      <w:r w:rsidRPr="00F62E3F">
        <w:rPr>
          <w:sz w:val="21"/>
          <w:szCs w:val="21"/>
        </w:rPr>
        <w:t>“</w:t>
      </w:r>
      <w:r w:rsidRPr="00F62E3F">
        <w:rPr>
          <w:b/>
          <w:sz w:val="21"/>
          <w:szCs w:val="21"/>
        </w:rPr>
        <w:t>Professional Services</w:t>
      </w:r>
      <w:r w:rsidRPr="00F62E3F">
        <w:rPr>
          <w:sz w:val="21"/>
          <w:szCs w:val="21"/>
        </w:rPr>
        <w:t xml:space="preserve">” means the professional services provided by Tavant, if applicable, under this Agreement as more particularly described in the SOWs attached hereto from time to time. </w:t>
      </w:r>
    </w:p>
    <w:p w14:paraId="0E234E6D" w14:textId="7B4B7834" w:rsidR="009D34CF" w:rsidRPr="00F62E3F" w:rsidRDefault="009D34CF" w:rsidP="000B31A7">
      <w:pPr>
        <w:pStyle w:val="Heading2"/>
        <w:shd w:val="clear" w:color="auto" w:fill="FFFFFF" w:themeFill="background1"/>
        <w:jc w:val="both"/>
        <w:rPr>
          <w:sz w:val="21"/>
          <w:szCs w:val="21"/>
        </w:rPr>
      </w:pPr>
      <w:r w:rsidRPr="00F62E3F">
        <w:rPr>
          <w:sz w:val="21"/>
          <w:szCs w:val="21"/>
        </w:rPr>
        <w:t>“</w:t>
      </w:r>
      <w:r w:rsidRPr="00F62E3F">
        <w:rPr>
          <w:b/>
          <w:sz w:val="21"/>
          <w:szCs w:val="21"/>
        </w:rPr>
        <w:t>SOW</w:t>
      </w:r>
      <w:r w:rsidRPr="00F62E3F">
        <w:rPr>
          <w:sz w:val="21"/>
          <w:szCs w:val="21"/>
        </w:rPr>
        <w:t xml:space="preserve">” means a statement of work attached to the Agreement from time to time, substantially in the form attached hereto as </w:t>
      </w:r>
      <w:r w:rsidRPr="00F62E3F">
        <w:rPr>
          <w:sz w:val="21"/>
          <w:szCs w:val="21"/>
          <w:u w:val="single"/>
        </w:rPr>
        <w:t>Exhibit C</w:t>
      </w:r>
      <w:r w:rsidRPr="00F62E3F">
        <w:rPr>
          <w:sz w:val="21"/>
          <w:szCs w:val="21"/>
        </w:rPr>
        <w:t xml:space="preserve">, which details the Professional Services to be provided by Tavant hereunder. </w:t>
      </w:r>
    </w:p>
    <w:p w14:paraId="7B845900" w14:textId="77777777" w:rsidR="009D34CF" w:rsidRPr="00F62E3F" w:rsidRDefault="009D34CF" w:rsidP="000B31A7">
      <w:pPr>
        <w:pStyle w:val="Heading2"/>
        <w:shd w:val="clear" w:color="auto" w:fill="FFFFFF" w:themeFill="background1"/>
        <w:jc w:val="both"/>
        <w:rPr>
          <w:sz w:val="21"/>
          <w:szCs w:val="21"/>
        </w:rPr>
      </w:pPr>
      <w:r w:rsidRPr="00F62E3F">
        <w:rPr>
          <w:sz w:val="21"/>
          <w:szCs w:val="21"/>
        </w:rPr>
        <w:t>“</w:t>
      </w:r>
      <w:r w:rsidRPr="00F62E3F">
        <w:rPr>
          <w:b/>
          <w:sz w:val="21"/>
          <w:szCs w:val="21"/>
        </w:rPr>
        <w:t>Service Level Agreement</w:t>
      </w:r>
      <w:r w:rsidRPr="00F62E3F">
        <w:rPr>
          <w:sz w:val="21"/>
          <w:szCs w:val="21"/>
        </w:rPr>
        <w:t xml:space="preserve">” means the service level agreement set out in </w:t>
      </w:r>
      <w:r w:rsidRPr="00F62E3F">
        <w:rPr>
          <w:sz w:val="21"/>
          <w:szCs w:val="21"/>
          <w:u w:val="single"/>
        </w:rPr>
        <w:t>Exhibit B</w:t>
      </w:r>
      <w:r w:rsidRPr="00F62E3F">
        <w:rPr>
          <w:sz w:val="21"/>
          <w:szCs w:val="21"/>
        </w:rPr>
        <w:t>.</w:t>
      </w:r>
    </w:p>
    <w:p w14:paraId="4C6D9666" w14:textId="651A1967" w:rsidR="00A87919" w:rsidRPr="00F62E3F" w:rsidRDefault="00A87919" w:rsidP="000B31A7">
      <w:pPr>
        <w:pStyle w:val="Heading2"/>
        <w:shd w:val="clear" w:color="auto" w:fill="FFFFFF" w:themeFill="background1"/>
        <w:jc w:val="both"/>
        <w:rPr>
          <w:sz w:val="21"/>
          <w:szCs w:val="21"/>
        </w:rPr>
      </w:pPr>
      <w:r w:rsidRPr="00F62E3F">
        <w:rPr>
          <w:sz w:val="21"/>
          <w:szCs w:val="21"/>
        </w:rPr>
        <w:t>“</w:t>
      </w:r>
      <w:r w:rsidRPr="00F62E3F">
        <w:rPr>
          <w:b/>
          <w:bCs/>
          <w:sz w:val="21"/>
          <w:szCs w:val="21"/>
        </w:rPr>
        <w:t>Tavant Materials</w:t>
      </w:r>
      <w:r w:rsidRPr="00F62E3F">
        <w:rPr>
          <w:sz w:val="21"/>
          <w:szCs w:val="21"/>
        </w:rPr>
        <w:t xml:space="preserve">” means any software, services, tools, utilities, processes, inventions, devices, methodologies, documentation, techniques and materials of any kind used or developed by Tavant or its personnel in connection with performing Platform Services hereunder. </w:t>
      </w:r>
    </w:p>
    <w:p w14:paraId="2F0F29C2" w14:textId="77777777" w:rsidR="00B345A3" w:rsidRPr="00F62E3F" w:rsidRDefault="009D34CF" w:rsidP="00B345A3">
      <w:pPr>
        <w:pStyle w:val="Heading2"/>
        <w:shd w:val="clear" w:color="auto" w:fill="FFFFFF" w:themeFill="background1"/>
        <w:jc w:val="both"/>
        <w:rPr>
          <w:sz w:val="21"/>
          <w:szCs w:val="21"/>
        </w:rPr>
      </w:pPr>
      <w:r w:rsidRPr="00F62E3F">
        <w:rPr>
          <w:sz w:val="21"/>
          <w:szCs w:val="21"/>
        </w:rPr>
        <w:t>“</w:t>
      </w:r>
      <w:r w:rsidRPr="00F62E3F">
        <w:rPr>
          <w:b/>
          <w:bCs/>
          <w:sz w:val="21"/>
          <w:szCs w:val="21"/>
        </w:rPr>
        <w:t>Term</w:t>
      </w:r>
      <w:r w:rsidRPr="00F62E3F">
        <w:rPr>
          <w:sz w:val="21"/>
          <w:szCs w:val="21"/>
        </w:rPr>
        <w:t xml:space="preserve">” means the term of this Agreement as defined in </w:t>
      </w:r>
      <w:r w:rsidRPr="00F62E3F">
        <w:rPr>
          <w:b/>
          <w:bCs/>
          <w:sz w:val="21"/>
          <w:szCs w:val="21"/>
        </w:rPr>
        <w:t>Section 10.1</w:t>
      </w:r>
      <w:r w:rsidRPr="00F62E3F">
        <w:rPr>
          <w:sz w:val="21"/>
          <w:szCs w:val="21"/>
        </w:rPr>
        <w:t>.</w:t>
      </w:r>
    </w:p>
    <w:bookmarkEnd w:id="0"/>
    <w:p w14:paraId="6ABB3E93" w14:textId="77777777" w:rsidR="00ED350F" w:rsidRPr="00F62E3F" w:rsidRDefault="00ED350F" w:rsidP="000B31A7">
      <w:pPr>
        <w:pStyle w:val="BodyText"/>
        <w:shd w:val="clear" w:color="auto" w:fill="FFFFFF" w:themeFill="background1"/>
        <w:rPr>
          <w:sz w:val="21"/>
          <w:szCs w:val="21"/>
        </w:rPr>
      </w:pPr>
    </w:p>
    <w:p w14:paraId="2C5C88BC" w14:textId="77777777" w:rsidR="00AB3D50" w:rsidRPr="00F62E3F" w:rsidRDefault="00B979ED" w:rsidP="000B31A7">
      <w:pPr>
        <w:pStyle w:val="Heading1"/>
        <w:shd w:val="clear" w:color="auto" w:fill="FFFFFF" w:themeFill="background1"/>
        <w:jc w:val="both"/>
        <w:rPr>
          <w:b/>
          <w:sz w:val="21"/>
          <w:szCs w:val="21"/>
        </w:rPr>
      </w:pPr>
      <w:r w:rsidRPr="00F62E3F">
        <w:rPr>
          <w:b/>
          <w:sz w:val="21"/>
          <w:szCs w:val="21"/>
        </w:rPr>
        <w:t>PLATFORM SERVICES</w:t>
      </w:r>
    </w:p>
    <w:p w14:paraId="33C3F525" w14:textId="77777777" w:rsidR="00F5499E" w:rsidRPr="000B31A7" w:rsidRDefault="00F5499E" w:rsidP="000B31A7">
      <w:pPr>
        <w:pStyle w:val="BodyText"/>
        <w:rPr>
          <w:sz w:val="21"/>
          <w:szCs w:val="21"/>
          <w:highlight w:val="yellow"/>
        </w:rPr>
      </w:pPr>
    </w:p>
    <w:p w14:paraId="3B6103FB" w14:textId="4E29D0B7" w:rsidR="00D67F88" w:rsidRPr="00F62E3F" w:rsidRDefault="00D67F88" w:rsidP="000B31A7">
      <w:pPr>
        <w:pStyle w:val="Heading2"/>
        <w:jc w:val="both"/>
        <w:rPr>
          <w:sz w:val="21"/>
          <w:szCs w:val="21"/>
          <w:u w:val="single"/>
        </w:rPr>
      </w:pPr>
      <w:r w:rsidRPr="00F62E3F">
        <w:rPr>
          <w:sz w:val="21"/>
          <w:szCs w:val="21"/>
          <w:u w:val="single"/>
        </w:rPr>
        <w:t xml:space="preserve">Platform Services: </w:t>
      </w:r>
      <w:r w:rsidRPr="000B31A7">
        <w:rPr>
          <w:sz w:val="21"/>
          <w:szCs w:val="21"/>
        </w:rPr>
        <w:t xml:space="preserve">Subject </w:t>
      </w:r>
      <w:r w:rsidR="00B8294E" w:rsidRPr="00B8294E">
        <w:rPr>
          <w:sz w:val="21"/>
          <w:szCs w:val="21"/>
        </w:rPr>
        <w:t xml:space="preserve">to </w:t>
      </w:r>
      <w:r w:rsidR="00B8294E" w:rsidRPr="00F62E3F">
        <w:rPr>
          <w:sz w:val="21"/>
          <w:szCs w:val="21"/>
        </w:rPr>
        <w:t>this</w:t>
      </w:r>
      <w:r w:rsidRPr="00F62E3F">
        <w:rPr>
          <w:sz w:val="21"/>
          <w:szCs w:val="21"/>
        </w:rPr>
        <w:t xml:space="preserve"> </w:t>
      </w:r>
      <w:r w:rsidRPr="000B31A7">
        <w:rPr>
          <w:sz w:val="21"/>
          <w:szCs w:val="21"/>
        </w:rPr>
        <w:t xml:space="preserve">terms and conditions of this Agreement and Order </w:t>
      </w:r>
      <w:r w:rsidR="00B8294E" w:rsidRPr="00F62E3F">
        <w:rPr>
          <w:sz w:val="21"/>
          <w:szCs w:val="21"/>
        </w:rPr>
        <w:t>Schedule (</w:t>
      </w:r>
      <w:r w:rsidRPr="000B31A7">
        <w:rPr>
          <w:sz w:val="21"/>
          <w:szCs w:val="21"/>
        </w:rPr>
        <w:t xml:space="preserve">Exhibit A), Tavant agrees to </w:t>
      </w:r>
      <w:r w:rsidR="00B8294E" w:rsidRPr="00B8294E">
        <w:rPr>
          <w:sz w:val="21"/>
          <w:szCs w:val="21"/>
        </w:rPr>
        <w:t>offer,</w:t>
      </w:r>
      <w:r w:rsidRPr="000B31A7">
        <w:rPr>
          <w:sz w:val="21"/>
          <w:szCs w:val="21"/>
        </w:rPr>
        <w:t xml:space="preserve"> and the Customer accepts such modules and components of the Touchless LendingTM Platform Services as detailed in the Order Schedule (Exhibit A)</w:t>
      </w:r>
      <w:r w:rsidRPr="00F62E3F">
        <w:rPr>
          <w:sz w:val="21"/>
          <w:szCs w:val="21"/>
        </w:rPr>
        <w:t xml:space="preserve"> (“</w:t>
      </w:r>
      <w:r w:rsidRPr="000B31A7">
        <w:rPr>
          <w:b/>
          <w:bCs/>
          <w:sz w:val="21"/>
          <w:szCs w:val="21"/>
        </w:rPr>
        <w:t>Platform Services</w:t>
      </w:r>
      <w:r w:rsidRPr="00F62E3F">
        <w:rPr>
          <w:sz w:val="21"/>
          <w:szCs w:val="21"/>
        </w:rPr>
        <w:t>”)</w:t>
      </w:r>
      <w:r w:rsidRPr="000B31A7">
        <w:rPr>
          <w:sz w:val="21"/>
          <w:szCs w:val="21"/>
        </w:rPr>
        <w:t>. For clarity, it is to be noted that any modules or components not listed in th</w:t>
      </w:r>
      <w:r w:rsidRPr="00F62E3F">
        <w:rPr>
          <w:sz w:val="21"/>
          <w:szCs w:val="21"/>
        </w:rPr>
        <w:t>e</w:t>
      </w:r>
      <w:r w:rsidRPr="000B31A7">
        <w:rPr>
          <w:sz w:val="21"/>
          <w:szCs w:val="21"/>
        </w:rPr>
        <w:t xml:space="preserve"> Order Schedule </w:t>
      </w:r>
      <w:r w:rsidRPr="00F62E3F">
        <w:rPr>
          <w:sz w:val="21"/>
          <w:szCs w:val="21"/>
        </w:rPr>
        <w:t>are</w:t>
      </w:r>
      <w:r w:rsidRPr="000B31A7">
        <w:rPr>
          <w:sz w:val="21"/>
          <w:szCs w:val="21"/>
        </w:rPr>
        <w:t xml:space="preserve"> not part of the Platform Services </w:t>
      </w:r>
      <w:r w:rsidRPr="00F62E3F">
        <w:rPr>
          <w:sz w:val="21"/>
          <w:szCs w:val="21"/>
        </w:rPr>
        <w:t xml:space="preserve">as offered to the Customer. </w:t>
      </w:r>
    </w:p>
    <w:p w14:paraId="26FDBA73" w14:textId="6812615D" w:rsidR="00AB3D50" w:rsidRPr="00F62E3F" w:rsidRDefault="00AB3D50" w:rsidP="000B31A7">
      <w:pPr>
        <w:pStyle w:val="Heading2"/>
        <w:shd w:val="clear" w:color="auto" w:fill="FFFFFF" w:themeFill="background1"/>
        <w:jc w:val="both"/>
        <w:rPr>
          <w:sz w:val="21"/>
          <w:szCs w:val="21"/>
        </w:rPr>
      </w:pPr>
      <w:r w:rsidRPr="00F62E3F">
        <w:rPr>
          <w:sz w:val="21"/>
          <w:szCs w:val="21"/>
          <w:u w:val="single"/>
        </w:rPr>
        <w:t>Restrictions</w:t>
      </w:r>
      <w:r w:rsidRPr="00F62E3F">
        <w:rPr>
          <w:sz w:val="21"/>
          <w:szCs w:val="21"/>
        </w:rPr>
        <w:t xml:space="preserve">.  </w:t>
      </w:r>
      <w:r w:rsidR="00733E69" w:rsidRPr="00F62E3F">
        <w:rPr>
          <w:sz w:val="21"/>
          <w:szCs w:val="21"/>
        </w:rPr>
        <w:t>Customer</w:t>
      </w:r>
      <w:r w:rsidRPr="00F62E3F">
        <w:rPr>
          <w:sz w:val="21"/>
          <w:szCs w:val="21"/>
        </w:rPr>
        <w:t xml:space="preserve"> </w:t>
      </w:r>
      <w:r w:rsidR="002D1DEB" w:rsidRPr="00F62E3F">
        <w:rPr>
          <w:sz w:val="21"/>
          <w:szCs w:val="21"/>
        </w:rPr>
        <w:t>will</w:t>
      </w:r>
      <w:r w:rsidRPr="00F62E3F">
        <w:rPr>
          <w:sz w:val="21"/>
          <w:szCs w:val="21"/>
        </w:rPr>
        <w:t xml:space="preserve"> not </w:t>
      </w:r>
      <w:r w:rsidR="00355D52" w:rsidRPr="00F62E3F">
        <w:rPr>
          <w:sz w:val="21"/>
          <w:szCs w:val="21"/>
        </w:rPr>
        <w:t xml:space="preserve">(and will not allow or enable anyone else to) </w:t>
      </w:r>
      <w:r w:rsidRPr="00F62E3F">
        <w:rPr>
          <w:sz w:val="21"/>
          <w:szCs w:val="21"/>
        </w:rPr>
        <w:t xml:space="preserve">attempt to interfere with or disrupt the </w:t>
      </w:r>
      <w:r w:rsidR="00B979ED" w:rsidRPr="00F62E3F">
        <w:rPr>
          <w:sz w:val="21"/>
          <w:szCs w:val="21"/>
        </w:rPr>
        <w:t>Platform Services</w:t>
      </w:r>
      <w:r w:rsidR="00862867" w:rsidRPr="00F62E3F">
        <w:rPr>
          <w:sz w:val="21"/>
          <w:szCs w:val="21"/>
        </w:rPr>
        <w:t xml:space="preserve"> </w:t>
      </w:r>
      <w:r w:rsidRPr="00F62E3F">
        <w:rPr>
          <w:sz w:val="21"/>
          <w:szCs w:val="21"/>
        </w:rPr>
        <w:t xml:space="preserve">or attempt to gain access to any systems or networks that connect thereto (except as required to access and use the </w:t>
      </w:r>
      <w:r w:rsidR="00B979ED" w:rsidRPr="00F62E3F">
        <w:rPr>
          <w:sz w:val="21"/>
          <w:szCs w:val="21"/>
        </w:rPr>
        <w:t>Platform Services</w:t>
      </w:r>
      <w:r w:rsidR="000E3D8B" w:rsidRPr="00F62E3F">
        <w:rPr>
          <w:sz w:val="21"/>
          <w:szCs w:val="21"/>
        </w:rPr>
        <w:t xml:space="preserve"> as contemplated herein</w:t>
      </w:r>
      <w:r w:rsidRPr="00F62E3F">
        <w:rPr>
          <w:sz w:val="21"/>
          <w:szCs w:val="21"/>
        </w:rPr>
        <w:t xml:space="preserve">). </w:t>
      </w:r>
      <w:r w:rsidR="00733E69" w:rsidRPr="00F62E3F">
        <w:rPr>
          <w:sz w:val="21"/>
          <w:szCs w:val="21"/>
        </w:rPr>
        <w:t>Customer</w:t>
      </w:r>
      <w:r w:rsidRPr="00F62E3F">
        <w:rPr>
          <w:sz w:val="21"/>
          <w:szCs w:val="21"/>
        </w:rPr>
        <w:t xml:space="preserve"> </w:t>
      </w:r>
      <w:r w:rsidR="002D1DEB" w:rsidRPr="00F62E3F">
        <w:rPr>
          <w:sz w:val="21"/>
          <w:szCs w:val="21"/>
        </w:rPr>
        <w:t>will</w:t>
      </w:r>
      <w:r w:rsidRPr="00F62E3F">
        <w:rPr>
          <w:sz w:val="21"/>
          <w:szCs w:val="21"/>
        </w:rPr>
        <w:t xml:space="preserve"> not allow access to or use of the </w:t>
      </w:r>
      <w:r w:rsidR="00B979ED" w:rsidRPr="00F62E3F">
        <w:rPr>
          <w:sz w:val="21"/>
          <w:szCs w:val="21"/>
        </w:rPr>
        <w:t>Platform Services</w:t>
      </w:r>
      <w:r w:rsidRPr="00F62E3F">
        <w:rPr>
          <w:sz w:val="21"/>
          <w:szCs w:val="21"/>
        </w:rPr>
        <w:t xml:space="preserve"> by anyone other than Authorized Users.  </w:t>
      </w:r>
      <w:r w:rsidR="00733E69" w:rsidRPr="00F62E3F">
        <w:rPr>
          <w:sz w:val="21"/>
          <w:szCs w:val="21"/>
        </w:rPr>
        <w:t>Customer</w:t>
      </w:r>
      <w:r w:rsidRPr="00F62E3F">
        <w:rPr>
          <w:sz w:val="21"/>
          <w:szCs w:val="21"/>
        </w:rPr>
        <w:t xml:space="preserve"> </w:t>
      </w:r>
      <w:r w:rsidR="002D1DEB" w:rsidRPr="00F62E3F">
        <w:rPr>
          <w:sz w:val="21"/>
          <w:szCs w:val="21"/>
        </w:rPr>
        <w:t>will</w:t>
      </w:r>
      <w:r w:rsidRPr="00F62E3F">
        <w:rPr>
          <w:sz w:val="21"/>
          <w:szCs w:val="21"/>
        </w:rPr>
        <w:t xml:space="preserve"> not</w:t>
      </w:r>
      <w:r w:rsidR="00E13032" w:rsidRPr="00F62E3F">
        <w:rPr>
          <w:sz w:val="21"/>
          <w:szCs w:val="21"/>
        </w:rPr>
        <w:t xml:space="preserve"> </w:t>
      </w:r>
      <w:r w:rsidR="00E13032" w:rsidRPr="00F62E3F">
        <w:rPr>
          <w:sz w:val="21"/>
          <w:szCs w:val="21"/>
        </w:rPr>
        <w:lastRenderedPageBreak/>
        <w:t>(and will not allow or enable anyone else to)</w:t>
      </w:r>
      <w:r w:rsidRPr="00F62E3F">
        <w:rPr>
          <w:sz w:val="21"/>
          <w:szCs w:val="21"/>
        </w:rPr>
        <w:t xml:space="preserve">: (a) copy, modify or distribute any portion of the </w:t>
      </w:r>
      <w:r w:rsidR="00B979ED" w:rsidRPr="00F62E3F">
        <w:rPr>
          <w:sz w:val="21"/>
          <w:szCs w:val="21"/>
        </w:rPr>
        <w:t>Platform Services</w:t>
      </w:r>
      <w:r w:rsidR="00F85D35" w:rsidRPr="00F62E3F">
        <w:rPr>
          <w:sz w:val="21"/>
          <w:szCs w:val="21"/>
        </w:rPr>
        <w:t xml:space="preserve"> or create any derivative works from the Platform Services</w:t>
      </w:r>
      <w:r w:rsidRPr="00F62E3F">
        <w:rPr>
          <w:sz w:val="21"/>
          <w:szCs w:val="21"/>
        </w:rPr>
        <w:t xml:space="preserve">; (b) rent, lease, or provide access to the </w:t>
      </w:r>
      <w:r w:rsidR="00B979ED" w:rsidRPr="00F62E3F">
        <w:rPr>
          <w:sz w:val="21"/>
          <w:szCs w:val="21"/>
        </w:rPr>
        <w:t>Platform Services</w:t>
      </w:r>
      <w:r w:rsidRPr="00F62E3F">
        <w:rPr>
          <w:sz w:val="21"/>
          <w:szCs w:val="21"/>
        </w:rPr>
        <w:t xml:space="preserve"> on a time-share or service bureau basis; (c) </w:t>
      </w:r>
      <w:r w:rsidR="00E13032" w:rsidRPr="00F62E3F">
        <w:rPr>
          <w:sz w:val="21"/>
          <w:szCs w:val="21"/>
        </w:rPr>
        <w:t xml:space="preserve">reverse engineer, decompile or disassemble any part of the </w:t>
      </w:r>
      <w:r w:rsidR="00154A3B" w:rsidRPr="00F62E3F">
        <w:rPr>
          <w:sz w:val="21"/>
          <w:szCs w:val="21"/>
        </w:rPr>
        <w:t xml:space="preserve">Platform </w:t>
      </w:r>
      <w:r w:rsidR="00E13032" w:rsidRPr="00F62E3F">
        <w:rPr>
          <w:sz w:val="21"/>
          <w:szCs w:val="21"/>
        </w:rPr>
        <w:t>Services</w:t>
      </w:r>
      <w:r w:rsidR="00F85D35" w:rsidRPr="00F62E3F">
        <w:rPr>
          <w:sz w:val="21"/>
          <w:szCs w:val="21"/>
        </w:rPr>
        <w:t>; (d) access the Services in order to (</w:t>
      </w:r>
      <w:r w:rsidR="00124D3D" w:rsidRPr="00F62E3F">
        <w:rPr>
          <w:sz w:val="21"/>
          <w:szCs w:val="21"/>
        </w:rPr>
        <w:t>i</w:t>
      </w:r>
      <w:r w:rsidR="00F85D35" w:rsidRPr="00F62E3F">
        <w:rPr>
          <w:sz w:val="21"/>
          <w:szCs w:val="21"/>
        </w:rPr>
        <w:t>) build a competitive Platform Services, or (</w:t>
      </w:r>
      <w:r w:rsidR="00124D3D" w:rsidRPr="00F62E3F">
        <w:rPr>
          <w:sz w:val="21"/>
          <w:szCs w:val="21"/>
        </w:rPr>
        <w:t>ii</w:t>
      </w:r>
      <w:r w:rsidR="00F85D35" w:rsidRPr="00F62E3F">
        <w:rPr>
          <w:sz w:val="21"/>
          <w:szCs w:val="21"/>
        </w:rPr>
        <w:t>) copy any features, functions or graphics of the Platform Services</w:t>
      </w:r>
      <w:r w:rsidR="00E13032" w:rsidRPr="00F62E3F">
        <w:rPr>
          <w:sz w:val="21"/>
          <w:szCs w:val="21"/>
        </w:rPr>
        <w:t>; or (</w:t>
      </w:r>
      <w:r w:rsidR="00F85D35" w:rsidRPr="00F62E3F">
        <w:rPr>
          <w:sz w:val="21"/>
          <w:szCs w:val="21"/>
        </w:rPr>
        <w:t>e</w:t>
      </w:r>
      <w:r w:rsidR="00E13032" w:rsidRPr="00F62E3F">
        <w:rPr>
          <w:sz w:val="21"/>
          <w:szCs w:val="21"/>
        </w:rPr>
        <w:t xml:space="preserve">) </w:t>
      </w:r>
      <w:r w:rsidRPr="00F62E3F">
        <w:rPr>
          <w:sz w:val="21"/>
          <w:szCs w:val="21"/>
        </w:rPr>
        <w:t>transfer any of its rights hereunder.</w:t>
      </w:r>
      <w:r w:rsidR="00E13032" w:rsidRPr="00F62E3F">
        <w:rPr>
          <w:sz w:val="21"/>
          <w:szCs w:val="21"/>
        </w:rPr>
        <w:t xml:space="preserve"> </w:t>
      </w:r>
    </w:p>
    <w:p w14:paraId="6EE69841" w14:textId="77777777" w:rsidR="00185F48" w:rsidRPr="00F62E3F" w:rsidRDefault="00185F48" w:rsidP="000B31A7">
      <w:pPr>
        <w:pStyle w:val="BodyText"/>
        <w:shd w:val="clear" w:color="auto" w:fill="FFFFFF" w:themeFill="background1"/>
        <w:rPr>
          <w:sz w:val="21"/>
          <w:szCs w:val="21"/>
        </w:rPr>
      </w:pPr>
    </w:p>
    <w:p w14:paraId="1F6BE496" w14:textId="2EB85BAE" w:rsidR="00AB3D50" w:rsidRPr="00F62E3F" w:rsidRDefault="00AB3D50" w:rsidP="000B31A7">
      <w:pPr>
        <w:pStyle w:val="Heading2"/>
        <w:shd w:val="clear" w:color="auto" w:fill="FFFFFF" w:themeFill="background1"/>
        <w:jc w:val="both"/>
        <w:rPr>
          <w:sz w:val="21"/>
          <w:szCs w:val="21"/>
        </w:rPr>
      </w:pPr>
      <w:r w:rsidRPr="00F62E3F">
        <w:rPr>
          <w:sz w:val="21"/>
          <w:szCs w:val="21"/>
          <w:u w:val="single"/>
        </w:rPr>
        <w:t>Acceptable Use Policies</w:t>
      </w:r>
      <w:r w:rsidRPr="00F62E3F">
        <w:rPr>
          <w:sz w:val="21"/>
          <w:szCs w:val="21"/>
        </w:rPr>
        <w:t xml:space="preserve">.  </w:t>
      </w:r>
      <w:r w:rsidR="00595F86" w:rsidRPr="00F62E3F">
        <w:rPr>
          <w:sz w:val="21"/>
          <w:szCs w:val="21"/>
        </w:rPr>
        <w:t xml:space="preserve">Customer will not use the </w:t>
      </w:r>
      <w:r w:rsidR="00257D62" w:rsidRPr="00F62E3F">
        <w:rPr>
          <w:sz w:val="21"/>
          <w:szCs w:val="21"/>
        </w:rPr>
        <w:t xml:space="preserve">Platform </w:t>
      </w:r>
      <w:r w:rsidR="00595F86" w:rsidRPr="00F62E3F">
        <w:rPr>
          <w:sz w:val="21"/>
          <w:szCs w:val="21"/>
        </w:rPr>
        <w:t>Services in any way, or post, upload, publish, submit or transmit any Customer Data, that: (i) infringes, misappropriates or violates a</w:t>
      </w:r>
      <w:r w:rsidR="00C81189" w:rsidRPr="00F62E3F">
        <w:rPr>
          <w:sz w:val="21"/>
          <w:szCs w:val="21"/>
        </w:rPr>
        <w:t>ny of</w:t>
      </w:r>
      <w:r w:rsidR="00595F86" w:rsidRPr="00F62E3F">
        <w:rPr>
          <w:sz w:val="21"/>
          <w:szCs w:val="21"/>
        </w:rPr>
        <w:t xml:space="preserve"> </w:t>
      </w:r>
      <w:r w:rsidRPr="00F62E3F">
        <w:rPr>
          <w:sz w:val="21"/>
          <w:szCs w:val="21"/>
        </w:rPr>
        <w:t>third-party</w:t>
      </w:r>
      <w:r w:rsidR="00595F86" w:rsidRPr="00F62E3F">
        <w:rPr>
          <w:sz w:val="21"/>
          <w:szCs w:val="21"/>
        </w:rPr>
        <w:t xml:space="preserve">’s </w:t>
      </w:r>
      <w:r w:rsidR="00774BD8" w:rsidRPr="00F62E3F">
        <w:rPr>
          <w:sz w:val="21"/>
          <w:szCs w:val="21"/>
        </w:rPr>
        <w:t>Intellectual P</w:t>
      </w:r>
      <w:r w:rsidR="00595F86" w:rsidRPr="00F62E3F">
        <w:rPr>
          <w:sz w:val="21"/>
          <w:szCs w:val="21"/>
        </w:rPr>
        <w:t xml:space="preserve">roperty </w:t>
      </w:r>
      <w:r w:rsidR="00774BD8" w:rsidRPr="00F62E3F">
        <w:rPr>
          <w:sz w:val="21"/>
          <w:szCs w:val="21"/>
        </w:rPr>
        <w:t>R</w:t>
      </w:r>
      <w:r w:rsidR="00595F86" w:rsidRPr="00F62E3F">
        <w:rPr>
          <w:sz w:val="21"/>
          <w:szCs w:val="21"/>
        </w:rPr>
        <w:t>ights, or rights of publicity,</w:t>
      </w:r>
      <w:r w:rsidR="000E3D8B" w:rsidRPr="00F62E3F">
        <w:rPr>
          <w:sz w:val="21"/>
          <w:szCs w:val="21"/>
        </w:rPr>
        <w:t> privacy</w:t>
      </w:r>
      <w:r w:rsidR="00595F86" w:rsidRPr="00F62E3F">
        <w:rPr>
          <w:sz w:val="21"/>
          <w:szCs w:val="21"/>
        </w:rPr>
        <w:t xml:space="preserve"> or confidentiality; (ii) violates, or encourages any conduct that would violate, any applicable law or regulation or would give rise to civil liability;</w:t>
      </w:r>
      <w:r w:rsidR="00DF2BC1" w:rsidRPr="00F62E3F">
        <w:rPr>
          <w:sz w:val="21"/>
          <w:szCs w:val="21"/>
        </w:rPr>
        <w:t xml:space="preserve"> or</w:t>
      </w:r>
      <w:r w:rsidR="00595F86" w:rsidRPr="00F62E3F">
        <w:rPr>
          <w:sz w:val="21"/>
          <w:szCs w:val="21"/>
        </w:rPr>
        <w:t xml:space="preserve"> (iii) is fraudulent,</w:t>
      </w:r>
      <w:r w:rsidR="00DF2BC1" w:rsidRPr="00F62E3F">
        <w:rPr>
          <w:sz w:val="21"/>
          <w:szCs w:val="21"/>
        </w:rPr>
        <w:t xml:space="preserve"> false, misleading or deceptive</w:t>
      </w:r>
      <w:r w:rsidR="00595F86" w:rsidRPr="00F62E3F">
        <w:rPr>
          <w:sz w:val="21"/>
          <w:szCs w:val="21"/>
        </w:rPr>
        <w:t xml:space="preserve">. Notwithstanding the above, </w:t>
      </w:r>
      <w:r w:rsidR="00733E69" w:rsidRPr="00F62E3F">
        <w:rPr>
          <w:sz w:val="21"/>
          <w:szCs w:val="21"/>
        </w:rPr>
        <w:t>Customer</w:t>
      </w:r>
      <w:r w:rsidRPr="00F62E3F">
        <w:rPr>
          <w:sz w:val="21"/>
          <w:szCs w:val="21"/>
        </w:rPr>
        <w:t xml:space="preserve"> acknowledges and agrees that </w:t>
      </w:r>
      <w:r w:rsidR="00125B0C" w:rsidRPr="00F62E3F">
        <w:rPr>
          <w:sz w:val="21"/>
          <w:szCs w:val="21"/>
        </w:rPr>
        <w:t>Tavant</w:t>
      </w:r>
      <w:r w:rsidRPr="00F62E3F">
        <w:rPr>
          <w:sz w:val="21"/>
          <w:szCs w:val="21"/>
        </w:rPr>
        <w:t xml:space="preserve"> does not </w:t>
      </w:r>
      <w:r w:rsidR="00B8294E" w:rsidRPr="00F62E3F">
        <w:rPr>
          <w:sz w:val="21"/>
          <w:szCs w:val="21"/>
        </w:rPr>
        <w:t>monitor,</w:t>
      </w:r>
      <w:r w:rsidRPr="00F62E3F">
        <w:rPr>
          <w:sz w:val="21"/>
          <w:szCs w:val="21"/>
        </w:rPr>
        <w:t xml:space="preserve"> or police communications</w:t>
      </w:r>
      <w:r w:rsidR="00F8073F" w:rsidRPr="00F62E3F">
        <w:rPr>
          <w:sz w:val="21"/>
          <w:szCs w:val="21"/>
        </w:rPr>
        <w:t>,</w:t>
      </w:r>
      <w:r w:rsidRPr="00F62E3F">
        <w:rPr>
          <w:sz w:val="21"/>
          <w:szCs w:val="21"/>
        </w:rPr>
        <w:t xml:space="preserve"> data</w:t>
      </w:r>
      <w:r w:rsidR="00F8073F" w:rsidRPr="00F62E3F">
        <w:rPr>
          <w:sz w:val="21"/>
          <w:szCs w:val="21"/>
        </w:rPr>
        <w:t xml:space="preserve"> or Customer Data</w:t>
      </w:r>
      <w:r w:rsidRPr="00F62E3F">
        <w:rPr>
          <w:sz w:val="21"/>
          <w:szCs w:val="21"/>
        </w:rPr>
        <w:t xml:space="preserve"> transmitted through the </w:t>
      </w:r>
      <w:r w:rsidR="00B979ED" w:rsidRPr="00F62E3F">
        <w:rPr>
          <w:sz w:val="21"/>
          <w:szCs w:val="21"/>
        </w:rPr>
        <w:t>Platform Services</w:t>
      </w:r>
      <w:r w:rsidRPr="00F62E3F">
        <w:rPr>
          <w:sz w:val="21"/>
          <w:szCs w:val="21"/>
        </w:rPr>
        <w:t xml:space="preserve"> and that </w:t>
      </w:r>
      <w:r w:rsidR="00125B0C" w:rsidRPr="00F62E3F">
        <w:rPr>
          <w:sz w:val="21"/>
          <w:szCs w:val="21"/>
        </w:rPr>
        <w:t>Tavant</w:t>
      </w:r>
      <w:r w:rsidRPr="00F62E3F">
        <w:rPr>
          <w:sz w:val="21"/>
          <w:szCs w:val="21"/>
        </w:rPr>
        <w:t xml:space="preserve"> </w:t>
      </w:r>
      <w:r w:rsidR="002D1DEB" w:rsidRPr="00F62E3F">
        <w:rPr>
          <w:sz w:val="21"/>
          <w:szCs w:val="21"/>
        </w:rPr>
        <w:t>will</w:t>
      </w:r>
      <w:r w:rsidRPr="00F62E3F">
        <w:rPr>
          <w:sz w:val="21"/>
          <w:szCs w:val="21"/>
        </w:rPr>
        <w:t xml:space="preserve"> not be responsible for the content of any such communications or transmissions.  </w:t>
      </w:r>
      <w:r w:rsidR="00733E69" w:rsidRPr="00F62E3F">
        <w:rPr>
          <w:sz w:val="21"/>
          <w:szCs w:val="21"/>
        </w:rPr>
        <w:t>Customer</w:t>
      </w:r>
      <w:r w:rsidRPr="00F62E3F">
        <w:rPr>
          <w:sz w:val="21"/>
          <w:szCs w:val="21"/>
        </w:rPr>
        <w:t xml:space="preserve"> </w:t>
      </w:r>
      <w:r w:rsidR="00967D9B" w:rsidRPr="00F62E3F">
        <w:rPr>
          <w:sz w:val="21"/>
          <w:szCs w:val="21"/>
        </w:rPr>
        <w:t xml:space="preserve">and its </w:t>
      </w:r>
      <w:r w:rsidR="00A63378" w:rsidRPr="00F62E3F">
        <w:rPr>
          <w:sz w:val="21"/>
          <w:szCs w:val="21"/>
        </w:rPr>
        <w:t>Authorized</w:t>
      </w:r>
      <w:r w:rsidR="00967D9B" w:rsidRPr="00F62E3F">
        <w:rPr>
          <w:sz w:val="21"/>
          <w:szCs w:val="21"/>
        </w:rPr>
        <w:t xml:space="preserve"> Users </w:t>
      </w:r>
      <w:r w:rsidR="002D1DEB" w:rsidRPr="00F62E3F">
        <w:rPr>
          <w:sz w:val="21"/>
          <w:szCs w:val="21"/>
        </w:rPr>
        <w:t>will</w:t>
      </w:r>
      <w:r w:rsidRPr="00F62E3F">
        <w:rPr>
          <w:sz w:val="21"/>
          <w:szCs w:val="21"/>
        </w:rPr>
        <w:t xml:space="preserve"> use the </w:t>
      </w:r>
      <w:r w:rsidR="00B979ED" w:rsidRPr="00F62E3F">
        <w:rPr>
          <w:sz w:val="21"/>
          <w:szCs w:val="21"/>
        </w:rPr>
        <w:t>Platform Services</w:t>
      </w:r>
      <w:r w:rsidRPr="00F62E3F">
        <w:rPr>
          <w:sz w:val="21"/>
          <w:szCs w:val="21"/>
        </w:rPr>
        <w:t xml:space="preserve"> exclusively for authorized and legal purposes, consistent with all </w:t>
      </w:r>
      <w:r w:rsidR="00990CFC" w:rsidRPr="00F62E3F">
        <w:rPr>
          <w:sz w:val="21"/>
          <w:szCs w:val="21"/>
        </w:rPr>
        <w:t>applicable laws and</w:t>
      </w:r>
      <w:r w:rsidR="00366C10" w:rsidRPr="00F62E3F">
        <w:rPr>
          <w:sz w:val="21"/>
          <w:szCs w:val="21"/>
        </w:rPr>
        <w:t xml:space="preserve"> regulations</w:t>
      </w:r>
      <w:r w:rsidRPr="00F62E3F">
        <w:rPr>
          <w:sz w:val="21"/>
          <w:szCs w:val="21"/>
        </w:rPr>
        <w:t xml:space="preserve">.  </w:t>
      </w:r>
      <w:r w:rsidR="00733E69" w:rsidRPr="00F62E3F">
        <w:rPr>
          <w:sz w:val="21"/>
          <w:szCs w:val="21"/>
        </w:rPr>
        <w:t>Customer</w:t>
      </w:r>
      <w:r w:rsidR="00967D9B" w:rsidRPr="00F62E3F">
        <w:rPr>
          <w:sz w:val="21"/>
          <w:szCs w:val="21"/>
        </w:rPr>
        <w:t xml:space="preserve"> and its Authorized Users</w:t>
      </w:r>
      <w:r w:rsidRPr="00F62E3F">
        <w:rPr>
          <w:sz w:val="21"/>
          <w:szCs w:val="21"/>
        </w:rPr>
        <w:t xml:space="preserve"> </w:t>
      </w:r>
      <w:r w:rsidR="002D1DEB" w:rsidRPr="00F62E3F">
        <w:rPr>
          <w:sz w:val="21"/>
          <w:szCs w:val="21"/>
        </w:rPr>
        <w:t xml:space="preserve">will </w:t>
      </w:r>
      <w:r w:rsidRPr="00F62E3F">
        <w:rPr>
          <w:sz w:val="21"/>
          <w:szCs w:val="21"/>
        </w:rPr>
        <w:t xml:space="preserve">not use the </w:t>
      </w:r>
      <w:r w:rsidR="00B979ED" w:rsidRPr="00F62E3F">
        <w:rPr>
          <w:sz w:val="21"/>
          <w:szCs w:val="21"/>
        </w:rPr>
        <w:t>Platform Services</w:t>
      </w:r>
      <w:r w:rsidRPr="00F62E3F">
        <w:rPr>
          <w:sz w:val="21"/>
          <w:szCs w:val="21"/>
        </w:rPr>
        <w:t xml:space="preserve"> to transmit any bulk unsolicited commercial communications.  </w:t>
      </w:r>
      <w:r w:rsidR="00733E69" w:rsidRPr="00F62E3F">
        <w:rPr>
          <w:sz w:val="21"/>
          <w:szCs w:val="21"/>
        </w:rPr>
        <w:t>Customer</w:t>
      </w:r>
      <w:r w:rsidRPr="00F62E3F">
        <w:rPr>
          <w:sz w:val="21"/>
          <w:szCs w:val="21"/>
        </w:rPr>
        <w:t xml:space="preserve"> </w:t>
      </w:r>
      <w:r w:rsidR="002D1DEB" w:rsidRPr="00F62E3F">
        <w:rPr>
          <w:sz w:val="21"/>
          <w:szCs w:val="21"/>
        </w:rPr>
        <w:t xml:space="preserve">will </w:t>
      </w:r>
      <w:r w:rsidRPr="00F62E3F">
        <w:rPr>
          <w:sz w:val="21"/>
          <w:szCs w:val="21"/>
        </w:rPr>
        <w:t xml:space="preserve">keep confidential and not disclose to any third </w:t>
      </w:r>
      <w:r w:rsidR="00B8294E" w:rsidRPr="00F62E3F">
        <w:rPr>
          <w:sz w:val="21"/>
          <w:szCs w:val="21"/>
        </w:rPr>
        <w:t>parties and</w:t>
      </w:r>
      <w:r w:rsidRPr="00F62E3F">
        <w:rPr>
          <w:sz w:val="21"/>
          <w:szCs w:val="21"/>
        </w:rPr>
        <w:t xml:space="preserve"> </w:t>
      </w:r>
      <w:r w:rsidR="002D1DEB" w:rsidRPr="00F62E3F">
        <w:rPr>
          <w:sz w:val="21"/>
          <w:szCs w:val="21"/>
        </w:rPr>
        <w:t>will</w:t>
      </w:r>
      <w:r w:rsidRPr="00F62E3F">
        <w:rPr>
          <w:sz w:val="21"/>
          <w:szCs w:val="21"/>
        </w:rPr>
        <w:t xml:space="preserve"> ensure that Authorized Users keep confidential and do not disclose to any third parties, any user identifications, account numbers and account profiles.</w:t>
      </w:r>
    </w:p>
    <w:p w14:paraId="092D026C" w14:textId="77777777" w:rsidR="00185F48" w:rsidRPr="00F62E3F" w:rsidRDefault="00185F48" w:rsidP="000B31A7">
      <w:pPr>
        <w:pStyle w:val="BodyText"/>
        <w:shd w:val="clear" w:color="auto" w:fill="FFFFFF" w:themeFill="background1"/>
        <w:rPr>
          <w:sz w:val="21"/>
          <w:szCs w:val="21"/>
        </w:rPr>
      </w:pPr>
    </w:p>
    <w:p w14:paraId="1EC297FE" w14:textId="080817CB" w:rsidR="00185F48" w:rsidRPr="00F62E3F" w:rsidRDefault="00733E69" w:rsidP="000B31A7">
      <w:pPr>
        <w:pStyle w:val="Heading2"/>
        <w:shd w:val="clear" w:color="auto" w:fill="FFFFFF" w:themeFill="background1"/>
        <w:jc w:val="both"/>
        <w:rPr>
          <w:sz w:val="21"/>
          <w:szCs w:val="21"/>
        </w:rPr>
      </w:pPr>
      <w:r w:rsidRPr="00F62E3F">
        <w:rPr>
          <w:sz w:val="21"/>
          <w:szCs w:val="21"/>
          <w:u w:val="single"/>
        </w:rPr>
        <w:t>Customer</w:t>
      </w:r>
      <w:r w:rsidR="009026B2" w:rsidRPr="00F62E3F">
        <w:rPr>
          <w:sz w:val="21"/>
          <w:szCs w:val="21"/>
          <w:u w:val="single"/>
        </w:rPr>
        <w:t xml:space="preserve"> </w:t>
      </w:r>
      <w:r w:rsidR="00F85D35" w:rsidRPr="00F62E3F">
        <w:rPr>
          <w:sz w:val="21"/>
          <w:szCs w:val="21"/>
          <w:u w:val="single"/>
        </w:rPr>
        <w:t>Materials</w:t>
      </w:r>
      <w:r w:rsidR="00AB3D50" w:rsidRPr="00F62E3F">
        <w:rPr>
          <w:sz w:val="21"/>
          <w:szCs w:val="21"/>
        </w:rPr>
        <w:t xml:space="preserve">.  </w:t>
      </w:r>
      <w:r w:rsidR="00BF0392" w:rsidRPr="00F62E3F">
        <w:rPr>
          <w:sz w:val="21"/>
          <w:szCs w:val="21"/>
        </w:rPr>
        <w:t xml:space="preserve">Customer hereby grants to Tavant a </w:t>
      </w:r>
      <w:r w:rsidR="00680168" w:rsidRPr="00F62E3F">
        <w:rPr>
          <w:sz w:val="21"/>
          <w:szCs w:val="21"/>
        </w:rPr>
        <w:t xml:space="preserve">revocable, </w:t>
      </w:r>
      <w:r w:rsidR="00BF0392" w:rsidRPr="00F62E3F">
        <w:rPr>
          <w:sz w:val="21"/>
          <w:szCs w:val="21"/>
        </w:rPr>
        <w:t>non-exclusive, non-transferable, sublicensable, royalty-free license to copy, reproduce, format, distribute</w:t>
      </w:r>
      <w:r w:rsidR="009012D0" w:rsidRPr="00F62E3F">
        <w:rPr>
          <w:sz w:val="21"/>
          <w:szCs w:val="21"/>
        </w:rPr>
        <w:t xml:space="preserve">, </w:t>
      </w:r>
      <w:r w:rsidR="000E3D8B" w:rsidRPr="00F62E3F">
        <w:rPr>
          <w:sz w:val="21"/>
          <w:szCs w:val="21"/>
        </w:rPr>
        <w:t>publicly display, publicly perform,</w:t>
      </w:r>
      <w:r w:rsidR="00BF0392" w:rsidRPr="00F62E3F">
        <w:rPr>
          <w:sz w:val="21"/>
          <w:szCs w:val="21"/>
        </w:rPr>
        <w:t xml:space="preserve"> and use as necessary, the Customer </w:t>
      </w:r>
      <w:r w:rsidRPr="00F62E3F">
        <w:rPr>
          <w:sz w:val="21"/>
          <w:szCs w:val="21"/>
        </w:rPr>
        <w:t>Materials</w:t>
      </w:r>
      <w:r w:rsidR="00F85D35" w:rsidRPr="00F62E3F">
        <w:rPr>
          <w:sz w:val="21"/>
          <w:szCs w:val="21"/>
        </w:rPr>
        <w:t xml:space="preserve"> (inc</w:t>
      </w:r>
      <w:r w:rsidR="005B5652" w:rsidRPr="00F62E3F">
        <w:rPr>
          <w:sz w:val="21"/>
          <w:szCs w:val="21"/>
        </w:rPr>
        <w:t>l</w:t>
      </w:r>
      <w:r w:rsidR="00F85D35" w:rsidRPr="00F62E3F">
        <w:rPr>
          <w:sz w:val="21"/>
          <w:szCs w:val="21"/>
        </w:rPr>
        <w:t>uding Customer Data)</w:t>
      </w:r>
      <w:r w:rsidR="00BF0392" w:rsidRPr="00F62E3F">
        <w:rPr>
          <w:sz w:val="21"/>
          <w:szCs w:val="21"/>
        </w:rPr>
        <w:t xml:space="preserve">, </w:t>
      </w:r>
      <w:r w:rsidR="00C776B3" w:rsidRPr="00F62E3F">
        <w:rPr>
          <w:sz w:val="21"/>
          <w:szCs w:val="21"/>
        </w:rPr>
        <w:t xml:space="preserve">but, all of the foregoing limited to </w:t>
      </w:r>
      <w:r w:rsidR="00BF0392" w:rsidRPr="00F62E3F">
        <w:rPr>
          <w:sz w:val="21"/>
          <w:szCs w:val="21"/>
        </w:rPr>
        <w:t xml:space="preserve">only to the extent needed to perform its obligations under this </w:t>
      </w:r>
      <w:r w:rsidR="00FB3304" w:rsidRPr="00F62E3F">
        <w:rPr>
          <w:sz w:val="21"/>
          <w:szCs w:val="21"/>
        </w:rPr>
        <w:t>Agreement</w:t>
      </w:r>
      <w:r w:rsidR="004D180C" w:rsidRPr="00F62E3F">
        <w:rPr>
          <w:sz w:val="21"/>
          <w:szCs w:val="21"/>
        </w:rPr>
        <w:t xml:space="preserve">; provided that, nothing in this </w:t>
      </w:r>
      <w:r w:rsidR="00FB3304" w:rsidRPr="00F62E3F">
        <w:rPr>
          <w:sz w:val="21"/>
          <w:szCs w:val="21"/>
        </w:rPr>
        <w:t>Agreement</w:t>
      </w:r>
      <w:r w:rsidR="004D180C" w:rsidRPr="00F62E3F">
        <w:rPr>
          <w:sz w:val="21"/>
          <w:szCs w:val="21"/>
        </w:rPr>
        <w:t xml:space="preserve"> will restrict or obstruct Tavant’s rights in and to the Aggregate Data in accordance with </w:t>
      </w:r>
      <w:r w:rsidR="004D180C" w:rsidRPr="00F62E3F">
        <w:rPr>
          <w:b/>
          <w:sz w:val="21"/>
          <w:szCs w:val="21"/>
        </w:rPr>
        <w:t xml:space="preserve">Section </w:t>
      </w:r>
      <w:r w:rsidR="00597851" w:rsidRPr="00F62E3F">
        <w:rPr>
          <w:b/>
          <w:sz w:val="21"/>
          <w:szCs w:val="21"/>
        </w:rPr>
        <w:t>5</w:t>
      </w:r>
      <w:r w:rsidR="004D180C" w:rsidRPr="00F62E3F">
        <w:rPr>
          <w:b/>
          <w:sz w:val="21"/>
          <w:szCs w:val="21"/>
        </w:rPr>
        <w:t>.2</w:t>
      </w:r>
      <w:r w:rsidR="004D180C" w:rsidRPr="00F62E3F">
        <w:rPr>
          <w:sz w:val="21"/>
          <w:szCs w:val="21"/>
        </w:rPr>
        <w:t xml:space="preserve"> hereof</w:t>
      </w:r>
      <w:r w:rsidR="00680168" w:rsidRPr="00F62E3F">
        <w:rPr>
          <w:sz w:val="21"/>
          <w:szCs w:val="21"/>
        </w:rPr>
        <w:t xml:space="preserve">. For clarification, the license granted </w:t>
      </w:r>
      <w:r w:rsidR="00CF59A1" w:rsidRPr="00F62E3F">
        <w:rPr>
          <w:sz w:val="21"/>
          <w:szCs w:val="21"/>
        </w:rPr>
        <w:t>in</w:t>
      </w:r>
      <w:r w:rsidR="00680168" w:rsidRPr="00F62E3F">
        <w:rPr>
          <w:sz w:val="21"/>
          <w:szCs w:val="21"/>
        </w:rPr>
        <w:t xml:space="preserve"> this </w:t>
      </w:r>
      <w:r w:rsidR="00680168" w:rsidRPr="00F62E3F">
        <w:rPr>
          <w:b/>
          <w:sz w:val="21"/>
          <w:szCs w:val="21"/>
        </w:rPr>
        <w:t>Section 2.</w:t>
      </w:r>
      <w:r w:rsidR="0083045B" w:rsidRPr="00F62E3F">
        <w:rPr>
          <w:b/>
          <w:sz w:val="21"/>
          <w:szCs w:val="21"/>
        </w:rPr>
        <w:t>4</w:t>
      </w:r>
      <w:r w:rsidR="00680168" w:rsidRPr="00F62E3F">
        <w:rPr>
          <w:sz w:val="21"/>
          <w:szCs w:val="21"/>
        </w:rPr>
        <w:t xml:space="preserve"> </w:t>
      </w:r>
      <w:r w:rsidR="00CF59A1" w:rsidRPr="00F62E3F">
        <w:rPr>
          <w:sz w:val="21"/>
          <w:szCs w:val="21"/>
        </w:rPr>
        <w:t>is</w:t>
      </w:r>
      <w:r w:rsidR="00680168" w:rsidRPr="00F62E3F">
        <w:rPr>
          <w:sz w:val="21"/>
          <w:szCs w:val="21"/>
        </w:rPr>
        <w:t xml:space="preserve"> subject to confidentiality obligations and limitations contained in the Agreement</w:t>
      </w:r>
      <w:r w:rsidR="006C2E06" w:rsidRPr="00F62E3F">
        <w:rPr>
          <w:sz w:val="21"/>
          <w:szCs w:val="21"/>
        </w:rPr>
        <w:t xml:space="preserve">; it being understood that access to Customer </w:t>
      </w:r>
      <w:r w:rsidR="00B8294E" w:rsidRPr="00F62E3F">
        <w:rPr>
          <w:sz w:val="21"/>
          <w:szCs w:val="21"/>
        </w:rPr>
        <w:t>Materials (</w:t>
      </w:r>
      <w:r w:rsidR="00F85D35" w:rsidRPr="00F62E3F">
        <w:rPr>
          <w:sz w:val="21"/>
          <w:szCs w:val="21"/>
        </w:rPr>
        <w:t>including Customer Data)</w:t>
      </w:r>
      <w:r w:rsidR="006C2E06" w:rsidRPr="00F62E3F">
        <w:rPr>
          <w:sz w:val="21"/>
          <w:szCs w:val="21"/>
        </w:rPr>
        <w:t xml:space="preserve"> to the Authorized Users for the provision of Services by Tavant as contemplated herein, does not violate any such confidentiality obligations</w:t>
      </w:r>
      <w:r w:rsidR="00680168" w:rsidRPr="00F62E3F">
        <w:rPr>
          <w:sz w:val="21"/>
          <w:szCs w:val="21"/>
        </w:rPr>
        <w:t>.</w:t>
      </w:r>
    </w:p>
    <w:p w14:paraId="2A4DABF0" w14:textId="77777777" w:rsidR="00185F48" w:rsidRPr="00F62E3F" w:rsidRDefault="00185F48" w:rsidP="000B31A7">
      <w:pPr>
        <w:pStyle w:val="BodyText"/>
        <w:shd w:val="clear" w:color="auto" w:fill="FFFFFF" w:themeFill="background1"/>
        <w:rPr>
          <w:sz w:val="21"/>
          <w:szCs w:val="21"/>
        </w:rPr>
      </w:pPr>
    </w:p>
    <w:p w14:paraId="00C9E6AA" w14:textId="77777777" w:rsidR="006C59AD" w:rsidRPr="00F62E3F" w:rsidRDefault="006C59AD" w:rsidP="000B31A7">
      <w:pPr>
        <w:pStyle w:val="Heading2"/>
        <w:shd w:val="clear" w:color="auto" w:fill="FFFFFF" w:themeFill="background1"/>
        <w:jc w:val="both"/>
        <w:rPr>
          <w:sz w:val="21"/>
          <w:szCs w:val="21"/>
        </w:rPr>
      </w:pPr>
      <w:r w:rsidRPr="00F62E3F">
        <w:rPr>
          <w:sz w:val="21"/>
          <w:szCs w:val="21"/>
          <w:u w:val="single"/>
        </w:rPr>
        <w:t>Limited</w:t>
      </w:r>
      <w:r w:rsidRPr="00F62E3F">
        <w:rPr>
          <w:bCs/>
          <w:sz w:val="21"/>
          <w:szCs w:val="21"/>
          <w:u w:val="single"/>
        </w:rPr>
        <w:t xml:space="preserve"> Rights</w:t>
      </w:r>
      <w:r w:rsidRPr="00F62E3F">
        <w:rPr>
          <w:sz w:val="21"/>
          <w:szCs w:val="21"/>
        </w:rPr>
        <w:t xml:space="preserve">.  Customer’s rights in the </w:t>
      </w:r>
      <w:r w:rsidR="00FD22BE" w:rsidRPr="00F62E3F">
        <w:rPr>
          <w:sz w:val="21"/>
          <w:szCs w:val="21"/>
        </w:rPr>
        <w:t>Platform Services</w:t>
      </w:r>
      <w:r w:rsidRPr="00F62E3F">
        <w:rPr>
          <w:sz w:val="21"/>
          <w:szCs w:val="21"/>
        </w:rPr>
        <w:t xml:space="preserve"> will be limited to those expressly granted in this </w:t>
      </w:r>
      <w:r w:rsidR="00FB3304" w:rsidRPr="00F62E3F">
        <w:rPr>
          <w:sz w:val="21"/>
          <w:szCs w:val="21"/>
        </w:rPr>
        <w:t>Agreement</w:t>
      </w:r>
      <w:r w:rsidRPr="00F62E3F">
        <w:rPr>
          <w:sz w:val="21"/>
          <w:szCs w:val="21"/>
        </w:rPr>
        <w:t xml:space="preserve">.  Tavant reserves all rights and licenses in and to the </w:t>
      </w:r>
      <w:r w:rsidR="00FD22BE" w:rsidRPr="00F62E3F">
        <w:rPr>
          <w:sz w:val="21"/>
          <w:szCs w:val="21"/>
        </w:rPr>
        <w:t>Platform Services</w:t>
      </w:r>
      <w:r w:rsidRPr="00F62E3F">
        <w:rPr>
          <w:sz w:val="21"/>
          <w:szCs w:val="21"/>
        </w:rPr>
        <w:t xml:space="preserve"> not expressly granted to Customer under this </w:t>
      </w:r>
      <w:r w:rsidR="00FB3304" w:rsidRPr="00F62E3F">
        <w:rPr>
          <w:sz w:val="21"/>
          <w:szCs w:val="21"/>
        </w:rPr>
        <w:t>Agreement</w:t>
      </w:r>
      <w:r w:rsidRPr="00F62E3F">
        <w:rPr>
          <w:sz w:val="21"/>
          <w:szCs w:val="21"/>
        </w:rPr>
        <w:t xml:space="preserve">.  </w:t>
      </w:r>
    </w:p>
    <w:p w14:paraId="5CA2BE61" w14:textId="77777777" w:rsidR="00185F48" w:rsidRPr="00F62E3F" w:rsidRDefault="00185F48" w:rsidP="000B31A7">
      <w:pPr>
        <w:pStyle w:val="BodyText"/>
        <w:shd w:val="clear" w:color="auto" w:fill="FFFFFF" w:themeFill="background1"/>
        <w:rPr>
          <w:sz w:val="21"/>
          <w:szCs w:val="21"/>
        </w:rPr>
      </w:pPr>
    </w:p>
    <w:p w14:paraId="6A6E7909" w14:textId="39857521" w:rsidR="00A32560" w:rsidRPr="00F62E3F" w:rsidRDefault="006512C3" w:rsidP="000B31A7">
      <w:pPr>
        <w:pStyle w:val="Heading2"/>
        <w:shd w:val="clear" w:color="auto" w:fill="FFFFFF" w:themeFill="background1"/>
        <w:jc w:val="both"/>
        <w:rPr>
          <w:bCs/>
          <w:sz w:val="21"/>
          <w:szCs w:val="21"/>
        </w:rPr>
      </w:pPr>
      <w:r w:rsidRPr="00F62E3F">
        <w:rPr>
          <w:sz w:val="21"/>
          <w:szCs w:val="21"/>
          <w:u w:val="single"/>
        </w:rPr>
        <w:t>Service</w:t>
      </w:r>
      <w:r w:rsidRPr="00F62E3F">
        <w:rPr>
          <w:bCs/>
          <w:sz w:val="21"/>
          <w:szCs w:val="21"/>
          <w:u w:val="single"/>
        </w:rPr>
        <w:t xml:space="preserve"> Level Agreement</w:t>
      </w:r>
      <w:r w:rsidR="00A32560" w:rsidRPr="00F62E3F">
        <w:rPr>
          <w:bCs/>
          <w:sz w:val="21"/>
          <w:szCs w:val="21"/>
        </w:rPr>
        <w:t xml:space="preserve">.  Tavant will </w:t>
      </w:r>
      <w:r w:rsidR="00A15417" w:rsidRPr="00F62E3F">
        <w:rPr>
          <w:bCs/>
          <w:sz w:val="21"/>
          <w:szCs w:val="21"/>
        </w:rPr>
        <w:t>perform the</w:t>
      </w:r>
      <w:r w:rsidRPr="00F62E3F">
        <w:rPr>
          <w:bCs/>
          <w:sz w:val="21"/>
          <w:szCs w:val="21"/>
        </w:rPr>
        <w:t xml:space="preserve"> </w:t>
      </w:r>
      <w:r w:rsidR="00AD6A3E" w:rsidRPr="00F62E3F">
        <w:rPr>
          <w:bCs/>
          <w:sz w:val="21"/>
          <w:szCs w:val="21"/>
        </w:rPr>
        <w:t xml:space="preserve">Platform </w:t>
      </w:r>
      <w:r w:rsidRPr="00F62E3F">
        <w:rPr>
          <w:bCs/>
          <w:sz w:val="21"/>
          <w:szCs w:val="21"/>
        </w:rPr>
        <w:t>Services</w:t>
      </w:r>
      <w:r w:rsidR="00F62E3F" w:rsidRPr="00F62E3F">
        <w:rPr>
          <w:bCs/>
          <w:sz w:val="21"/>
          <w:szCs w:val="21"/>
        </w:rPr>
        <w:t xml:space="preserve"> (where applicable)</w:t>
      </w:r>
      <w:r w:rsidR="00A32560" w:rsidRPr="00F62E3F">
        <w:rPr>
          <w:bCs/>
          <w:sz w:val="21"/>
          <w:szCs w:val="21"/>
        </w:rPr>
        <w:t xml:space="preserve"> in accordance with </w:t>
      </w:r>
      <w:r w:rsidRPr="00F62E3F">
        <w:rPr>
          <w:bCs/>
          <w:sz w:val="21"/>
          <w:szCs w:val="21"/>
        </w:rPr>
        <w:t>the Service Level Agreement</w:t>
      </w:r>
      <w:r w:rsidR="00640BE1" w:rsidRPr="00F62E3F">
        <w:rPr>
          <w:bCs/>
          <w:sz w:val="21"/>
          <w:szCs w:val="21"/>
        </w:rPr>
        <w:t>.</w:t>
      </w:r>
      <w:r w:rsidR="00A32560" w:rsidRPr="00F62E3F">
        <w:rPr>
          <w:bCs/>
          <w:sz w:val="21"/>
          <w:szCs w:val="21"/>
        </w:rPr>
        <w:t xml:space="preserve"> </w:t>
      </w:r>
    </w:p>
    <w:p w14:paraId="2B2645DB" w14:textId="77777777" w:rsidR="00185F48" w:rsidRPr="00F62E3F" w:rsidRDefault="00185F48" w:rsidP="000B31A7">
      <w:pPr>
        <w:pStyle w:val="BodyText"/>
        <w:shd w:val="clear" w:color="auto" w:fill="FFFFFF" w:themeFill="background1"/>
        <w:rPr>
          <w:sz w:val="21"/>
          <w:szCs w:val="21"/>
        </w:rPr>
      </w:pPr>
    </w:p>
    <w:p w14:paraId="7652B880" w14:textId="77777777" w:rsidR="00A32560" w:rsidRPr="00F62E3F" w:rsidRDefault="006512C3" w:rsidP="000B31A7">
      <w:pPr>
        <w:pStyle w:val="Heading2"/>
        <w:shd w:val="clear" w:color="auto" w:fill="FFFFFF" w:themeFill="background1"/>
        <w:jc w:val="both"/>
        <w:rPr>
          <w:bCs/>
          <w:sz w:val="21"/>
          <w:szCs w:val="21"/>
        </w:rPr>
      </w:pPr>
      <w:r w:rsidRPr="00F62E3F">
        <w:rPr>
          <w:sz w:val="21"/>
          <w:szCs w:val="21"/>
          <w:u w:val="single"/>
        </w:rPr>
        <w:t>Professional Services</w:t>
      </w:r>
      <w:r w:rsidRPr="00F62E3F">
        <w:rPr>
          <w:sz w:val="21"/>
          <w:szCs w:val="21"/>
        </w:rPr>
        <w:t>.  Subject to Customer’s compliance with the terms and conditions herein, including payment for the Professional Service</w:t>
      </w:r>
      <w:r w:rsidR="00F3456C" w:rsidRPr="00F62E3F">
        <w:rPr>
          <w:sz w:val="21"/>
          <w:szCs w:val="21"/>
        </w:rPr>
        <w:t xml:space="preserve">s (if any) pursuant to </w:t>
      </w:r>
      <w:r w:rsidR="00F3456C" w:rsidRPr="00F62E3F">
        <w:rPr>
          <w:b/>
          <w:sz w:val="21"/>
          <w:szCs w:val="21"/>
        </w:rPr>
        <w:t xml:space="preserve">Section </w:t>
      </w:r>
      <w:r w:rsidR="00597851" w:rsidRPr="00F62E3F">
        <w:rPr>
          <w:b/>
          <w:sz w:val="21"/>
          <w:szCs w:val="21"/>
        </w:rPr>
        <w:t>4</w:t>
      </w:r>
      <w:r w:rsidRPr="00F62E3F">
        <w:rPr>
          <w:b/>
          <w:sz w:val="21"/>
          <w:szCs w:val="21"/>
        </w:rPr>
        <w:t>.1</w:t>
      </w:r>
      <w:r w:rsidRPr="00F62E3F">
        <w:rPr>
          <w:sz w:val="21"/>
          <w:szCs w:val="21"/>
        </w:rPr>
        <w:t xml:space="preserve"> and the Order Schedule, Tavant will provide Customer the Professional Services in accordance with the relevant SOW and this </w:t>
      </w:r>
      <w:r w:rsidR="00FB3304" w:rsidRPr="00F62E3F">
        <w:rPr>
          <w:sz w:val="21"/>
          <w:szCs w:val="21"/>
        </w:rPr>
        <w:t>Agreement</w:t>
      </w:r>
      <w:r w:rsidRPr="00F62E3F">
        <w:rPr>
          <w:sz w:val="21"/>
          <w:szCs w:val="21"/>
        </w:rPr>
        <w:t>.</w:t>
      </w:r>
    </w:p>
    <w:p w14:paraId="5E7CED73" w14:textId="77777777" w:rsidR="00ED350F" w:rsidRPr="00F62E3F" w:rsidRDefault="00ED350F" w:rsidP="000B31A7">
      <w:pPr>
        <w:pStyle w:val="BodyText"/>
        <w:shd w:val="clear" w:color="auto" w:fill="FFFFFF" w:themeFill="background1"/>
        <w:rPr>
          <w:sz w:val="21"/>
          <w:szCs w:val="21"/>
        </w:rPr>
      </w:pPr>
    </w:p>
    <w:p w14:paraId="79AE44CB" w14:textId="77777777" w:rsidR="00AB3D50" w:rsidRPr="00F62E3F" w:rsidRDefault="00733E69" w:rsidP="000B31A7">
      <w:pPr>
        <w:pStyle w:val="Heading1"/>
        <w:shd w:val="clear" w:color="auto" w:fill="FFFFFF" w:themeFill="background1"/>
        <w:jc w:val="both"/>
        <w:rPr>
          <w:b/>
          <w:sz w:val="21"/>
          <w:szCs w:val="21"/>
        </w:rPr>
      </w:pPr>
      <w:r w:rsidRPr="00F62E3F">
        <w:rPr>
          <w:b/>
          <w:sz w:val="21"/>
          <w:szCs w:val="21"/>
        </w:rPr>
        <w:t>CUSTOMER</w:t>
      </w:r>
      <w:r w:rsidR="00AB3D50" w:rsidRPr="00F62E3F">
        <w:rPr>
          <w:b/>
          <w:sz w:val="21"/>
          <w:szCs w:val="21"/>
        </w:rPr>
        <w:t xml:space="preserve"> OBLIGATIONS</w:t>
      </w:r>
    </w:p>
    <w:p w14:paraId="2D920ECB" w14:textId="447F1382" w:rsidR="00BF0392" w:rsidRPr="00F62E3F" w:rsidRDefault="00BF0392" w:rsidP="000B31A7">
      <w:pPr>
        <w:pStyle w:val="Heading2"/>
        <w:shd w:val="clear" w:color="auto" w:fill="FFFFFF" w:themeFill="background1"/>
        <w:jc w:val="both"/>
        <w:rPr>
          <w:sz w:val="21"/>
          <w:szCs w:val="21"/>
        </w:rPr>
      </w:pPr>
      <w:r w:rsidRPr="00F62E3F">
        <w:rPr>
          <w:sz w:val="21"/>
          <w:szCs w:val="21"/>
          <w:u w:val="single"/>
        </w:rPr>
        <w:t>Cooperation and Assistance</w:t>
      </w:r>
      <w:r w:rsidRPr="00F62E3F">
        <w:rPr>
          <w:sz w:val="21"/>
          <w:szCs w:val="21"/>
        </w:rPr>
        <w:t xml:space="preserve">.  </w:t>
      </w:r>
      <w:r w:rsidR="0055140D" w:rsidRPr="00F62E3F">
        <w:rPr>
          <w:sz w:val="21"/>
          <w:szCs w:val="21"/>
        </w:rPr>
        <w:t xml:space="preserve">As a condition to Tavant’s obligations hereunder, Customer </w:t>
      </w:r>
      <w:r w:rsidR="0015297B" w:rsidRPr="00F62E3F">
        <w:rPr>
          <w:sz w:val="21"/>
          <w:szCs w:val="21"/>
        </w:rPr>
        <w:t xml:space="preserve">and Authorized Users </w:t>
      </w:r>
      <w:r w:rsidR="0055140D" w:rsidRPr="00F62E3F">
        <w:rPr>
          <w:sz w:val="21"/>
          <w:szCs w:val="21"/>
        </w:rPr>
        <w:t xml:space="preserve">will at all times: (a) provide Tavant with </w:t>
      </w:r>
      <w:r w:rsidR="00B74821" w:rsidRPr="00F62E3F">
        <w:rPr>
          <w:sz w:val="21"/>
          <w:szCs w:val="21"/>
        </w:rPr>
        <w:t xml:space="preserve">reasonable </w:t>
      </w:r>
      <w:r w:rsidR="0055140D" w:rsidRPr="00F62E3F">
        <w:rPr>
          <w:sz w:val="21"/>
          <w:szCs w:val="21"/>
        </w:rPr>
        <w:t>good faith cooperation and assistance and make available such information, facilities, personnel</w:t>
      </w:r>
      <w:r w:rsidR="0015297B" w:rsidRPr="00F62E3F">
        <w:rPr>
          <w:sz w:val="21"/>
          <w:szCs w:val="21"/>
        </w:rPr>
        <w:t>,</w:t>
      </w:r>
      <w:r w:rsidR="0055140D" w:rsidRPr="00F62E3F">
        <w:rPr>
          <w:sz w:val="21"/>
          <w:szCs w:val="21"/>
        </w:rPr>
        <w:t xml:space="preserve"> equipment </w:t>
      </w:r>
      <w:r w:rsidR="0015297B" w:rsidRPr="00F62E3F">
        <w:rPr>
          <w:sz w:val="21"/>
          <w:szCs w:val="21"/>
        </w:rPr>
        <w:t xml:space="preserve">and support </w:t>
      </w:r>
      <w:r w:rsidR="0055140D" w:rsidRPr="00F62E3F">
        <w:rPr>
          <w:sz w:val="21"/>
          <w:szCs w:val="21"/>
        </w:rPr>
        <w:t xml:space="preserve">as may be </w:t>
      </w:r>
      <w:r w:rsidR="0055140D" w:rsidRPr="00F62E3F">
        <w:rPr>
          <w:sz w:val="21"/>
          <w:szCs w:val="21"/>
        </w:rPr>
        <w:lastRenderedPageBreak/>
        <w:t>reasonably required by Tavant in order to provide the Platform Services</w:t>
      </w:r>
      <w:r w:rsidR="00B467D2" w:rsidRPr="00F62E3F">
        <w:rPr>
          <w:sz w:val="21"/>
          <w:szCs w:val="21"/>
        </w:rPr>
        <w:t xml:space="preserve"> and Professional Services</w:t>
      </w:r>
      <w:r w:rsidR="0055140D" w:rsidRPr="00F62E3F">
        <w:rPr>
          <w:sz w:val="21"/>
          <w:szCs w:val="21"/>
        </w:rPr>
        <w:t xml:space="preserve">, including, but not limited to, providing Customer </w:t>
      </w:r>
      <w:r w:rsidRPr="00F62E3F">
        <w:rPr>
          <w:sz w:val="21"/>
          <w:szCs w:val="21"/>
        </w:rPr>
        <w:t>Materials</w:t>
      </w:r>
      <w:r w:rsidR="0055140D" w:rsidRPr="00F62E3F">
        <w:rPr>
          <w:sz w:val="21"/>
          <w:szCs w:val="21"/>
        </w:rPr>
        <w:t xml:space="preserve">, security access, information, and software interfaces to Customer’s business applications; and (b) carry out in a timely manner all other Customer responsibilities set forth in this </w:t>
      </w:r>
      <w:r w:rsidR="00FB3304" w:rsidRPr="00F62E3F">
        <w:rPr>
          <w:sz w:val="21"/>
          <w:szCs w:val="21"/>
        </w:rPr>
        <w:t>Agreement</w:t>
      </w:r>
      <w:r w:rsidR="0055140D" w:rsidRPr="00F62E3F">
        <w:rPr>
          <w:sz w:val="21"/>
          <w:szCs w:val="21"/>
        </w:rPr>
        <w:t>.</w:t>
      </w:r>
    </w:p>
    <w:p w14:paraId="574E3CB7" w14:textId="77777777" w:rsidR="00185F48" w:rsidRPr="00F62E3F" w:rsidRDefault="00185F48" w:rsidP="000B31A7">
      <w:pPr>
        <w:pStyle w:val="BodyText"/>
        <w:shd w:val="clear" w:color="auto" w:fill="FFFFFF" w:themeFill="background1"/>
        <w:rPr>
          <w:sz w:val="21"/>
          <w:szCs w:val="21"/>
        </w:rPr>
      </w:pPr>
    </w:p>
    <w:p w14:paraId="6F7C1072" w14:textId="0DB07811" w:rsidR="00AB3D50" w:rsidRPr="00F62E3F" w:rsidRDefault="00AB3D50" w:rsidP="000B31A7">
      <w:pPr>
        <w:pStyle w:val="Heading2"/>
        <w:shd w:val="clear" w:color="auto" w:fill="FFFFFF" w:themeFill="background1"/>
        <w:jc w:val="both"/>
        <w:rPr>
          <w:sz w:val="21"/>
          <w:szCs w:val="21"/>
        </w:rPr>
      </w:pPr>
      <w:r w:rsidRPr="00F62E3F">
        <w:rPr>
          <w:sz w:val="21"/>
          <w:szCs w:val="21"/>
          <w:u w:val="single"/>
        </w:rPr>
        <w:t>Enforcement</w:t>
      </w:r>
      <w:r w:rsidRPr="00F62E3F">
        <w:rPr>
          <w:sz w:val="21"/>
          <w:szCs w:val="21"/>
        </w:rPr>
        <w:t xml:space="preserve">.  </w:t>
      </w:r>
      <w:r w:rsidR="00733E69" w:rsidRPr="00F62E3F">
        <w:rPr>
          <w:sz w:val="21"/>
          <w:szCs w:val="21"/>
        </w:rPr>
        <w:t>Customer</w:t>
      </w:r>
      <w:r w:rsidRPr="00F62E3F">
        <w:rPr>
          <w:sz w:val="21"/>
          <w:szCs w:val="21"/>
        </w:rPr>
        <w:t xml:space="preserve"> </w:t>
      </w:r>
      <w:r w:rsidR="00B163D5" w:rsidRPr="00F62E3F">
        <w:rPr>
          <w:sz w:val="21"/>
          <w:szCs w:val="21"/>
        </w:rPr>
        <w:t>will</w:t>
      </w:r>
      <w:r w:rsidRPr="00F62E3F">
        <w:rPr>
          <w:sz w:val="21"/>
          <w:szCs w:val="21"/>
        </w:rPr>
        <w:t xml:space="preserve"> </w:t>
      </w:r>
      <w:r w:rsidR="00B74821" w:rsidRPr="00F62E3F">
        <w:rPr>
          <w:sz w:val="21"/>
          <w:szCs w:val="21"/>
        </w:rPr>
        <w:t xml:space="preserve">take reasonable efforts to </w:t>
      </w:r>
      <w:r w:rsidRPr="00F62E3F">
        <w:rPr>
          <w:sz w:val="21"/>
          <w:szCs w:val="21"/>
        </w:rPr>
        <w:t xml:space="preserve">ensure that all Authorized Users comply with the terms and conditions of this </w:t>
      </w:r>
      <w:r w:rsidR="00FB3304" w:rsidRPr="00F62E3F">
        <w:rPr>
          <w:sz w:val="21"/>
          <w:szCs w:val="21"/>
        </w:rPr>
        <w:t>Agreement</w:t>
      </w:r>
      <w:r w:rsidRPr="00F62E3F">
        <w:rPr>
          <w:sz w:val="21"/>
          <w:szCs w:val="21"/>
        </w:rPr>
        <w:t xml:space="preserve">, including, without limitation, with </w:t>
      </w:r>
      <w:r w:rsidR="00733E69" w:rsidRPr="00F62E3F">
        <w:rPr>
          <w:sz w:val="21"/>
          <w:szCs w:val="21"/>
        </w:rPr>
        <w:t>Customer</w:t>
      </w:r>
      <w:r w:rsidRPr="00F62E3F">
        <w:rPr>
          <w:sz w:val="21"/>
          <w:szCs w:val="21"/>
        </w:rPr>
        <w:t xml:space="preserve">’s obligations set forth in </w:t>
      </w:r>
      <w:r w:rsidRPr="00F62E3F">
        <w:rPr>
          <w:b/>
          <w:bCs/>
          <w:sz w:val="21"/>
          <w:szCs w:val="21"/>
        </w:rPr>
        <w:t>Sectio</w:t>
      </w:r>
      <w:r w:rsidR="00666E5B" w:rsidRPr="00F62E3F">
        <w:rPr>
          <w:b/>
          <w:bCs/>
          <w:sz w:val="21"/>
          <w:szCs w:val="21"/>
        </w:rPr>
        <w:t>ns </w:t>
      </w:r>
      <w:r w:rsidR="003126FF" w:rsidRPr="00F62E3F">
        <w:rPr>
          <w:b/>
          <w:bCs/>
          <w:sz w:val="21"/>
          <w:szCs w:val="21"/>
        </w:rPr>
        <w:t>2.</w:t>
      </w:r>
      <w:r w:rsidR="00DF4E62" w:rsidRPr="00F62E3F">
        <w:rPr>
          <w:b/>
          <w:bCs/>
          <w:sz w:val="21"/>
          <w:szCs w:val="21"/>
        </w:rPr>
        <w:t>2</w:t>
      </w:r>
      <w:r w:rsidR="003126FF" w:rsidRPr="00F62E3F">
        <w:rPr>
          <w:b/>
          <w:bCs/>
          <w:sz w:val="21"/>
          <w:szCs w:val="21"/>
        </w:rPr>
        <w:t xml:space="preserve"> and 2</w:t>
      </w:r>
      <w:r w:rsidRPr="00F62E3F">
        <w:rPr>
          <w:b/>
          <w:bCs/>
          <w:sz w:val="21"/>
          <w:szCs w:val="21"/>
        </w:rPr>
        <w:t>.</w:t>
      </w:r>
      <w:r w:rsidR="00DF4E62" w:rsidRPr="00F62E3F">
        <w:rPr>
          <w:b/>
          <w:bCs/>
          <w:sz w:val="21"/>
          <w:szCs w:val="21"/>
        </w:rPr>
        <w:t>3</w:t>
      </w:r>
      <w:r w:rsidRPr="00F62E3F">
        <w:rPr>
          <w:sz w:val="21"/>
          <w:szCs w:val="21"/>
        </w:rPr>
        <w:t xml:space="preserve">.  </w:t>
      </w:r>
      <w:r w:rsidR="00733E69" w:rsidRPr="00F62E3F">
        <w:rPr>
          <w:sz w:val="21"/>
          <w:szCs w:val="21"/>
        </w:rPr>
        <w:t>Customer</w:t>
      </w:r>
      <w:r w:rsidRPr="00F62E3F">
        <w:rPr>
          <w:sz w:val="21"/>
          <w:szCs w:val="21"/>
        </w:rPr>
        <w:t xml:space="preserve"> </w:t>
      </w:r>
      <w:r w:rsidR="00B163D5" w:rsidRPr="00F62E3F">
        <w:rPr>
          <w:sz w:val="21"/>
          <w:szCs w:val="21"/>
        </w:rPr>
        <w:t>will</w:t>
      </w:r>
      <w:r w:rsidRPr="00F62E3F">
        <w:rPr>
          <w:sz w:val="21"/>
          <w:szCs w:val="21"/>
        </w:rPr>
        <w:t xml:space="preserve"> promptly notify </w:t>
      </w:r>
      <w:r w:rsidR="00125B0C" w:rsidRPr="00F62E3F">
        <w:rPr>
          <w:sz w:val="21"/>
          <w:szCs w:val="21"/>
        </w:rPr>
        <w:t>Tavant</w:t>
      </w:r>
      <w:r w:rsidRPr="00F62E3F">
        <w:rPr>
          <w:sz w:val="21"/>
          <w:szCs w:val="21"/>
        </w:rPr>
        <w:t xml:space="preserve"> of any suspected or alleged violation of the terms and conditions of this </w:t>
      </w:r>
      <w:r w:rsidR="00FB3304" w:rsidRPr="00F62E3F">
        <w:rPr>
          <w:sz w:val="21"/>
          <w:szCs w:val="21"/>
        </w:rPr>
        <w:t>Agreement</w:t>
      </w:r>
      <w:r w:rsidRPr="00F62E3F">
        <w:rPr>
          <w:sz w:val="21"/>
          <w:szCs w:val="21"/>
        </w:rPr>
        <w:t xml:space="preserve"> and </w:t>
      </w:r>
      <w:r w:rsidR="00B163D5" w:rsidRPr="00F62E3F">
        <w:rPr>
          <w:sz w:val="21"/>
          <w:szCs w:val="21"/>
        </w:rPr>
        <w:t>will</w:t>
      </w:r>
      <w:r w:rsidRPr="00F62E3F">
        <w:rPr>
          <w:sz w:val="21"/>
          <w:szCs w:val="21"/>
        </w:rPr>
        <w:t xml:space="preserve"> cooperate with </w:t>
      </w:r>
      <w:r w:rsidR="00125B0C" w:rsidRPr="00F62E3F">
        <w:rPr>
          <w:sz w:val="21"/>
          <w:szCs w:val="21"/>
        </w:rPr>
        <w:t>Tavant</w:t>
      </w:r>
      <w:r w:rsidR="00666E5B" w:rsidRPr="00F62E3F">
        <w:rPr>
          <w:sz w:val="21"/>
          <w:szCs w:val="21"/>
        </w:rPr>
        <w:t xml:space="preserve"> with respect to: (a) </w:t>
      </w:r>
      <w:r w:rsidRPr="00F62E3F">
        <w:rPr>
          <w:sz w:val="21"/>
          <w:szCs w:val="21"/>
        </w:rPr>
        <w:t xml:space="preserve">investigation by </w:t>
      </w:r>
      <w:r w:rsidR="00125B0C" w:rsidRPr="00F62E3F">
        <w:rPr>
          <w:sz w:val="21"/>
          <w:szCs w:val="21"/>
        </w:rPr>
        <w:t>Tavant</w:t>
      </w:r>
      <w:r w:rsidRPr="00F62E3F">
        <w:rPr>
          <w:sz w:val="21"/>
          <w:szCs w:val="21"/>
        </w:rPr>
        <w:t xml:space="preserve"> of any suspected or alleged violation of this </w:t>
      </w:r>
      <w:r w:rsidR="00FB3304" w:rsidRPr="00F62E3F">
        <w:rPr>
          <w:sz w:val="21"/>
          <w:szCs w:val="21"/>
        </w:rPr>
        <w:t>Agreement</w:t>
      </w:r>
      <w:r w:rsidR="007F6B5C" w:rsidRPr="00F62E3F">
        <w:rPr>
          <w:sz w:val="21"/>
          <w:szCs w:val="21"/>
        </w:rPr>
        <w:t>,</w:t>
      </w:r>
      <w:r w:rsidRPr="00F62E3F">
        <w:rPr>
          <w:sz w:val="21"/>
          <w:szCs w:val="21"/>
        </w:rPr>
        <w:t xml:space="preserve"> and (b) any action by </w:t>
      </w:r>
      <w:r w:rsidR="00125B0C" w:rsidRPr="00F62E3F">
        <w:rPr>
          <w:sz w:val="21"/>
          <w:szCs w:val="21"/>
        </w:rPr>
        <w:t>Tavant</w:t>
      </w:r>
      <w:r w:rsidRPr="00F62E3F">
        <w:rPr>
          <w:sz w:val="21"/>
          <w:szCs w:val="21"/>
        </w:rPr>
        <w:t xml:space="preserve"> to enforce the terms and conditions of this </w:t>
      </w:r>
      <w:r w:rsidR="00FB3304" w:rsidRPr="00F62E3F">
        <w:rPr>
          <w:sz w:val="21"/>
          <w:szCs w:val="21"/>
        </w:rPr>
        <w:t>Agreement</w:t>
      </w:r>
      <w:r w:rsidRPr="00F62E3F">
        <w:rPr>
          <w:sz w:val="21"/>
          <w:szCs w:val="21"/>
        </w:rPr>
        <w:t xml:space="preserve">.  </w:t>
      </w:r>
      <w:r w:rsidR="00125B0C" w:rsidRPr="00F62E3F">
        <w:rPr>
          <w:sz w:val="21"/>
          <w:szCs w:val="21"/>
        </w:rPr>
        <w:t>Tavant</w:t>
      </w:r>
      <w:r w:rsidRPr="00F62E3F">
        <w:rPr>
          <w:sz w:val="21"/>
          <w:szCs w:val="21"/>
        </w:rPr>
        <w:t xml:space="preserve"> may suspend or terminate any Authorized User’s access to the </w:t>
      </w:r>
      <w:r w:rsidR="00B979ED" w:rsidRPr="00F62E3F">
        <w:rPr>
          <w:sz w:val="21"/>
          <w:szCs w:val="21"/>
        </w:rPr>
        <w:t>Platform Services</w:t>
      </w:r>
      <w:r w:rsidRPr="00F62E3F">
        <w:rPr>
          <w:sz w:val="21"/>
          <w:szCs w:val="21"/>
        </w:rPr>
        <w:t xml:space="preserve"> upon notice to </w:t>
      </w:r>
      <w:r w:rsidR="00733E69" w:rsidRPr="00F62E3F">
        <w:rPr>
          <w:sz w:val="21"/>
          <w:szCs w:val="21"/>
        </w:rPr>
        <w:t>Customer</w:t>
      </w:r>
      <w:r w:rsidRPr="00F62E3F">
        <w:rPr>
          <w:sz w:val="21"/>
          <w:szCs w:val="21"/>
        </w:rPr>
        <w:t xml:space="preserve"> in the event that </w:t>
      </w:r>
      <w:r w:rsidR="00125B0C" w:rsidRPr="00F62E3F">
        <w:rPr>
          <w:sz w:val="21"/>
          <w:szCs w:val="21"/>
        </w:rPr>
        <w:t>Tavant</w:t>
      </w:r>
      <w:r w:rsidRPr="00F62E3F">
        <w:rPr>
          <w:sz w:val="21"/>
          <w:szCs w:val="21"/>
        </w:rPr>
        <w:t xml:space="preserve"> reasonably determines that such Authorized User has violated the terms and conditions of this </w:t>
      </w:r>
      <w:r w:rsidR="00FB3304" w:rsidRPr="00F62E3F">
        <w:rPr>
          <w:sz w:val="21"/>
          <w:szCs w:val="21"/>
        </w:rPr>
        <w:t>Agreement</w:t>
      </w:r>
      <w:r w:rsidRPr="00F62E3F">
        <w:rPr>
          <w:sz w:val="21"/>
          <w:szCs w:val="21"/>
        </w:rPr>
        <w:t xml:space="preserve">.  </w:t>
      </w:r>
      <w:r w:rsidR="00733E69" w:rsidRPr="00F62E3F">
        <w:rPr>
          <w:sz w:val="21"/>
          <w:szCs w:val="21"/>
        </w:rPr>
        <w:t>Customer</w:t>
      </w:r>
      <w:r w:rsidR="00255256" w:rsidRPr="00F62E3F">
        <w:rPr>
          <w:sz w:val="21"/>
          <w:szCs w:val="21"/>
        </w:rPr>
        <w:t xml:space="preserve"> will at all times be responsible for all actions taken under an Authorized User’s account, whether such action was taken by an Authorized User or by another party, and whether such action was authorized by an Authorized User.  </w:t>
      </w:r>
      <w:r w:rsidR="00733E69" w:rsidRPr="00F62E3F">
        <w:rPr>
          <w:sz w:val="21"/>
          <w:szCs w:val="21"/>
        </w:rPr>
        <w:t>Customer</w:t>
      </w:r>
      <w:r w:rsidRPr="00F62E3F">
        <w:rPr>
          <w:sz w:val="21"/>
          <w:szCs w:val="21"/>
        </w:rPr>
        <w:t xml:space="preserve"> </w:t>
      </w:r>
      <w:r w:rsidR="00B163D5" w:rsidRPr="00F62E3F">
        <w:rPr>
          <w:sz w:val="21"/>
          <w:szCs w:val="21"/>
        </w:rPr>
        <w:t>will</w:t>
      </w:r>
      <w:r w:rsidRPr="00F62E3F">
        <w:rPr>
          <w:sz w:val="21"/>
          <w:szCs w:val="21"/>
        </w:rPr>
        <w:t xml:space="preserve"> be liable for any violation of the terms and conditions of this </w:t>
      </w:r>
      <w:r w:rsidR="00FB3304" w:rsidRPr="00F62E3F">
        <w:rPr>
          <w:sz w:val="21"/>
          <w:szCs w:val="21"/>
        </w:rPr>
        <w:t>Agreement</w:t>
      </w:r>
      <w:r w:rsidR="00CC36CC" w:rsidRPr="00F62E3F">
        <w:rPr>
          <w:sz w:val="21"/>
          <w:szCs w:val="21"/>
        </w:rPr>
        <w:t xml:space="preserve"> </w:t>
      </w:r>
      <w:r w:rsidRPr="00F62E3F">
        <w:rPr>
          <w:sz w:val="21"/>
          <w:szCs w:val="21"/>
        </w:rPr>
        <w:t>by any Authorized User.</w:t>
      </w:r>
    </w:p>
    <w:p w14:paraId="058FC8B3" w14:textId="77777777" w:rsidR="00185F48" w:rsidRPr="00F62E3F" w:rsidRDefault="00185F48" w:rsidP="000B31A7">
      <w:pPr>
        <w:pStyle w:val="BodyText"/>
        <w:shd w:val="clear" w:color="auto" w:fill="FFFFFF" w:themeFill="background1"/>
        <w:rPr>
          <w:sz w:val="21"/>
          <w:szCs w:val="21"/>
        </w:rPr>
      </w:pPr>
    </w:p>
    <w:p w14:paraId="78132210" w14:textId="4360D124" w:rsidR="00AB3D50" w:rsidRPr="00F62E3F" w:rsidRDefault="00AB3D50" w:rsidP="000B31A7">
      <w:pPr>
        <w:pStyle w:val="Heading2"/>
        <w:shd w:val="clear" w:color="auto" w:fill="FFFFFF" w:themeFill="background1"/>
        <w:jc w:val="both"/>
        <w:rPr>
          <w:sz w:val="21"/>
          <w:szCs w:val="21"/>
        </w:rPr>
      </w:pPr>
      <w:r w:rsidRPr="00F62E3F">
        <w:rPr>
          <w:sz w:val="21"/>
          <w:szCs w:val="21"/>
          <w:u w:val="single"/>
        </w:rPr>
        <w:t>Telecommunications and Internet Services</w:t>
      </w:r>
      <w:r w:rsidRPr="00F62E3F">
        <w:rPr>
          <w:sz w:val="21"/>
          <w:szCs w:val="21"/>
        </w:rPr>
        <w:t xml:space="preserve">.  </w:t>
      </w:r>
      <w:r w:rsidR="00733E69" w:rsidRPr="00F62E3F">
        <w:rPr>
          <w:sz w:val="21"/>
          <w:szCs w:val="21"/>
        </w:rPr>
        <w:t>Customer</w:t>
      </w:r>
      <w:r w:rsidRPr="00F62E3F">
        <w:rPr>
          <w:sz w:val="21"/>
          <w:szCs w:val="21"/>
        </w:rPr>
        <w:t xml:space="preserve"> acknowledges and agrees that </w:t>
      </w:r>
      <w:r w:rsidR="00733E69" w:rsidRPr="00F62E3F">
        <w:rPr>
          <w:sz w:val="21"/>
          <w:szCs w:val="21"/>
        </w:rPr>
        <w:t>Customer</w:t>
      </w:r>
      <w:r w:rsidRPr="00F62E3F">
        <w:rPr>
          <w:sz w:val="21"/>
          <w:szCs w:val="21"/>
        </w:rPr>
        <w:t xml:space="preserve">’s and its Authorized Users’ use of the </w:t>
      </w:r>
      <w:r w:rsidR="00B979ED" w:rsidRPr="00F62E3F">
        <w:rPr>
          <w:sz w:val="21"/>
          <w:szCs w:val="21"/>
        </w:rPr>
        <w:t>Platform Services</w:t>
      </w:r>
      <w:r w:rsidRPr="00F62E3F">
        <w:rPr>
          <w:sz w:val="21"/>
          <w:szCs w:val="21"/>
        </w:rPr>
        <w:t xml:space="preserve"> is dependent upon access to telecommunications and Internet services.  </w:t>
      </w:r>
      <w:r w:rsidR="00733E69" w:rsidRPr="00F62E3F">
        <w:rPr>
          <w:sz w:val="21"/>
          <w:szCs w:val="21"/>
        </w:rPr>
        <w:t>Customer</w:t>
      </w:r>
      <w:r w:rsidRPr="00F62E3F">
        <w:rPr>
          <w:sz w:val="21"/>
          <w:szCs w:val="21"/>
        </w:rPr>
        <w:t xml:space="preserve"> </w:t>
      </w:r>
      <w:r w:rsidR="00B163D5" w:rsidRPr="00F62E3F">
        <w:rPr>
          <w:sz w:val="21"/>
          <w:szCs w:val="21"/>
        </w:rPr>
        <w:t>will</w:t>
      </w:r>
      <w:r w:rsidRPr="00F62E3F">
        <w:rPr>
          <w:sz w:val="21"/>
          <w:szCs w:val="21"/>
        </w:rPr>
        <w:t xml:space="preserve"> be solely responsible for acquiring and maintaining all telecommunications and Internet services and other hardware and software required to access and use the </w:t>
      </w:r>
      <w:r w:rsidR="00B979ED" w:rsidRPr="00F62E3F">
        <w:rPr>
          <w:sz w:val="21"/>
          <w:szCs w:val="21"/>
        </w:rPr>
        <w:t>Platform Services</w:t>
      </w:r>
      <w:r w:rsidRPr="00F62E3F">
        <w:rPr>
          <w:sz w:val="21"/>
          <w:szCs w:val="21"/>
        </w:rPr>
        <w:t xml:space="preserve">, including, without limitation, any and all costs, fees, expenses, and taxes of any kind related to the foregoing.  </w:t>
      </w:r>
      <w:r w:rsidR="00B74821" w:rsidRPr="00F62E3F">
        <w:rPr>
          <w:sz w:val="21"/>
          <w:szCs w:val="21"/>
        </w:rPr>
        <w:t>Unless caused by Tavant</w:t>
      </w:r>
      <w:r w:rsidRPr="00F62E3F">
        <w:rPr>
          <w:sz w:val="21"/>
          <w:szCs w:val="21"/>
        </w:rPr>
        <w:t>’s willful or grossly negligent act or omission</w:t>
      </w:r>
      <w:r w:rsidR="008C066D" w:rsidRPr="00F62E3F">
        <w:rPr>
          <w:sz w:val="21"/>
          <w:szCs w:val="21"/>
        </w:rPr>
        <w:t>,</w:t>
      </w:r>
      <w:r w:rsidR="00B74821" w:rsidRPr="00F62E3F">
        <w:rPr>
          <w:sz w:val="21"/>
          <w:szCs w:val="21"/>
        </w:rPr>
        <w:t xml:space="preserve"> </w:t>
      </w:r>
      <w:r w:rsidR="00125B0C" w:rsidRPr="00F62E3F">
        <w:rPr>
          <w:sz w:val="21"/>
          <w:szCs w:val="21"/>
        </w:rPr>
        <w:t>Tavant</w:t>
      </w:r>
      <w:r w:rsidRPr="00F62E3F">
        <w:rPr>
          <w:sz w:val="21"/>
          <w:szCs w:val="21"/>
        </w:rPr>
        <w:t xml:space="preserve"> </w:t>
      </w:r>
      <w:r w:rsidR="00B163D5" w:rsidRPr="00F62E3F">
        <w:rPr>
          <w:sz w:val="21"/>
          <w:szCs w:val="21"/>
        </w:rPr>
        <w:t>will</w:t>
      </w:r>
      <w:r w:rsidRPr="00F62E3F">
        <w:rPr>
          <w:sz w:val="21"/>
          <w:szCs w:val="21"/>
        </w:rPr>
        <w:t xml:space="preserve"> not be responsible for any loss or corruption of data, lost communications, or any other loss or damage of any kind arising from any such telecommunications and Internet services.</w:t>
      </w:r>
      <w:r w:rsidR="00340A9D" w:rsidRPr="00F62E3F">
        <w:rPr>
          <w:sz w:val="21"/>
          <w:szCs w:val="21"/>
        </w:rPr>
        <w:t xml:space="preserve">  </w:t>
      </w:r>
    </w:p>
    <w:p w14:paraId="2431BFA8" w14:textId="74443222" w:rsidR="005922E1" w:rsidRPr="00F62E3F" w:rsidRDefault="00D5263D" w:rsidP="000B31A7">
      <w:pPr>
        <w:pStyle w:val="BodyText"/>
        <w:shd w:val="clear" w:color="auto" w:fill="FFFFFF" w:themeFill="background1"/>
        <w:rPr>
          <w:sz w:val="21"/>
          <w:szCs w:val="21"/>
        </w:rPr>
      </w:pPr>
      <w:r w:rsidRPr="00F62E3F">
        <w:rPr>
          <w:sz w:val="21"/>
          <w:szCs w:val="21"/>
        </w:rPr>
        <w:t>3.4</w:t>
      </w:r>
      <w:r w:rsidR="00F62E3F">
        <w:rPr>
          <w:sz w:val="21"/>
          <w:szCs w:val="21"/>
        </w:rPr>
        <w:t>.</w:t>
      </w:r>
      <w:r w:rsidRPr="00F62E3F">
        <w:rPr>
          <w:sz w:val="21"/>
          <w:szCs w:val="21"/>
        </w:rPr>
        <w:t xml:space="preserve"> </w:t>
      </w:r>
      <w:r w:rsidR="005922E1" w:rsidRPr="00F62E3F">
        <w:rPr>
          <w:sz w:val="21"/>
          <w:szCs w:val="21"/>
        </w:rPr>
        <w:t xml:space="preserve">The </w:t>
      </w:r>
      <w:r w:rsidRPr="00F62E3F">
        <w:rPr>
          <w:sz w:val="21"/>
          <w:szCs w:val="21"/>
        </w:rPr>
        <w:t xml:space="preserve">Customer shall (with its written consent) allow </w:t>
      </w:r>
      <w:r w:rsidR="00B8294E" w:rsidRPr="00F62E3F">
        <w:rPr>
          <w:sz w:val="21"/>
          <w:szCs w:val="21"/>
        </w:rPr>
        <w:t>Tavant to</w:t>
      </w:r>
      <w:r w:rsidRPr="00F62E3F">
        <w:rPr>
          <w:sz w:val="21"/>
          <w:szCs w:val="21"/>
        </w:rPr>
        <w:t xml:space="preserve"> </w:t>
      </w:r>
      <w:r w:rsidR="005922E1" w:rsidRPr="00F62E3F">
        <w:rPr>
          <w:sz w:val="21"/>
          <w:szCs w:val="21"/>
        </w:rPr>
        <w:t xml:space="preserve">use the </w:t>
      </w:r>
      <w:r w:rsidRPr="00F62E3F">
        <w:rPr>
          <w:sz w:val="21"/>
          <w:szCs w:val="21"/>
        </w:rPr>
        <w:t xml:space="preserve">Customer Marks </w:t>
      </w:r>
      <w:r w:rsidR="005922E1" w:rsidRPr="00F62E3F">
        <w:rPr>
          <w:sz w:val="21"/>
          <w:szCs w:val="21"/>
        </w:rPr>
        <w:t xml:space="preserve">in connection with its business or in any advertising or promotional materials or activities, in a website, in a press release or in any other communications, or services, </w:t>
      </w:r>
      <w:r w:rsidRPr="00F62E3F">
        <w:rPr>
          <w:sz w:val="21"/>
          <w:szCs w:val="21"/>
        </w:rPr>
        <w:t xml:space="preserve">or </w:t>
      </w:r>
      <w:r w:rsidR="005922E1" w:rsidRPr="00F62E3F">
        <w:rPr>
          <w:sz w:val="21"/>
          <w:szCs w:val="21"/>
        </w:rPr>
        <w:t>materials.</w:t>
      </w:r>
    </w:p>
    <w:p w14:paraId="110EB202" w14:textId="77777777" w:rsidR="002757CC" w:rsidRPr="00F62E3F" w:rsidRDefault="002757CC" w:rsidP="000B31A7">
      <w:pPr>
        <w:pStyle w:val="BodyText"/>
        <w:shd w:val="clear" w:color="auto" w:fill="FFFFFF" w:themeFill="background1"/>
        <w:rPr>
          <w:sz w:val="21"/>
          <w:szCs w:val="21"/>
        </w:rPr>
      </w:pPr>
    </w:p>
    <w:p w14:paraId="67B8EA75" w14:textId="77777777" w:rsidR="00AB3D50" w:rsidRPr="00F62E3F" w:rsidRDefault="00AB3D50" w:rsidP="000B31A7">
      <w:pPr>
        <w:pStyle w:val="Heading1"/>
        <w:shd w:val="clear" w:color="auto" w:fill="FFFFFF" w:themeFill="background1"/>
        <w:jc w:val="both"/>
        <w:rPr>
          <w:b/>
          <w:sz w:val="21"/>
          <w:szCs w:val="21"/>
        </w:rPr>
      </w:pPr>
      <w:r w:rsidRPr="00F62E3F">
        <w:rPr>
          <w:b/>
          <w:sz w:val="21"/>
          <w:szCs w:val="21"/>
        </w:rPr>
        <w:t>FEES</w:t>
      </w:r>
      <w:r w:rsidR="00387448" w:rsidRPr="00F62E3F">
        <w:rPr>
          <w:b/>
          <w:sz w:val="21"/>
          <w:szCs w:val="21"/>
        </w:rPr>
        <w:t xml:space="preserve"> AND </w:t>
      </w:r>
      <w:r w:rsidRPr="00F62E3F">
        <w:rPr>
          <w:b/>
          <w:sz w:val="21"/>
          <w:szCs w:val="21"/>
        </w:rPr>
        <w:t>TAXES</w:t>
      </w:r>
    </w:p>
    <w:p w14:paraId="3C0785E9" w14:textId="77777777" w:rsidR="00C17CED" w:rsidRPr="00F62E3F" w:rsidRDefault="00C17CED" w:rsidP="000B31A7">
      <w:pPr>
        <w:pStyle w:val="Heading2"/>
        <w:shd w:val="clear" w:color="auto" w:fill="FFFFFF" w:themeFill="background1"/>
        <w:jc w:val="both"/>
        <w:rPr>
          <w:sz w:val="21"/>
          <w:szCs w:val="21"/>
        </w:rPr>
      </w:pPr>
      <w:r w:rsidRPr="00F62E3F">
        <w:rPr>
          <w:sz w:val="21"/>
          <w:szCs w:val="21"/>
          <w:u w:val="single"/>
        </w:rPr>
        <w:t>Fees and Payment</w:t>
      </w:r>
      <w:r w:rsidRPr="00F62E3F">
        <w:rPr>
          <w:sz w:val="21"/>
          <w:szCs w:val="21"/>
        </w:rPr>
        <w:t xml:space="preserve">.  Customer will pay Tavant the </w:t>
      </w:r>
      <w:r w:rsidR="00B74821" w:rsidRPr="00F62E3F">
        <w:rPr>
          <w:sz w:val="21"/>
          <w:szCs w:val="21"/>
        </w:rPr>
        <w:t xml:space="preserve">undisputed </w:t>
      </w:r>
      <w:r w:rsidRPr="00F62E3F">
        <w:rPr>
          <w:sz w:val="21"/>
          <w:szCs w:val="21"/>
        </w:rPr>
        <w:t xml:space="preserve">Fees applicable, in accordance with the Order Schedule.  </w:t>
      </w:r>
      <w:r w:rsidRPr="00F62E3F" w:rsidDel="00CA324A">
        <w:rPr>
          <w:sz w:val="21"/>
          <w:szCs w:val="21"/>
        </w:rPr>
        <w:t xml:space="preserve"> </w:t>
      </w:r>
      <w:r w:rsidRPr="00F62E3F">
        <w:rPr>
          <w:sz w:val="21"/>
          <w:szCs w:val="21"/>
        </w:rPr>
        <w:t xml:space="preserve">Unless otherwise specified in an Order Schedule, all Fees and expenses will be due and payable in advance within thirty (30) days after the date of Tavant’s invoice therefor.  Any payment due under this </w:t>
      </w:r>
      <w:r w:rsidR="00FB3304" w:rsidRPr="00F62E3F">
        <w:rPr>
          <w:sz w:val="21"/>
          <w:szCs w:val="21"/>
        </w:rPr>
        <w:t>Agreement</w:t>
      </w:r>
      <w:r w:rsidRPr="00F62E3F">
        <w:rPr>
          <w:sz w:val="21"/>
          <w:szCs w:val="21"/>
        </w:rPr>
        <w:t xml:space="preserve"> not received by Tavant within ten (10) days of the due date will incur interest at a rate of 1.5% per month, or the maximum rate allowed by law, whichever is lower. </w:t>
      </w:r>
    </w:p>
    <w:p w14:paraId="07A91BB5" w14:textId="77777777" w:rsidR="007C5099" w:rsidRPr="00F62E3F" w:rsidRDefault="007C5099" w:rsidP="000B31A7">
      <w:pPr>
        <w:pStyle w:val="BodyText"/>
        <w:shd w:val="clear" w:color="auto" w:fill="FFFFFF" w:themeFill="background1"/>
        <w:rPr>
          <w:sz w:val="21"/>
          <w:szCs w:val="21"/>
        </w:rPr>
      </w:pPr>
    </w:p>
    <w:p w14:paraId="7D989CFB" w14:textId="26438FF8" w:rsidR="00C17CED" w:rsidRPr="00F62E3F" w:rsidRDefault="00C17CED" w:rsidP="000B31A7">
      <w:pPr>
        <w:pStyle w:val="Heading2"/>
        <w:shd w:val="clear" w:color="auto" w:fill="FFFFFF" w:themeFill="background1"/>
        <w:jc w:val="both"/>
        <w:rPr>
          <w:sz w:val="21"/>
          <w:szCs w:val="21"/>
        </w:rPr>
      </w:pPr>
      <w:r w:rsidRPr="00F62E3F">
        <w:rPr>
          <w:sz w:val="21"/>
          <w:szCs w:val="21"/>
          <w:u w:val="single"/>
        </w:rPr>
        <w:t>Taxes</w:t>
      </w:r>
      <w:r w:rsidRPr="00F62E3F">
        <w:rPr>
          <w:sz w:val="21"/>
          <w:szCs w:val="21"/>
        </w:rPr>
        <w:t xml:space="preserve">.  All Fees payable under this </w:t>
      </w:r>
      <w:r w:rsidR="00FB3304" w:rsidRPr="00F62E3F">
        <w:rPr>
          <w:sz w:val="21"/>
          <w:szCs w:val="21"/>
        </w:rPr>
        <w:t>Agreement</w:t>
      </w:r>
      <w:r w:rsidRPr="00F62E3F">
        <w:rPr>
          <w:sz w:val="21"/>
          <w:szCs w:val="21"/>
        </w:rPr>
        <w:t xml:space="preserve"> are net amounts and are payable in full, in U.S. currency only, without deduction for taxes or duties of any kind.  Customer will be responsible for, and will promptly pay, all taxes and duties of any kind (including but not limited to sales, use and withholding taxes) associated with this </w:t>
      </w:r>
      <w:r w:rsidR="00FB3304" w:rsidRPr="00F62E3F">
        <w:rPr>
          <w:sz w:val="21"/>
          <w:szCs w:val="21"/>
        </w:rPr>
        <w:t>Agreement</w:t>
      </w:r>
      <w:r w:rsidRPr="00F62E3F">
        <w:rPr>
          <w:sz w:val="21"/>
          <w:szCs w:val="21"/>
        </w:rPr>
        <w:t xml:space="preserve"> or Customer’s use of the Platform Services and any other services, if applicable, except for taxes based on Tavant’s net income.  In the event that Tavant is required to collect any tax for which Customer is responsible, Customer will pay such tax directly to Tavant.  If Customer pays any withholding taxes that are required to be paid under applicable law, Customer will furnish Tavant with written documentation of all such tax payments, including receipts. </w:t>
      </w:r>
    </w:p>
    <w:p w14:paraId="62CB4C28" w14:textId="77777777" w:rsidR="002757CC" w:rsidRPr="00F62E3F" w:rsidRDefault="002757CC" w:rsidP="000B31A7">
      <w:pPr>
        <w:pStyle w:val="BodyText"/>
        <w:shd w:val="clear" w:color="auto" w:fill="FFFFFF" w:themeFill="background1"/>
        <w:rPr>
          <w:sz w:val="21"/>
          <w:szCs w:val="21"/>
        </w:rPr>
      </w:pPr>
    </w:p>
    <w:p w14:paraId="2C3587DA" w14:textId="77777777" w:rsidR="006F3B82" w:rsidRPr="00F62E3F" w:rsidRDefault="00045F66" w:rsidP="000B31A7">
      <w:pPr>
        <w:pStyle w:val="Heading1"/>
        <w:shd w:val="clear" w:color="auto" w:fill="FFFFFF" w:themeFill="background1"/>
        <w:jc w:val="both"/>
        <w:rPr>
          <w:b/>
          <w:sz w:val="21"/>
          <w:szCs w:val="21"/>
        </w:rPr>
      </w:pPr>
      <w:r w:rsidRPr="00F62E3F">
        <w:rPr>
          <w:b/>
          <w:sz w:val="21"/>
          <w:szCs w:val="21"/>
        </w:rPr>
        <w:t>OWNERSHIP</w:t>
      </w:r>
    </w:p>
    <w:p w14:paraId="1CA99090" w14:textId="08F6D3F2" w:rsidR="00AB3D50" w:rsidRPr="00F62E3F" w:rsidRDefault="00125B0C" w:rsidP="000B31A7">
      <w:pPr>
        <w:pStyle w:val="Heading2"/>
        <w:shd w:val="clear" w:color="auto" w:fill="FFFFFF" w:themeFill="background1"/>
        <w:jc w:val="both"/>
        <w:rPr>
          <w:sz w:val="21"/>
          <w:szCs w:val="21"/>
        </w:rPr>
      </w:pPr>
      <w:r w:rsidRPr="00F62E3F">
        <w:rPr>
          <w:sz w:val="21"/>
          <w:szCs w:val="21"/>
          <w:u w:val="single"/>
        </w:rPr>
        <w:lastRenderedPageBreak/>
        <w:t>Tavant</w:t>
      </w:r>
      <w:r w:rsidR="006F3B82" w:rsidRPr="00F62E3F">
        <w:rPr>
          <w:sz w:val="21"/>
          <w:szCs w:val="21"/>
        </w:rPr>
        <w:t xml:space="preserve">.  </w:t>
      </w:r>
      <w:r w:rsidR="002C3CAD" w:rsidRPr="00F62E3F">
        <w:rPr>
          <w:sz w:val="21"/>
          <w:szCs w:val="21"/>
        </w:rPr>
        <w:t xml:space="preserve">As between Tavant and Customer, </w:t>
      </w:r>
      <w:r w:rsidR="003516CE" w:rsidRPr="00F62E3F">
        <w:rPr>
          <w:sz w:val="21"/>
          <w:szCs w:val="21"/>
        </w:rPr>
        <w:t>Platform Services</w:t>
      </w:r>
      <w:r w:rsidR="002C3CAD" w:rsidRPr="00F62E3F">
        <w:rPr>
          <w:sz w:val="21"/>
          <w:szCs w:val="21"/>
        </w:rPr>
        <w:t xml:space="preserve"> and all Intellectual Property Rights therein or relating thereto, are and will remain the exclusive property of Tavant. In addition, subject to Customer’s rights in the Customer Materials and Customizations (defined below), Tavant will exclusively own all rights, title and interest in and to any software, services, tools, utilities, processes, inventions, devices, methodologies, documentation, techniques and materials of any kind used or developed by Tavant or its personnel in connection with performing </w:t>
      </w:r>
      <w:r w:rsidR="00A87919" w:rsidRPr="00F62E3F">
        <w:rPr>
          <w:sz w:val="21"/>
          <w:szCs w:val="21"/>
        </w:rPr>
        <w:t>Platform Services</w:t>
      </w:r>
      <w:r w:rsidR="002C3CAD" w:rsidRPr="00F62E3F">
        <w:rPr>
          <w:sz w:val="21"/>
          <w:szCs w:val="21"/>
        </w:rPr>
        <w:t xml:space="preserve"> hereunder (collectively “</w:t>
      </w:r>
      <w:r w:rsidR="002C3CAD" w:rsidRPr="00F62E3F">
        <w:rPr>
          <w:b/>
          <w:sz w:val="21"/>
          <w:szCs w:val="21"/>
        </w:rPr>
        <w:t>Tavant Materials</w:t>
      </w:r>
      <w:r w:rsidR="002C3CAD" w:rsidRPr="00F62E3F">
        <w:rPr>
          <w:sz w:val="21"/>
          <w:szCs w:val="21"/>
        </w:rPr>
        <w:t>”), including all Intellectual Property Rights therein.  Customer will have no rights in any Tavant Materials except as expressly set forth in this Agreement. Tavant also owns all rights in and to any aggregated, non-identifiable data that it develops or creates, that does not contain any NPPI (as defined in the Agreement), based upon the Customer’s and Authorized Users’ usage of the Platform Services (e.g., time of request from Customer or Business Partner, processing time, etc.) (such information, “</w:t>
      </w:r>
      <w:r w:rsidR="002C3CAD" w:rsidRPr="00F62E3F">
        <w:rPr>
          <w:b/>
          <w:sz w:val="21"/>
          <w:szCs w:val="21"/>
        </w:rPr>
        <w:t>Aggregate Data</w:t>
      </w:r>
      <w:r w:rsidR="002C3CAD" w:rsidRPr="00F62E3F">
        <w:rPr>
          <w:sz w:val="21"/>
          <w:szCs w:val="21"/>
        </w:rPr>
        <w:t xml:space="preserve">”) and may use this Aggregate Data for any legal purpose not in conflict with this Agreement including, without limitation, data analytics purposes.    </w:t>
      </w:r>
    </w:p>
    <w:p w14:paraId="301B9A0A" w14:textId="77777777" w:rsidR="007C5099" w:rsidRPr="00F62E3F" w:rsidRDefault="007C5099" w:rsidP="000B31A7">
      <w:pPr>
        <w:pStyle w:val="BodyText"/>
        <w:shd w:val="clear" w:color="auto" w:fill="FFFFFF" w:themeFill="background1"/>
        <w:rPr>
          <w:sz w:val="21"/>
          <w:szCs w:val="21"/>
        </w:rPr>
      </w:pPr>
    </w:p>
    <w:p w14:paraId="2DF12E2D" w14:textId="01AFEEFB" w:rsidR="006667FB" w:rsidRPr="00F62E3F" w:rsidRDefault="00733E69" w:rsidP="000B31A7">
      <w:pPr>
        <w:pStyle w:val="Heading2"/>
        <w:shd w:val="clear" w:color="auto" w:fill="FFFFFF" w:themeFill="background1"/>
        <w:jc w:val="both"/>
        <w:rPr>
          <w:sz w:val="21"/>
          <w:szCs w:val="21"/>
        </w:rPr>
      </w:pPr>
      <w:r w:rsidRPr="00F62E3F">
        <w:rPr>
          <w:sz w:val="21"/>
          <w:szCs w:val="21"/>
          <w:u w:val="single"/>
        </w:rPr>
        <w:t>Customer</w:t>
      </w:r>
      <w:r w:rsidR="006F3B82" w:rsidRPr="00F62E3F">
        <w:rPr>
          <w:sz w:val="21"/>
          <w:szCs w:val="21"/>
        </w:rPr>
        <w:t xml:space="preserve">.  </w:t>
      </w:r>
      <w:r w:rsidR="00125B0C" w:rsidRPr="00F62E3F">
        <w:rPr>
          <w:sz w:val="21"/>
          <w:szCs w:val="21"/>
        </w:rPr>
        <w:t>Tavant</w:t>
      </w:r>
      <w:r w:rsidR="006F3B82" w:rsidRPr="00F62E3F">
        <w:rPr>
          <w:sz w:val="21"/>
          <w:szCs w:val="21"/>
        </w:rPr>
        <w:t xml:space="preserve"> acknowledges that, as between </w:t>
      </w:r>
      <w:r w:rsidRPr="00F62E3F">
        <w:rPr>
          <w:sz w:val="21"/>
          <w:szCs w:val="21"/>
        </w:rPr>
        <w:t>Customer</w:t>
      </w:r>
      <w:r w:rsidR="006F3B82" w:rsidRPr="00F62E3F">
        <w:rPr>
          <w:sz w:val="21"/>
          <w:szCs w:val="21"/>
        </w:rPr>
        <w:t xml:space="preserve"> and </w:t>
      </w:r>
      <w:r w:rsidR="00125B0C" w:rsidRPr="00F62E3F">
        <w:rPr>
          <w:sz w:val="21"/>
          <w:szCs w:val="21"/>
        </w:rPr>
        <w:t>Tavant</w:t>
      </w:r>
      <w:r w:rsidR="006F3B82" w:rsidRPr="00F62E3F">
        <w:rPr>
          <w:sz w:val="21"/>
          <w:szCs w:val="21"/>
        </w:rPr>
        <w:t xml:space="preserve">, </w:t>
      </w:r>
      <w:r w:rsidRPr="00F62E3F">
        <w:rPr>
          <w:sz w:val="21"/>
          <w:szCs w:val="21"/>
        </w:rPr>
        <w:t>Customer</w:t>
      </w:r>
      <w:r w:rsidR="006F3B82" w:rsidRPr="00F62E3F">
        <w:rPr>
          <w:sz w:val="21"/>
          <w:szCs w:val="21"/>
        </w:rPr>
        <w:t xml:space="preserve"> </w:t>
      </w:r>
      <w:r w:rsidR="00B74821" w:rsidRPr="00F62E3F">
        <w:rPr>
          <w:sz w:val="21"/>
          <w:szCs w:val="21"/>
        </w:rPr>
        <w:t xml:space="preserve">and its licensors </w:t>
      </w:r>
      <w:r w:rsidR="006F3B82" w:rsidRPr="00F62E3F">
        <w:rPr>
          <w:sz w:val="21"/>
          <w:szCs w:val="21"/>
        </w:rPr>
        <w:t xml:space="preserve">own all worldwide right, title and interest in and to all </w:t>
      </w:r>
      <w:r w:rsidRPr="00F62E3F">
        <w:rPr>
          <w:sz w:val="21"/>
          <w:szCs w:val="21"/>
        </w:rPr>
        <w:t>Customer</w:t>
      </w:r>
      <w:r w:rsidR="006F3B82" w:rsidRPr="00F62E3F">
        <w:rPr>
          <w:sz w:val="21"/>
          <w:szCs w:val="21"/>
        </w:rPr>
        <w:t xml:space="preserve"> </w:t>
      </w:r>
      <w:r w:rsidRPr="00F62E3F">
        <w:rPr>
          <w:sz w:val="21"/>
          <w:szCs w:val="21"/>
        </w:rPr>
        <w:t xml:space="preserve">Materials (including Customer </w:t>
      </w:r>
      <w:r w:rsidR="006F3B82" w:rsidRPr="00F62E3F">
        <w:rPr>
          <w:sz w:val="21"/>
          <w:szCs w:val="21"/>
        </w:rPr>
        <w:t>Data</w:t>
      </w:r>
      <w:r w:rsidRPr="00F62E3F">
        <w:rPr>
          <w:sz w:val="21"/>
          <w:szCs w:val="21"/>
        </w:rPr>
        <w:t>)</w:t>
      </w:r>
      <w:r w:rsidR="00811C14">
        <w:rPr>
          <w:sz w:val="21"/>
          <w:szCs w:val="21"/>
        </w:rPr>
        <w:t xml:space="preserve"> and the Third-Party </w:t>
      </w:r>
      <w:r w:rsidR="002D3BDE">
        <w:rPr>
          <w:sz w:val="21"/>
          <w:szCs w:val="21"/>
        </w:rPr>
        <w:t>R</w:t>
      </w:r>
      <w:r w:rsidR="00811C14">
        <w:rPr>
          <w:sz w:val="21"/>
          <w:szCs w:val="21"/>
        </w:rPr>
        <w:t>eports</w:t>
      </w:r>
      <w:r w:rsidR="002D3BDE">
        <w:rPr>
          <w:sz w:val="21"/>
          <w:szCs w:val="21"/>
        </w:rPr>
        <w:t xml:space="preserve"> or software</w:t>
      </w:r>
      <w:r w:rsidR="009C3DC9">
        <w:rPr>
          <w:sz w:val="21"/>
          <w:szCs w:val="21"/>
        </w:rPr>
        <w:t xml:space="preserve"> services</w:t>
      </w:r>
      <w:r w:rsidR="00811C14">
        <w:rPr>
          <w:sz w:val="21"/>
          <w:szCs w:val="21"/>
        </w:rPr>
        <w:t xml:space="preserve"> (as </w:t>
      </w:r>
      <w:r w:rsidR="002D3BDE">
        <w:rPr>
          <w:sz w:val="21"/>
          <w:szCs w:val="21"/>
        </w:rPr>
        <w:t xml:space="preserve">specifically </w:t>
      </w:r>
      <w:r w:rsidR="00811C14">
        <w:rPr>
          <w:sz w:val="21"/>
          <w:szCs w:val="21"/>
        </w:rPr>
        <w:t>defined</w:t>
      </w:r>
      <w:r w:rsidR="002D3BDE">
        <w:rPr>
          <w:sz w:val="21"/>
          <w:szCs w:val="21"/>
        </w:rPr>
        <w:t xml:space="preserve"> and</w:t>
      </w:r>
      <w:r w:rsidR="009C3DC9">
        <w:rPr>
          <w:sz w:val="21"/>
          <w:szCs w:val="21"/>
        </w:rPr>
        <w:t>/or</w:t>
      </w:r>
      <w:r w:rsidR="002D3BDE">
        <w:rPr>
          <w:sz w:val="21"/>
          <w:szCs w:val="21"/>
        </w:rPr>
        <w:t xml:space="preserve"> provided for</w:t>
      </w:r>
      <w:r w:rsidR="00811C14">
        <w:rPr>
          <w:sz w:val="21"/>
          <w:szCs w:val="21"/>
        </w:rPr>
        <w:t xml:space="preserve"> in the Order Schedule)</w:t>
      </w:r>
      <w:r w:rsidR="006F3B82" w:rsidRPr="00F62E3F">
        <w:rPr>
          <w:sz w:val="21"/>
          <w:szCs w:val="21"/>
        </w:rPr>
        <w:t xml:space="preserve"> </w:t>
      </w:r>
      <w:r w:rsidR="006F3B82" w:rsidRPr="00811C14">
        <w:rPr>
          <w:sz w:val="21"/>
          <w:szCs w:val="21"/>
        </w:rPr>
        <w:t>a</w:t>
      </w:r>
      <w:r w:rsidR="006F3B82" w:rsidRPr="00F62E3F">
        <w:rPr>
          <w:sz w:val="21"/>
          <w:szCs w:val="21"/>
        </w:rPr>
        <w:t xml:space="preserve">nd </w:t>
      </w:r>
      <w:r w:rsidR="00125B0C" w:rsidRPr="00F62E3F">
        <w:rPr>
          <w:sz w:val="21"/>
          <w:szCs w:val="21"/>
        </w:rPr>
        <w:t>Tavant</w:t>
      </w:r>
      <w:r w:rsidR="006F3B82" w:rsidRPr="00F62E3F">
        <w:rPr>
          <w:sz w:val="21"/>
          <w:szCs w:val="21"/>
        </w:rPr>
        <w:t xml:space="preserve"> will not obtain any ownership rights or interests in such data</w:t>
      </w:r>
      <w:r w:rsidR="004B3358" w:rsidRPr="00F62E3F">
        <w:rPr>
          <w:sz w:val="21"/>
          <w:szCs w:val="21"/>
        </w:rPr>
        <w:t xml:space="preserve"> or reports</w:t>
      </w:r>
      <w:r w:rsidR="006F3B82" w:rsidRPr="00F62E3F">
        <w:rPr>
          <w:sz w:val="21"/>
          <w:szCs w:val="21"/>
        </w:rPr>
        <w:t xml:space="preserve">. </w:t>
      </w:r>
      <w:r w:rsidR="002D3BDE">
        <w:rPr>
          <w:sz w:val="21"/>
          <w:szCs w:val="21"/>
        </w:rPr>
        <w:t>Tavant does not license or assign any rights to Customer with respect to Third-Party Reports or software</w:t>
      </w:r>
      <w:r w:rsidR="009C3DC9">
        <w:rPr>
          <w:sz w:val="21"/>
          <w:szCs w:val="21"/>
        </w:rPr>
        <w:t xml:space="preserve"> services</w:t>
      </w:r>
      <w:r w:rsidR="002D3BDE">
        <w:rPr>
          <w:sz w:val="21"/>
          <w:szCs w:val="21"/>
        </w:rPr>
        <w:t xml:space="preserve"> not provided for in the Order Schedule. </w:t>
      </w:r>
    </w:p>
    <w:p w14:paraId="18854533" w14:textId="77777777" w:rsidR="007C5099" w:rsidRPr="00F62E3F" w:rsidRDefault="007C5099" w:rsidP="000B31A7">
      <w:pPr>
        <w:pStyle w:val="BodyText"/>
        <w:shd w:val="clear" w:color="auto" w:fill="FFFFFF" w:themeFill="background1"/>
        <w:rPr>
          <w:sz w:val="21"/>
          <w:szCs w:val="21"/>
        </w:rPr>
      </w:pPr>
    </w:p>
    <w:p w14:paraId="4BBC68A1" w14:textId="499AC33C" w:rsidR="006667FB" w:rsidRPr="00F62E3F" w:rsidRDefault="00733E69" w:rsidP="000B31A7">
      <w:pPr>
        <w:pStyle w:val="Heading2"/>
        <w:shd w:val="clear" w:color="auto" w:fill="FFFFFF" w:themeFill="background1"/>
        <w:jc w:val="both"/>
        <w:rPr>
          <w:sz w:val="21"/>
          <w:szCs w:val="21"/>
        </w:rPr>
      </w:pPr>
      <w:r w:rsidRPr="00F62E3F">
        <w:rPr>
          <w:sz w:val="21"/>
          <w:szCs w:val="21"/>
          <w:u w:val="single"/>
        </w:rPr>
        <w:t>Customizations and Non-Recurring Engineering Works</w:t>
      </w:r>
      <w:r w:rsidRPr="00F62E3F">
        <w:rPr>
          <w:sz w:val="21"/>
          <w:szCs w:val="21"/>
        </w:rPr>
        <w:t xml:space="preserve">.  </w:t>
      </w:r>
      <w:r w:rsidR="006667FB" w:rsidRPr="00F62E3F">
        <w:rPr>
          <w:sz w:val="21"/>
          <w:szCs w:val="21"/>
        </w:rPr>
        <w:t xml:space="preserve">Notwithstanding anything to the contrary herein, as between Tavant and Customer, the Customer will own all right, title and interest in and to any deliverables under the </w:t>
      </w:r>
      <w:r w:rsidR="00FB3304" w:rsidRPr="00F62E3F">
        <w:rPr>
          <w:sz w:val="21"/>
          <w:szCs w:val="21"/>
        </w:rPr>
        <w:t>Agreement</w:t>
      </w:r>
      <w:r w:rsidR="006667FB" w:rsidRPr="00F62E3F">
        <w:rPr>
          <w:sz w:val="21"/>
          <w:szCs w:val="21"/>
        </w:rPr>
        <w:t xml:space="preserve"> </w:t>
      </w:r>
      <w:r w:rsidRPr="00F62E3F">
        <w:rPr>
          <w:sz w:val="21"/>
          <w:szCs w:val="21"/>
        </w:rPr>
        <w:t xml:space="preserve">or SOW </w:t>
      </w:r>
      <w:r w:rsidR="006667FB" w:rsidRPr="00F62E3F">
        <w:rPr>
          <w:sz w:val="21"/>
          <w:szCs w:val="21"/>
        </w:rPr>
        <w:t xml:space="preserve">that are developed by Tavant specifically and uniquely for Customer as part of provision of Professional </w:t>
      </w:r>
      <w:r w:rsidR="00B8294E" w:rsidRPr="00F62E3F">
        <w:rPr>
          <w:sz w:val="21"/>
          <w:szCs w:val="21"/>
        </w:rPr>
        <w:t>Services and</w:t>
      </w:r>
      <w:r w:rsidR="006667FB" w:rsidRPr="00F62E3F">
        <w:rPr>
          <w:sz w:val="21"/>
          <w:szCs w:val="21"/>
        </w:rPr>
        <w:t xml:space="preserve"> are customizations and/or non-recurring engineering works based on any specifications provided by Customer and agreed upon by the Parties in an </w:t>
      </w:r>
      <w:r w:rsidRPr="00F62E3F">
        <w:rPr>
          <w:sz w:val="21"/>
          <w:szCs w:val="21"/>
        </w:rPr>
        <w:t>SOW</w:t>
      </w:r>
      <w:r w:rsidR="006667FB" w:rsidRPr="00F62E3F">
        <w:rPr>
          <w:sz w:val="21"/>
          <w:szCs w:val="21"/>
        </w:rPr>
        <w:t xml:space="preserve"> (collectively, “</w:t>
      </w:r>
      <w:r w:rsidR="006667FB" w:rsidRPr="00F62E3F">
        <w:rPr>
          <w:b/>
          <w:sz w:val="21"/>
          <w:szCs w:val="21"/>
        </w:rPr>
        <w:t>Customizations</w:t>
      </w:r>
      <w:r w:rsidR="006667FB" w:rsidRPr="00F62E3F">
        <w:rPr>
          <w:sz w:val="21"/>
          <w:szCs w:val="21"/>
        </w:rPr>
        <w:t>”). Tavant hereby irrevocably assigns and transfer</w:t>
      </w:r>
      <w:r w:rsidR="00340A9D" w:rsidRPr="00F62E3F">
        <w:rPr>
          <w:sz w:val="21"/>
          <w:szCs w:val="21"/>
        </w:rPr>
        <w:t>s</w:t>
      </w:r>
      <w:r w:rsidR="006667FB" w:rsidRPr="00F62E3F">
        <w:rPr>
          <w:sz w:val="21"/>
          <w:szCs w:val="21"/>
        </w:rPr>
        <w:t xml:space="preserve"> all its right, title and interest in and to the Customizations to Customer. At Customer’s request during and after the Term, Tavant will assist and cooperate with Customer in all respects and will execute documents and take such further acts reasonably requested by Customer</w:t>
      </w:r>
      <w:r w:rsidR="00340A9D" w:rsidRPr="00F62E3F">
        <w:rPr>
          <w:sz w:val="21"/>
          <w:szCs w:val="21"/>
        </w:rPr>
        <w:t>,</w:t>
      </w:r>
      <w:r w:rsidR="006667FB" w:rsidRPr="00F62E3F">
        <w:rPr>
          <w:sz w:val="21"/>
          <w:szCs w:val="21"/>
        </w:rPr>
        <w:t xml:space="preserve"> to enable Customer to perfect and enforce its Intellectual Property Rights in and to the Customizations in accordance with this </w:t>
      </w:r>
      <w:r w:rsidR="006667FB" w:rsidRPr="00F62E3F">
        <w:rPr>
          <w:b/>
          <w:sz w:val="21"/>
          <w:szCs w:val="21"/>
        </w:rPr>
        <w:t>Section</w:t>
      </w:r>
      <w:r w:rsidR="00597851" w:rsidRPr="00F62E3F">
        <w:rPr>
          <w:b/>
          <w:sz w:val="21"/>
          <w:szCs w:val="21"/>
        </w:rPr>
        <w:t xml:space="preserve"> 5.3</w:t>
      </w:r>
      <w:r w:rsidR="006667FB" w:rsidRPr="00F62E3F">
        <w:rPr>
          <w:sz w:val="21"/>
          <w:szCs w:val="21"/>
        </w:rPr>
        <w:t>.</w:t>
      </w:r>
      <w:r w:rsidR="00B00505" w:rsidRPr="00F62E3F">
        <w:rPr>
          <w:sz w:val="21"/>
          <w:szCs w:val="21"/>
        </w:rPr>
        <w:t xml:space="preserve"> Notwithstanding the above, Customer acknowledges and agrees </w:t>
      </w:r>
      <w:r w:rsidR="00B8294E" w:rsidRPr="00F62E3F">
        <w:rPr>
          <w:sz w:val="21"/>
          <w:szCs w:val="21"/>
        </w:rPr>
        <w:t>that</w:t>
      </w:r>
      <w:r w:rsidR="00B00505" w:rsidRPr="00F62E3F">
        <w:rPr>
          <w:sz w:val="21"/>
          <w:szCs w:val="21"/>
        </w:rPr>
        <w:t xml:space="preserve"> Tavant will retain the right to use, generalized knowledge, experience, and know-how (including processes, ideas, concepts and techniques) gained in course of providing Professional Services or Platform Services or gained in the process of creating Customizations.  We shall have a royalty-free, worldwide, transferable, sublicensable, irrevocable, perpetual license to use or incorporate into the Platform Services any suggestions, standard enhancement requests, recommendations or other feedback provided by the Customer. We also retain all rights, title and interest with respect to any standard enhancements or upgrades provided as a part of our Platform Services. </w:t>
      </w:r>
    </w:p>
    <w:p w14:paraId="1606BDAF" w14:textId="77777777" w:rsidR="007C5099" w:rsidRPr="00F62E3F" w:rsidRDefault="007C5099" w:rsidP="000B31A7">
      <w:pPr>
        <w:pStyle w:val="BodyText"/>
        <w:shd w:val="clear" w:color="auto" w:fill="FFFFFF" w:themeFill="background1"/>
        <w:rPr>
          <w:sz w:val="21"/>
          <w:szCs w:val="21"/>
        </w:rPr>
      </w:pPr>
    </w:p>
    <w:p w14:paraId="1BA7AA35" w14:textId="5140A831" w:rsidR="006667FB" w:rsidRPr="00F62E3F" w:rsidRDefault="00733E69" w:rsidP="000B31A7">
      <w:pPr>
        <w:pStyle w:val="Heading2"/>
        <w:shd w:val="clear" w:color="auto" w:fill="FFFFFF" w:themeFill="background1"/>
        <w:jc w:val="both"/>
        <w:rPr>
          <w:sz w:val="21"/>
          <w:szCs w:val="21"/>
        </w:rPr>
      </w:pPr>
      <w:r w:rsidRPr="00F62E3F">
        <w:rPr>
          <w:sz w:val="21"/>
          <w:szCs w:val="21"/>
          <w:u w:val="single"/>
        </w:rPr>
        <w:t>Freedom of Action</w:t>
      </w:r>
      <w:r w:rsidRPr="00F62E3F">
        <w:rPr>
          <w:sz w:val="21"/>
          <w:szCs w:val="21"/>
        </w:rPr>
        <w:t xml:space="preserve">.  Nothing in this </w:t>
      </w:r>
      <w:r w:rsidR="00FB3304" w:rsidRPr="00F62E3F">
        <w:rPr>
          <w:sz w:val="21"/>
          <w:szCs w:val="21"/>
        </w:rPr>
        <w:t>Agreement</w:t>
      </w:r>
      <w:r w:rsidRPr="00F62E3F">
        <w:rPr>
          <w:sz w:val="21"/>
          <w:szCs w:val="21"/>
        </w:rPr>
        <w:t xml:space="preserve"> will be deemed to restrict or limit Tavant’s right to perform similar services for any other </w:t>
      </w:r>
      <w:r w:rsidR="00FB2926">
        <w:rPr>
          <w:sz w:val="21"/>
          <w:szCs w:val="21"/>
        </w:rPr>
        <w:t>p</w:t>
      </w:r>
      <w:r w:rsidRPr="00F62E3F">
        <w:rPr>
          <w:sz w:val="21"/>
          <w:szCs w:val="21"/>
        </w:rPr>
        <w:t>arty or to assign any employees or subcontractors to perform similar services for any other party; provided that Tavant does not use any of Customer’s Customizations</w:t>
      </w:r>
      <w:r w:rsidR="00D75937" w:rsidRPr="00F62E3F">
        <w:rPr>
          <w:sz w:val="21"/>
          <w:szCs w:val="21"/>
        </w:rPr>
        <w:t xml:space="preserve"> (except to the extent as provided in Section 5.3)</w:t>
      </w:r>
      <w:r w:rsidRPr="00F62E3F">
        <w:rPr>
          <w:sz w:val="21"/>
          <w:szCs w:val="21"/>
        </w:rPr>
        <w:t xml:space="preserve"> for such work and complies with its obligations under the Agreement with respect to Customer Confidential Information.</w:t>
      </w:r>
    </w:p>
    <w:p w14:paraId="0A397F9C" w14:textId="77777777" w:rsidR="006667FB" w:rsidRPr="00F62E3F" w:rsidRDefault="006667FB" w:rsidP="000B31A7">
      <w:pPr>
        <w:pStyle w:val="Heading2"/>
        <w:numPr>
          <w:ilvl w:val="0"/>
          <w:numId w:val="0"/>
        </w:numPr>
        <w:shd w:val="clear" w:color="auto" w:fill="FFFFFF" w:themeFill="background1"/>
        <w:spacing w:after="0"/>
        <w:ind w:left="1260" w:hanging="540"/>
        <w:jc w:val="both"/>
        <w:rPr>
          <w:sz w:val="21"/>
          <w:szCs w:val="21"/>
        </w:rPr>
      </w:pPr>
    </w:p>
    <w:p w14:paraId="5AE13AAB" w14:textId="77777777" w:rsidR="002757CC" w:rsidRPr="00F62E3F" w:rsidRDefault="002757CC" w:rsidP="000B31A7">
      <w:pPr>
        <w:pStyle w:val="BodyText"/>
        <w:shd w:val="clear" w:color="auto" w:fill="FFFFFF" w:themeFill="background1"/>
        <w:rPr>
          <w:sz w:val="21"/>
          <w:szCs w:val="21"/>
        </w:rPr>
      </w:pPr>
    </w:p>
    <w:p w14:paraId="0D949867" w14:textId="77777777" w:rsidR="00AB3D50" w:rsidRPr="00F62E3F" w:rsidRDefault="00BE4ECE" w:rsidP="000B31A7">
      <w:pPr>
        <w:pStyle w:val="Heading1"/>
        <w:shd w:val="clear" w:color="auto" w:fill="FFFFFF" w:themeFill="background1"/>
        <w:jc w:val="both"/>
        <w:rPr>
          <w:b/>
          <w:sz w:val="21"/>
          <w:szCs w:val="21"/>
        </w:rPr>
      </w:pPr>
      <w:bookmarkStart w:id="1" w:name="OLE_LINK1"/>
      <w:bookmarkStart w:id="2" w:name="OLE_LINK2"/>
      <w:r w:rsidRPr="00F62E3F">
        <w:rPr>
          <w:b/>
          <w:sz w:val="21"/>
          <w:szCs w:val="21"/>
        </w:rPr>
        <w:t>REPRESENTATIONS AND WARRANTIES</w:t>
      </w:r>
    </w:p>
    <w:bookmarkEnd w:id="1"/>
    <w:bookmarkEnd w:id="2"/>
    <w:p w14:paraId="18A75893" w14:textId="7E6C6E68" w:rsidR="00AB3D50" w:rsidRPr="00F62E3F" w:rsidRDefault="00BE4ECE" w:rsidP="000B31A7">
      <w:pPr>
        <w:pStyle w:val="Heading2"/>
        <w:shd w:val="clear" w:color="auto" w:fill="FFFFFF" w:themeFill="background1"/>
        <w:jc w:val="both"/>
        <w:rPr>
          <w:b/>
          <w:sz w:val="21"/>
          <w:szCs w:val="21"/>
        </w:rPr>
      </w:pPr>
      <w:r w:rsidRPr="00F62E3F">
        <w:rPr>
          <w:sz w:val="21"/>
          <w:szCs w:val="21"/>
          <w:u w:val="single"/>
        </w:rPr>
        <w:lastRenderedPageBreak/>
        <w:t>Customer Representation and Warranties</w:t>
      </w:r>
      <w:r w:rsidRPr="00F62E3F">
        <w:rPr>
          <w:sz w:val="21"/>
          <w:szCs w:val="21"/>
        </w:rPr>
        <w:t>. Customer represents and warrants to Tavant that: (a) it has all rights, power and authority that are necessary for Customer’s collection, use and processing of the Customer Materials as contemplated by this Agreement; (b) </w:t>
      </w:r>
      <w:r w:rsidR="00F21DFF" w:rsidRPr="00F62E3F">
        <w:rPr>
          <w:sz w:val="21"/>
          <w:szCs w:val="21"/>
        </w:rPr>
        <w:t xml:space="preserve">to the best of Customer’s knowledge, </w:t>
      </w:r>
      <w:r w:rsidRPr="00F62E3F">
        <w:rPr>
          <w:sz w:val="21"/>
          <w:szCs w:val="21"/>
        </w:rPr>
        <w:t xml:space="preserve">Customer’s use and provision of Customer Materials to Tavant pursuant to this Agreement will not breach any agreement between Customer and any third-party or violate any applicable local, state or federal laws, regulations, orders or rules (including without limitation, applicable privacy laws) and (c) Customer has made all disclosures and secured all requisite consents required under the applicable laws from Customer’s clients and other individuals as applicable, necessary for Customer to provide the Customer </w:t>
      </w:r>
      <w:r w:rsidR="00F85D35" w:rsidRPr="00F62E3F">
        <w:rPr>
          <w:sz w:val="21"/>
          <w:szCs w:val="21"/>
        </w:rPr>
        <w:t>Materials</w:t>
      </w:r>
      <w:r w:rsidRPr="00F62E3F">
        <w:rPr>
          <w:sz w:val="21"/>
          <w:szCs w:val="21"/>
        </w:rPr>
        <w:t xml:space="preserve"> to Tavant and for Tavant to use such Customer </w:t>
      </w:r>
      <w:r w:rsidR="00F85D35" w:rsidRPr="00F62E3F">
        <w:rPr>
          <w:sz w:val="21"/>
          <w:szCs w:val="21"/>
        </w:rPr>
        <w:t xml:space="preserve">Materials </w:t>
      </w:r>
      <w:r w:rsidRPr="00F62E3F">
        <w:rPr>
          <w:sz w:val="21"/>
          <w:szCs w:val="21"/>
        </w:rPr>
        <w:t>in connection with its provision of the Platform Services</w:t>
      </w:r>
      <w:r w:rsidR="00D75937" w:rsidRPr="00F62E3F">
        <w:rPr>
          <w:sz w:val="21"/>
          <w:szCs w:val="21"/>
        </w:rPr>
        <w:t xml:space="preserve"> and Professional Services</w:t>
      </w:r>
      <w:r w:rsidRPr="00F62E3F">
        <w:rPr>
          <w:sz w:val="21"/>
          <w:szCs w:val="21"/>
        </w:rPr>
        <w:t xml:space="preserve"> and any other services provided under this Agreement. </w:t>
      </w:r>
    </w:p>
    <w:p w14:paraId="66FDB8DF" w14:textId="66BA674A" w:rsidR="00AB3D50" w:rsidRPr="00F62E3F" w:rsidRDefault="007D13F3" w:rsidP="000B31A7">
      <w:pPr>
        <w:pStyle w:val="Heading2"/>
        <w:shd w:val="clear" w:color="auto" w:fill="FFFFFF" w:themeFill="background1"/>
        <w:jc w:val="both"/>
        <w:rPr>
          <w:sz w:val="21"/>
          <w:szCs w:val="21"/>
        </w:rPr>
      </w:pPr>
      <w:r w:rsidRPr="00F62E3F">
        <w:rPr>
          <w:sz w:val="21"/>
          <w:szCs w:val="21"/>
          <w:u w:val="single"/>
        </w:rPr>
        <w:t>No Warranty by Tavant</w:t>
      </w:r>
      <w:r w:rsidRPr="00F62E3F">
        <w:rPr>
          <w:sz w:val="21"/>
          <w:szCs w:val="21"/>
        </w:rPr>
        <w:t xml:space="preserve">. </w:t>
      </w:r>
      <w:r w:rsidR="00A928A8" w:rsidRPr="00F62E3F">
        <w:rPr>
          <w:sz w:val="21"/>
          <w:szCs w:val="21"/>
        </w:rPr>
        <w:t>EXCEPT AS EXPRESSLY PROVIDED ELSEWHERE</w:t>
      </w:r>
      <w:r w:rsidR="002879C9" w:rsidRPr="00F62E3F">
        <w:rPr>
          <w:sz w:val="21"/>
          <w:szCs w:val="21"/>
        </w:rPr>
        <w:t xml:space="preserve"> IN THE AGREEMENT, </w:t>
      </w:r>
      <w:r w:rsidRPr="00F62E3F">
        <w:rPr>
          <w:sz w:val="21"/>
          <w:szCs w:val="21"/>
        </w:rPr>
        <w:t xml:space="preserve">THE </w:t>
      </w:r>
      <w:r w:rsidR="00027F8F" w:rsidRPr="00F62E3F">
        <w:rPr>
          <w:sz w:val="21"/>
          <w:szCs w:val="21"/>
        </w:rPr>
        <w:t>PLATFORM SERVICES</w:t>
      </w:r>
      <w:r w:rsidR="00687A59" w:rsidRPr="00F62E3F">
        <w:rPr>
          <w:sz w:val="21"/>
          <w:szCs w:val="21"/>
        </w:rPr>
        <w:t>, PROFESSIONAL SERVICES</w:t>
      </w:r>
      <w:r w:rsidRPr="00F62E3F">
        <w:rPr>
          <w:sz w:val="21"/>
          <w:szCs w:val="21"/>
        </w:rPr>
        <w:t xml:space="preserve"> ARE PROVIDED “AS IS,” WITHOUT WARRANTY OF ANY KIND, EITHER EXPRESS OR IMPLIED. NEITHER TAVANT NOR ANY OF ITS SUPPLIERS MAKES ANY REPRESENTATIONS OR WARRANTIES OF ANY KIND WHATSOEVER, IN CONNECTION WITH THE </w:t>
      </w:r>
      <w:r w:rsidR="00027F8F" w:rsidRPr="00F62E3F">
        <w:rPr>
          <w:sz w:val="21"/>
          <w:szCs w:val="21"/>
        </w:rPr>
        <w:t>PLATFORM SERVICES</w:t>
      </w:r>
      <w:r w:rsidR="00687A59" w:rsidRPr="00F62E3F">
        <w:rPr>
          <w:sz w:val="21"/>
          <w:szCs w:val="21"/>
        </w:rPr>
        <w:t>, PROFESSIONAL SERVICES</w:t>
      </w:r>
      <w:r w:rsidRPr="00F62E3F">
        <w:rPr>
          <w:sz w:val="21"/>
          <w:szCs w:val="21"/>
        </w:rPr>
        <w:t xml:space="preserve">. </w:t>
      </w:r>
      <w:r w:rsidR="00572846" w:rsidRPr="00F62E3F">
        <w:rPr>
          <w:sz w:val="21"/>
          <w:szCs w:val="21"/>
        </w:rPr>
        <w:t xml:space="preserve">IT IS CUSTOMER’S RESPONSIBILITY TO EXERCISE DILIGENCE AND USE ITS JUDGMENT IN RELYING ON THE </w:t>
      </w:r>
      <w:r w:rsidR="00386B0F" w:rsidRPr="00F62E3F">
        <w:rPr>
          <w:sz w:val="21"/>
          <w:szCs w:val="21"/>
        </w:rPr>
        <w:t>THIRD-PARTY</w:t>
      </w:r>
      <w:r w:rsidR="00572846" w:rsidRPr="00F62E3F">
        <w:rPr>
          <w:sz w:val="21"/>
          <w:szCs w:val="21"/>
        </w:rPr>
        <w:t xml:space="preserve"> REPORTS </w:t>
      </w:r>
      <w:r w:rsidR="00B8294E">
        <w:rPr>
          <w:sz w:val="21"/>
          <w:szCs w:val="21"/>
        </w:rPr>
        <w:t>(AS</w:t>
      </w:r>
      <w:r w:rsidR="00A25B2A">
        <w:rPr>
          <w:sz w:val="21"/>
          <w:szCs w:val="21"/>
        </w:rPr>
        <w:t xml:space="preserve"> DEFINED IN THE ORDER SCHEDULE) </w:t>
      </w:r>
      <w:r w:rsidR="00572846" w:rsidRPr="00F62E3F">
        <w:rPr>
          <w:sz w:val="21"/>
          <w:szCs w:val="21"/>
        </w:rPr>
        <w:t xml:space="preserve">AND IN PARTICULAR FROM ACTIONS TAKEN OR NOT TAKEN AND CONCLUSIONS DRAWN AFTER REVIEW OF THE </w:t>
      </w:r>
      <w:r w:rsidR="00386B0F" w:rsidRPr="00F62E3F">
        <w:rPr>
          <w:sz w:val="21"/>
          <w:szCs w:val="21"/>
        </w:rPr>
        <w:t>THIRD-PARTY</w:t>
      </w:r>
      <w:r w:rsidR="00572846" w:rsidRPr="00F62E3F">
        <w:rPr>
          <w:sz w:val="21"/>
          <w:szCs w:val="21"/>
        </w:rPr>
        <w:t xml:space="preserve"> REPORTS</w:t>
      </w:r>
      <w:r w:rsidR="00A25B2A">
        <w:rPr>
          <w:sz w:val="21"/>
          <w:szCs w:val="21"/>
        </w:rPr>
        <w:t xml:space="preserve"> </w:t>
      </w:r>
      <w:r w:rsidR="00B8294E">
        <w:rPr>
          <w:sz w:val="21"/>
          <w:szCs w:val="21"/>
        </w:rPr>
        <w:t>(AS</w:t>
      </w:r>
      <w:r w:rsidR="00A25B2A">
        <w:rPr>
          <w:sz w:val="21"/>
          <w:szCs w:val="21"/>
        </w:rPr>
        <w:t xml:space="preserve"> DEFINED IN THE ORDER SCHEDULE)</w:t>
      </w:r>
      <w:r w:rsidR="00572846" w:rsidRPr="00F62E3F">
        <w:rPr>
          <w:sz w:val="21"/>
          <w:szCs w:val="21"/>
        </w:rPr>
        <w:t>.</w:t>
      </w:r>
      <w:r w:rsidRPr="00F62E3F">
        <w:rPr>
          <w:sz w:val="21"/>
          <w:szCs w:val="21"/>
        </w:rPr>
        <w:t xml:space="preserve"> WITHOUT LIMITING THE FOREGOING, TAVANT D</w:t>
      </w:r>
      <w:r w:rsidR="00027F8F" w:rsidRPr="00F62E3F">
        <w:rPr>
          <w:sz w:val="21"/>
          <w:szCs w:val="21"/>
        </w:rPr>
        <w:t>ISCLAIMS ANY WARRANTY THAT THE PLATFORM SERVICES</w:t>
      </w:r>
      <w:r w:rsidR="00687A59" w:rsidRPr="00F62E3F">
        <w:rPr>
          <w:sz w:val="21"/>
          <w:szCs w:val="21"/>
        </w:rPr>
        <w:t>, PROFESSIONAL SERVICES</w:t>
      </w:r>
      <w:r w:rsidRPr="00F62E3F">
        <w:rPr>
          <w:sz w:val="21"/>
          <w:szCs w:val="21"/>
        </w:rPr>
        <w:t xml:space="preserve"> WILL BE ERROR FREE, OR THAT ALL ERRORS WILL BE CORRECTED, OR THAT THE USE OF THE </w:t>
      </w:r>
      <w:r w:rsidR="00651898" w:rsidRPr="00F62E3F">
        <w:rPr>
          <w:sz w:val="21"/>
          <w:szCs w:val="21"/>
        </w:rPr>
        <w:t>PLATFORM SERVICES</w:t>
      </w:r>
      <w:r w:rsidR="00687A59" w:rsidRPr="00F62E3F">
        <w:rPr>
          <w:sz w:val="21"/>
          <w:szCs w:val="21"/>
        </w:rPr>
        <w:t>, PROFESSIONAL SERVICES</w:t>
      </w:r>
      <w:r w:rsidRPr="00F62E3F">
        <w:rPr>
          <w:sz w:val="21"/>
          <w:szCs w:val="21"/>
        </w:rPr>
        <w:t xml:space="preserve"> WILL BE UNINTERRUPTED.  TAVANT AND ITS SUPPLIERS FURTHER DISCLAIM ANY AND ALL WARRANTIES WITH RESPECT TO THE </w:t>
      </w:r>
      <w:r w:rsidR="00651898" w:rsidRPr="00F62E3F">
        <w:rPr>
          <w:sz w:val="21"/>
          <w:szCs w:val="21"/>
        </w:rPr>
        <w:t>PLATFORM</w:t>
      </w:r>
      <w:r w:rsidR="00687A59" w:rsidRPr="00F62E3F">
        <w:rPr>
          <w:sz w:val="21"/>
          <w:szCs w:val="21"/>
        </w:rPr>
        <w:t xml:space="preserve"> SERVICES, PROFESSIONAL</w:t>
      </w:r>
      <w:r w:rsidR="00651898" w:rsidRPr="00F62E3F">
        <w:rPr>
          <w:sz w:val="21"/>
          <w:szCs w:val="21"/>
        </w:rPr>
        <w:t xml:space="preserve"> SERVICES</w:t>
      </w:r>
      <w:r w:rsidRPr="00F62E3F">
        <w:rPr>
          <w:sz w:val="21"/>
          <w:szCs w:val="21"/>
        </w:rPr>
        <w:t>, INCLUDING ANY IMPLIED WARRANTIES OF MERCHANTABILITY, FITNESS FOR A PARTICULAR PURPOSE, NON-INFRINGEMENT OR AGAINST HIDDEN DEFECTS, TO THE FULLEST EXTENT PERMITTED BY LAW.  TAVANT FURTHER DISCLAIMS ANY AND ALL WARRANTIES ARISING FROM COURSE OF DEALING OR USAGE OF TRADE.  NO ADVICE OR INFORMATION, WHETHER ORAL OR WRITTEN, OBTAINED FROM TAVANT OR ELSEWHERE SHALL CREATE ANY WARRANTY NOT EXPRESSLY STATED IN THIS AGREEMENT.</w:t>
      </w:r>
      <w:r w:rsidR="007F7934" w:rsidRPr="00F62E3F">
        <w:rPr>
          <w:sz w:val="21"/>
          <w:szCs w:val="21"/>
        </w:rPr>
        <w:t xml:space="preserve"> SOME JURISDICTIONS DO NOT ALLOW THE EXCLUSION OF CERTAIN WARRANTIES IN CERTAIN CIRCUMSTANCES. ACCORDINGLY, SOME OF THE LIMITATIONS SET FORTH ABOVE MAY NOT APPLY.</w:t>
      </w:r>
    </w:p>
    <w:p w14:paraId="102D9238" w14:textId="77777777" w:rsidR="007C5099" w:rsidRPr="00F62E3F" w:rsidRDefault="007C5099" w:rsidP="000B31A7">
      <w:pPr>
        <w:pStyle w:val="BodyText"/>
        <w:shd w:val="clear" w:color="auto" w:fill="FFFFFF" w:themeFill="background1"/>
        <w:rPr>
          <w:sz w:val="21"/>
          <w:szCs w:val="21"/>
        </w:rPr>
      </w:pPr>
    </w:p>
    <w:p w14:paraId="3F4F2CE9" w14:textId="77777777" w:rsidR="007C5099" w:rsidRPr="00F62E3F" w:rsidRDefault="007C5099" w:rsidP="000B31A7">
      <w:pPr>
        <w:pStyle w:val="Heading1"/>
        <w:shd w:val="clear" w:color="auto" w:fill="FFFFFF" w:themeFill="background1"/>
        <w:tabs>
          <w:tab w:val="clear" w:pos="720"/>
        </w:tabs>
        <w:ind w:left="720" w:hanging="720"/>
        <w:jc w:val="both"/>
        <w:rPr>
          <w:b/>
          <w:sz w:val="21"/>
          <w:szCs w:val="21"/>
        </w:rPr>
      </w:pPr>
      <w:r w:rsidRPr="00F62E3F">
        <w:rPr>
          <w:b/>
          <w:sz w:val="21"/>
          <w:szCs w:val="21"/>
        </w:rPr>
        <w:t>CONFIDENTIALITY</w:t>
      </w:r>
    </w:p>
    <w:p w14:paraId="5B7AB3D2" w14:textId="59ECDC07" w:rsidR="007C5099" w:rsidRPr="00F62E3F" w:rsidRDefault="007C5099" w:rsidP="000B31A7">
      <w:pPr>
        <w:pStyle w:val="Heading2"/>
        <w:shd w:val="clear" w:color="auto" w:fill="FFFFFF" w:themeFill="background1"/>
        <w:jc w:val="both"/>
        <w:rPr>
          <w:sz w:val="21"/>
          <w:szCs w:val="21"/>
        </w:rPr>
      </w:pPr>
      <w:r w:rsidRPr="00F62E3F">
        <w:rPr>
          <w:sz w:val="21"/>
          <w:szCs w:val="21"/>
          <w:u w:val="single"/>
        </w:rPr>
        <w:t>Definition</w:t>
      </w:r>
      <w:r w:rsidRPr="00F62E3F">
        <w:rPr>
          <w:sz w:val="21"/>
          <w:szCs w:val="21"/>
        </w:rPr>
        <w:t>. “</w:t>
      </w:r>
      <w:r w:rsidRPr="00F62E3F">
        <w:rPr>
          <w:b/>
          <w:sz w:val="21"/>
          <w:szCs w:val="21"/>
        </w:rPr>
        <w:t>Confidential Information</w:t>
      </w:r>
      <w:r w:rsidRPr="00F62E3F">
        <w:rPr>
          <w:sz w:val="21"/>
          <w:szCs w:val="21"/>
        </w:rPr>
        <w:t xml:space="preserve">” means any business or technical information disclosed by one Party to the other Party that: (i) if disclosed in writing, is marked “confidential” or “proprietary” at the time of disclosure; (ii) if disclosed orally, is identified as “confidential” or “proprietary” at the time of disclosure, and is summarized in a writing sent by the disclosing Party to the receiving Party within thirty (30) days after any such disclosure; or (iii) under the circumstances, a person exercising reasonable business judgment would understand to be confidential or proprietary. </w:t>
      </w:r>
      <w:r w:rsidR="00B8294E" w:rsidRPr="00F62E3F">
        <w:rPr>
          <w:sz w:val="21"/>
          <w:szCs w:val="21"/>
        </w:rPr>
        <w:t>Platform Services</w:t>
      </w:r>
      <w:r w:rsidR="00D75937" w:rsidRPr="00F62E3F">
        <w:rPr>
          <w:sz w:val="21"/>
          <w:szCs w:val="21"/>
        </w:rPr>
        <w:t xml:space="preserve"> associated </w:t>
      </w:r>
      <w:proofErr w:type="gramStart"/>
      <w:r w:rsidR="00D75937" w:rsidRPr="00F62E3F">
        <w:rPr>
          <w:sz w:val="21"/>
          <w:szCs w:val="21"/>
        </w:rPr>
        <w:t>software</w:t>
      </w:r>
      <w:proofErr w:type="gramEnd"/>
      <w:r w:rsidRPr="00F62E3F">
        <w:rPr>
          <w:sz w:val="21"/>
          <w:szCs w:val="21"/>
        </w:rPr>
        <w:t xml:space="preserve"> and all Intellectual Property Rights embodied therein are Tavant’s Confidential Information, and the terms of this Agreement constitute Confidential Information of both Parties.</w:t>
      </w:r>
    </w:p>
    <w:p w14:paraId="0D515C94" w14:textId="77777777" w:rsidR="007C5099" w:rsidRPr="00F62E3F" w:rsidRDefault="007C5099" w:rsidP="000B31A7">
      <w:pPr>
        <w:pStyle w:val="Heading2"/>
        <w:shd w:val="clear" w:color="auto" w:fill="FFFFFF" w:themeFill="background1"/>
        <w:jc w:val="both"/>
        <w:rPr>
          <w:sz w:val="21"/>
          <w:szCs w:val="21"/>
        </w:rPr>
      </w:pPr>
      <w:r w:rsidRPr="00F62E3F">
        <w:rPr>
          <w:sz w:val="21"/>
          <w:szCs w:val="21"/>
          <w:u w:val="single"/>
        </w:rPr>
        <w:t>Exclusions</w:t>
      </w:r>
      <w:r w:rsidRPr="00F62E3F">
        <w:rPr>
          <w:sz w:val="21"/>
          <w:szCs w:val="21"/>
        </w:rPr>
        <w:t xml:space="preserve">.  The obligations and restrictions set forth in </w:t>
      </w:r>
      <w:r w:rsidRPr="00F62E3F">
        <w:rPr>
          <w:b/>
          <w:sz w:val="21"/>
          <w:szCs w:val="21"/>
        </w:rPr>
        <w:t>Section </w:t>
      </w:r>
      <w:r w:rsidR="00597851" w:rsidRPr="00F62E3F">
        <w:rPr>
          <w:b/>
          <w:sz w:val="21"/>
          <w:szCs w:val="21"/>
        </w:rPr>
        <w:t>7</w:t>
      </w:r>
      <w:r w:rsidRPr="00F62E3F">
        <w:rPr>
          <w:b/>
          <w:sz w:val="21"/>
          <w:szCs w:val="21"/>
        </w:rPr>
        <w:t>.3</w:t>
      </w:r>
      <w:r w:rsidRPr="00F62E3F">
        <w:rPr>
          <w:sz w:val="21"/>
          <w:szCs w:val="21"/>
        </w:rPr>
        <w:t xml:space="preserve"> will not apply to any information that: (i) is or becomes generally known to the public through no fault of or breach of this Agreement by the receiving Party; (ii) is rightfully known by the receiving Party at the time of disclosure; (iii) is independently developed by the receiving Party without use of the disclosing Party’s Confidential Information; or (iv) the receiving Party rightfully obtains from a third party who has the right to disclose such information without breach of any confidentiality obligation to the disclosing Party.</w:t>
      </w:r>
    </w:p>
    <w:p w14:paraId="055952B7" w14:textId="6EC1D8C0" w:rsidR="007C5099" w:rsidRPr="00F62E3F" w:rsidRDefault="007C5099" w:rsidP="000B31A7">
      <w:pPr>
        <w:pStyle w:val="Heading2"/>
        <w:shd w:val="clear" w:color="auto" w:fill="FFFFFF" w:themeFill="background1"/>
        <w:jc w:val="both"/>
        <w:rPr>
          <w:sz w:val="21"/>
          <w:szCs w:val="21"/>
        </w:rPr>
      </w:pPr>
      <w:r w:rsidRPr="00F62E3F">
        <w:rPr>
          <w:sz w:val="21"/>
          <w:szCs w:val="21"/>
          <w:u w:val="single"/>
        </w:rPr>
        <w:lastRenderedPageBreak/>
        <w:t>Use and Nondisclosure</w:t>
      </w:r>
      <w:r w:rsidRPr="00F62E3F">
        <w:rPr>
          <w:sz w:val="21"/>
          <w:szCs w:val="21"/>
        </w:rPr>
        <w:t xml:space="preserve">.  A receiving Party will not use the disclosing Party’s Confidential Information except as necessary for the performance or enforcement of this Agreement and will not disclose such Confidential Information to any third party except to those of its employees and subcontractors who have a bona fide need to know such Confidential Information for the performance or enforcement of this Agreement.  Each receiving Party will protect the disclosing Party’s Confidential Information from unauthorized use and disclosure using efforts equivalent to the efforts that the receiving Party ordinarily uses with respect to its own confidential information and in no event less than a reasonable standard of care.  The provisions of this </w:t>
      </w:r>
      <w:r w:rsidRPr="00F62E3F">
        <w:rPr>
          <w:b/>
          <w:sz w:val="21"/>
          <w:szCs w:val="21"/>
        </w:rPr>
        <w:t>Section </w:t>
      </w:r>
      <w:r w:rsidR="00597851" w:rsidRPr="00F62E3F">
        <w:rPr>
          <w:b/>
          <w:sz w:val="21"/>
          <w:szCs w:val="21"/>
        </w:rPr>
        <w:t>7</w:t>
      </w:r>
      <w:r w:rsidRPr="00F62E3F">
        <w:rPr>
          <w:b/>
          <w:sz w:val="21"/>
          <w:szCs w:val="21"/>
        </w:rPr>
        <w:t>.3</w:t>
      </w:r>
      <w:r w:rsidRPr="00F62E3F">
        <w:rPr>
          <w:sz w:val="21"/>
          <w:szCs w:val="21"/>
        </w:rPr>
        <w:t xml:space="preserve"> will remain in effect during the term of this Agreement and for a period of </w:t>
      </w:r>
      <w:r w:rsidR="00C7611B" w:rsidRPr="00F62E3F">
        <w:rPr>
          <w:sz w:val="21"/>
          <w:szCs w:val="21"/>
        </w:rPr>
        <w:t>one</w:t>
      </w:r>
      <w:r w:rsidRPr="00F62E3F">
        <w:rPr>
          <w:sz w:val="21"/>
          <w:szCs w:val="21"/>
        </w:rPr>
        <w:t> (</w:t>
      </w:r>
      <w:r w:rsidR="00C7611B" w:rsidRPr="00F62E3F">
        <w:rPr>
          <w:sz w:val="21"/>
          <w:szCs w:val="21"/>
        </w:rPr>
        <w:t>1</w:t>
      </w:r>
      <w:r w:rsidRPr="00F62E3F">
        <w:rPr>
          <w:sz w:val="21"/>
          <w:szCs w:val="21"/>
        </w:rPr>
        <w:t xml:space="preserve">) year after the expiration or termination of this Agreement; provided that, to the extent any Confidential Information constitutes a trade secret, the receiving Party’s obligations under </w:t>
      </w:r>
      <w:r w:rsidRPr="00F62E3F">
        <w:rPr>
          <w:b/>
          <w:sz w:val="21"/>
          <w:szCs w:val="21"/>
        </w:rPr>
        <w:t xml:space="preserve">Section </w:t>
      </w:r>
      <w:r w:rsidR="00523ED0" w:rsidRPr="00F62E3F">
        <w:rPr>
          <w:b/>
          <w:sz w:val="21"/>
          <w:szCs w:val="21"/>
        </w:rPr>
        <w:t>7</w:t>
      </w:r>
      <w:r w:rsidRPr="00F62E3F">
        <w:rPr>
          <w:sz w:val="21"/>
          <w:szCs w:val="21"/>
        </w:rPr>
        <w:t xml:space="preserve"> will continue until such Confidential Information continues to remain a trade secret.</w:t>
      </w:r>
      <w:r w:rsidR="00204A95" w:rsidRPr="00F62E3F">
        <w:rPr>
          <w:sz w:val="21"/>
          <w:szCs w:val="21"/>
        </w:rPr>
        <w:t xml:space="preserve"> Tavant will n</w:t>
      </w:r>
      <w:r w:rsidR="0040415B" w:rsidRPr="00F62E3F">
        <w:rPr>
          <w:sz w:val="21"/>
          <w:szCs w:val="21"/>
        </w:rPr>
        <w:t>o</w:t>
      </w:r>
      <w:r w:rsidR="00204A95" w:rsidRPr="00F62E3F">
        <w:rPr>
          <w:sz w:val="21"/>
          <w:szCs w:val="21"/>
        </w:rPr>
        <w:t xml:space="preserve">t be responsible for any </w:t>
      </w:r>
      <w:r w:rsidR="0040415B" w:rsidRPr="00F62E3F">
        <w:rPr>
          <w:sz w:val="21"/>
          <w:szCs w:val="21"/>
        </w:rPr>
        <w:t xml:space="preserve">disclosure </w:t>
      </w:r>
      <w:r w:rsidR="00204A95" w:rsidRPr="00F62E3F">
        <w:rPr>
          <w:sz w:val="21"/>
          <w:szCs w:val="21"/>
        </w:rPr>
        <w:t>of con</w:t>
      </w:r>
      <w:r w:rsidR="006C0D60" w:rsidRPr="00F62E3F">
        <w:rPr>
          <w:sz w:val="21"/>
          <w:szCs w:val="21"/>
        </w:rPr>
        <w:t>f</w:t>
      </w:r>
      <w:r w:rsidR="00204A95" w:rsidRPr="00F62E3F">
        <w:rPr>
          <w:sz w:val="21"/>
          <w:szCs w:val="21"/>
        </w:rPr>
        <w:t xml:space="preserve">identiality of Customer Data if such </w:t>
      </w:r>
      <w:r w:rsidR="0040415B" w:rsidRPr="00F62E3F">
        <w:rPr>
          <w:sz w:val="21"/>
          <w:szCs w:val="21"/>
        </w:rPr>
        <w:t>disclosure</w:t>
      </w:r>
      <w:r w:rsidR="00204A95" w:rsidRPr="00F62E3F">
        <w:rPr>
          <w:sz w:val="21"/>
          <w:szCs w:val="21"/>
        </w:rPr>
        <w:t xml:space="preserve"> is by virtue of any use of the Platform Services by the Customer not authorized by </w:t>
      </w:r>
      <w:r w:rsidR="0040415B" w:rsidRPr="00F62E3F">
        <w:rPr>
          <w:sz w:val="21"/>
          <w:szCs w:val="21"/>
        </w:rPr>
        <w:t xml:space="preserve">Tavant pursuant to this Agreement or any applicable SOW. </w:t>
      </w:r>
    </w:p>
    <w:p w14:paraId="4EC6EBC1" w14:textId="77777777" w:rsidR="007C5099" w:rsidRPr="00F62E3F" w:rsidRDefault="007C5099" w:rsidP="000B31A7">
      <w:pPr>
        <w:pStyle w:val="Heading2"/>
        <w:shd w:val="clear" w:color="auto" w:fill="FFFFFF" w:themeFill="background1"/>
        <w:jc w:val="both"/>
        <w:rPr>
          <w:sz w:val="21"/>
          <w:szCs w:val="21"/>
        </w:rPr>
      </w:pPr>
      <w:r w:rsidRPr="00F62E3F">
        <w:rPr>
          <w:sz w:val="21"/>
          <w:szCs w:val="21"/>
          <w:u w:val="single"/>
        </w:rPr>
        <w:t>Permitted Disclosures</w:t>
      </w:r>
      <w:r w:rsidRPr="00F62E3F">
        <w:rPr>
          <w:sz w:val="21"/>
          <w:szCs w:val="21"/>
        </w:rPr>
        <w:t xml:space="preserve">.  The provisions of this </w:t>
      </w:r>
      <w:r w:rsidRPr="00F62E3F">
        <w:rPr>
          <w:b/>
          <w:sz w:val="21"/>
          <w:szCs w:val="21"/>
        </w:rPr>
        <w:t>Section </w:t>
      </w:r>
      <w:r w:rsidR="00597851" w:rsidRPr="00F62E3F">
        <w:rPr>
          <w:b/>
          <w:sz w:val="21"/>
          <w:szCs w:val="21"/>
        </w:rPr>
        <w:t>7</w:t>
      </w:r>
      <w:r w:rsidRPr="00F62E3F">
        <w:rPr>
          <w:sz w:val="21"/>
          <w:szCs w:val="21"/>
        </w:rPr>
        <w:t xml:space="preserve"> will not restrict either Party from disclosing Confidential Information pursuant to the order or requirement of a court, administrative agency, or other governmental body; </w:t>
      </w:r>
      <w:r w:rsidRPr="00F62E3F">
        <w:rPr>
          <w:sz w:val="21"/>
          <w:szCs w:val="21"/>
          <w:u w:val="single"/>
        </w:rPr>
        <w:t>provided</w:t>
      </w:r>
      <w:r w:rsidRPr="00F62E3F">
        <w:rPr>
          <w:sz w:val="21"/>
          <w:szCs w:val="21"/>
        </w:rPr>
        <w:t xml:space="preserve"> that the Party required to make such a disclosure gives reasonable notice to the other Party to enable it to contest such order or requirement or limit the scope of such request.  The Party responding to such an order or requirement will only disclose that information that is expressly required.</w:t>
      </w:r>
    </w:p>
    <w:p w14:paraId="404F2A92" w14:textId="320F342D" w:rsidR="00957973" w:rsidRPr="00F62E3F" w:rsidRDefault="00957973" w:rsidP="000B31A7">
      <w:pPr>
        <w:pStyle w:val="Heading2"/>
        <w:shd w:val="clear" w:color="auto" w:fill="FFFFFF" w:themeFill="background1"/>
        <w:jc w:val="both"/>
        <w:rPr>
          <w:sz w:val="21"/>
          <w:szCs w:val="21"/>
          <w:u w:val="single"/>
        </w:rPr>
      </w:pPr>
      <w:r w:rsidRPr="00F62E3F">
        <w:rPr>
          <w:sz w:val="21"/>
          <w:szCs w:val="21"/>
          <w:u w:val="single"/>
        </w:rPr>
        <w:t>Personally Identifiable Information. To the extent that Tavant has access to Personally Identifiable Information, provided by Customer's employees or Customers, Tavant acknowledges and agrees that it shall not use or disclose Personally Identifiable Information for any purpose not reasonably required to comply with all applicable terms, conditions, provisions, and service levels of this Agreement without Customer's and the Customer</w:t>
      </w:r>
      <w:r w:rsidRPr="000B31A7">
        <w:rPr>
          <w:sz w:val="21"/>
          <w:szCs w:val="21"/>
          <w:u w:val="single"/>
        </w:rPr>
        <w:t>’</w:t>
      </w:r>
      <w:r w:rsidRPr="00F62E3F">
        <w:rPr>
          <w:sz w:val="21"/>
          <w:szCs w:val="21"/>
          <w:u w:val="single"/>
        </w:rPr>
        <w:t>s prior written consent. In the event that Customer and Customer so consent, Tavant may disclose such Personally Identifiable Information only to the extent permitted by such Customer and only in accordance with the terms of this Agreement and applicable Law. These obligations shall survive termination of this Agreement.</w:t>
      </w:r>
      <w:r w:rsidRPr="000B31A7">
        <w:rPr>
          <w:sz w:val="21"/>
          <w:szCs w:val="21"/>
          <w:u w:val="single"/>
        </w:rPr>
        <w:t> </w:t>
      </w:r>
      <w:r w:rsidRPr="00F62E3F">
        <w:rPr>
          <w:sz w:val="21"/>
          <w:szCs w:val="21"/>
          <w:u w:val="single"/>
        </w:rPr>
        <w:t xml:space="preserve"> Personal Identifiable Information, as stated herein, includes all Non-Public Personal Information </w:t>
      </w:r>
      <w:r w:rsidR="0093428E" w:rsidRPr="00F62E3F">
        <w:rPr>
          <w:sz w:val="21"/>
          <w:szCs w:val="21"/>
          <w:u w:val="single"/>
        </w:rPr>
        <w:t xml:space="preserve">(NPPI) </w:t>
      </w:r>
      <w:r w:rsidRPr="00F62E3F">
        <w:rPr>
          <w:sz w:val="21"/>
          <w:szCs w:val="21"/>
          <w:u w:val="single"/>
        </w:rPr>
        <w:t>as such term is defined in Title V of the Gramm-Leach-Bliley Act (15 USC Sec 6801 et. seq.) and its implementing regulations.</w:t>
      </w:r>
      <w:r w:rsidR="00A928A8" w:rsidRPr="00F62E3F">
        <w:rPr>
          <w:sz w:val="21"/>
          <w:szCs w:val="21"/>
          <w:u w:val="single"/>
        </w:rPr>
        <w:t xml:space="preserve">  </w:t>
      </w:r>
      <w:r w:rsidR="003B48B2" w:rsidRPr="00F62E3F">
        <w:rPr>
          <w:sz w:val="21"/>
          <w:szCs w:val="21"/>
          <w:u w:val="single"/>
        </w:rPr>
        <w:t>F</w:t>
      </w:r>
      <w:r w:rsidR="00A928A8" w:rsidRPr="00F62E3F">
        <w:rPr>
          <w:sz w:val="21"/>
          <w:szCs w:val="21"/>
          <w:u w:val="single"/>
        </w:rPr>
        <w:t>or clarity, Tavant shall treat all Personally Identifiable Information in accordance with all applicable law and regulation and shall inform Customer of any breach of such obligation</w:t>
      </w:r>
      <w:r w:rsidR="00654F24" w:rsidRPr="000B31A7">
        <w:rPr>
          <w:sz w:val="21"/>
          <w:szCs w:val="21"/>
          <w:u w:val="single"/>
        </w:rPr>
        <w:t xml:space="preserve"> by Tavant</w:t>
      </w:r>
      <w:r w:rsidR="00A928A8" w:rsidRPr="00F62E3F">
        <w:rPr>
          <w:sz w:val="21"/>
          <w:szCs w:val="21"/>
          <w:u w:val="single"/>
        </w:rPr>
        <w:t>.</w:t>
      </w:r>
    </w:p>
    <w:p w14:paraId="66EDBA40" w14:textId="77777777" w:rsidR="007C5099" w:rsidRPr="00F62E3F" w:rsidRDefault="007C5099" w:rsidP="000B31A7">
      <w:pPr>
        <w:pStyle w:val="BodyText"/>
        <w:shd w:val="clear" w:color="auto" w:fill="FFFFFF" w:themeFill="background1"/>
        <w:rPr>
          <w:sz w:val="21"/>
          <w:szCs w:val="21"/>
        </w:rPr>
      </w:pPr>
    </w:p>
    <w:p w14:paraId="490F1393" w14:textId="77777777" w:rsidR="007C5099" w:rsidRPr="00F62E3F" w:rsidRDefault="007C5099" w:rsidP="000B31A7">
      <w:pPr>
        <w:pStyle w:val="Heading1"/>
        <w:shd w:val="clear" w:color="auto" w:fill="FFFFFF" w:themeFill="background1"/>
        <w:tabs>
          <w:tab w:val="clear" w:pos="720"/>
        </w:tabs>
        <w:ind w:left="720" w:hanging="720"/>
        <w:jc w:val="both"/>
        <w:rPr>
          <w:b/>
          <w:sz w:val="21"/>
          <w:szCs w:val="21"/>
        </w:rPr>
      </w:pPr>
      <w:r w:rsidRPr="00F62E3F">
        <w:rPr>
          <w:b/>
          <w:sz w:val="21"/>
          <w:szCs w:val="21"/>
        </w:rPr>
        <w:t>INDEMNIFICATION</w:t>
      </w:r>
    </w:p>
    <w:p w14:paraId="626EBE93" w14:textId="6364FADD" w:rsidR="007C5099" w:rsidRPr="00F62E3F" w:rsidRDefault="007C5099" w:rsidP="000B31A7">
      <w:pPr>
        <w:pStyle w:val="Heading2"/>
        <w:shd w:val="clear" w:color="auto" w:fill="FFFFFF" w:themeFill="background1"/>
        <w:jc w:val="both"/>
        <w:rPr>
          <w:sz w:val="21"/>
          <w:szCs w:val="21"/>
          <w:u w:val="single"/>
        </w:rPr>
      </w:pPr>
      <w:r w:rsidRPr="00F62E3F">
        <w:rPr>
          <w:sz w:val="21"/>
          <w:szCs w:val="21"/>
          <w:u w:val="single"/>
        </w:rPr>
        <w:t>Tavant Indemnity</w:t>
      </w:r>
      <w:r w:rsidRPr="00F62E3F">
        <w:rPr>
          <w:sz w:val="21"/>
          <w:szCs w:val="21"/>
        </w:rPr>
        <w:t xml:space="preserve">.  Subject to </w:t>
      </w:r>
      <w:r w:rsidRPr="00F62E3F">
        <w:rPr>
          <w:b/>
          <w:sz w:val="21"/>
          <w:szCs w:val="21"/>
        </w:rPr>
        <w:t xml:space="preserve">Section </w:t>
      </w:r>
      <w:r w:rsidR="00597851" w:rsidRPr="00F62E3F">
        <w:rPr>
          <w:b/>
          <w:sz w:val="21"/>
          <w:szCs w:val="21"/>
        </w:rPr>
        <w:t>8</w:t>
      </w:r>
      <w:r w:rsidRPr="00F62E3F">
        <w:rPr>
          <w:b/>
          <w:sz w:val="21"/>
          <w:szCs w:val="21"/>
        </w:rPr>
        <w:t>.4</w:t>
      </w:r>
      <w:r w:rsidRPr="00F62E3F">
        <w:rPr>
          <w:sz w:val="21"/>
          <w:szCs w:val="21"/>
        </w:rPr>
        <w:t>, Tavant will defend, indemnify and hold Customer harmless from and against any damages, costs and expenses (including reasonable attorneys' fees and other professional fees) awarded against Customer in a final non-appealable judgment or that are agreed to in settlement, to the extent based on a third-party claim that the</w:t>
      </w:r>
      <w:r w:rsidR="00A928A8" w:rsidRPr="00F62E3F">
        <w:rPr>
          <w:sz w:val="21"/>
          <w:szCs w:val="21"/>
        </w:rPr>
        <w:t xml:space="preserve"> Platform Services </w:t>
      </w:r>
      <w:r w:rsidRPr="00F62E3F">
        <w:rPr>
          <w:sz w:val="21"/>
          <w:szCs w:val="21"/>
        </w:rPr>
        <w:t>infringe any U.S. patent or copyright or misappropriates the trade secret of any third party</w:t>
      </w:r>
      <w:r w:rsidR="00957973" w:rsidRPr="00F62E3F">
        <w:rPr>
          <w:sz w:val="21"/>
          <w:szCs w:val="21"/>
        </w:rPr>
        <w:t xml:space="preserve"> or that arises out of Tavant’s breach of any of its duties or obligations hereunder.</w:t>
      </w:r>
      <w:r w:rsidRPr="00F62E3F">
        <w:rPr>
          <w:sz w:val="21"/>
          <w:szCs w:val="21"/>
        </w:rPr>
        <w:t xml:space="preserve"> </w:t>
      </w:r>
    </w:p>
    <w:p w14:paraId="4D91F4E1" w14:textId="33F8E8B2" w:rsidR="007C5099" w:rsidRPr="00F62E3F" w:rsidRDefault="007C5099" w:rsidP="000B31A7">
      <w:pPr>
        <w:pStyle w:val="Heading2"/>
        <w:shd w:val="clear" w:color="auto" w:fill="FFFFFF" w:themeFill="background1"/>
        <w:jc w:val="both"/>
        <w:rPr>
          <w:sz w:val="21"/>
          <w:szCs w:val="21"/>
          <w:u w:val="single"/>
        </w:rPr>
      </w:pPr>
      <w:r w:rsidRPr="00F62E3F">
        <w:rPr>
          <w:sz w:val="21"/>
          <w:szCs w:val="21"/>
          <w:u w:val="single"/>
        </w:rPr>
        <w:t>Customer Indemnity</w:t>
      </w:r>
      <w:r w:rsidRPr="00F62E3F">
        <w:rPr>
          <w:sz w:val="21"/>
          <w:szCs w:val="21"/>
        </w:rPr>
        <w:t xml:space="preserve">. Customer will defend, indemnify and hold Tavant harmless from and against any damages, costs and expenses (including reasonable attorneys' fees and other professional fees) awarded against Tavant in a final non-appealable judgment or that are agreed to in settlement to the extent based on a third-party claim that arises out of Customer’s breach of its representations and warranties under </w:t>
      </w:r>
      <w:r w:rsidRPr="00F62E3F">
        <w:rPr>
          <w:b/>
          <w:sz w:val="21"/>
          <w:szCs w:val="21"/>
        </w:rPr>
        <w:t xml:space="preserve">Section </w:t>
      </w:r>
      <w:r w:rsidR="00597851" w:rsidRPr="00F62E3F">
        <w:rPr>
          <w:b/>
          <w:sz w:val="21"/>
          <w:szCs w:val="21"/>
        </w:rPr>
        <w:t>6</w:t>
      </w:r>
      <w:r w:rsidRPr="00F62E3F">
        <w:rPr>
          <w:b/>
          <w:sz w:val="21"/>
          <w:szCs w:val="21"/>
        </w:rPr>
        <w:t>.</w:t>
      </w:r>
      <w:r w:rsidR="0093428E" w:rsidRPr="00F62E3F">
        <w:rPr>
          <w:b/>
          <w:sz w:val="21"/>
          <w:szCs w:val="21"/>
        </w:rPr>
        <w:t>1</w:t>
      </w:r>
      <w:r w:rsidRPr="00F62E3F">
        <w:rPr>
          <w:sz w:val="21"/>
          <w:szCs w:val="21"/>
        </w:rPr>
        <w:t xml:space="preserve"> hereof.</w:t>
      </w:r>
    </w:p>
    <w:p w14:paraId="736C2FA8" w14:textId="1DA52048" w:rsidR="007C5099" w:rsidRPr="00F62E3F" w:rsidRDefault="007C5099" w:rsidP="000B31A7">
      <w:pPr>
        <w:pStyle w:val="Heading2"/>
        <w:shd w:val="clear" w:color="auto" w:fill="FFFFFF" w:themeFill="background1"/>
        <w:jc w:val="both"/>
        <w:rPr>
          <w:sz w:val="21"/>
          <w:szCs w:val="21"/>
          <w:u w:val="single"/>
        </w:rPr>
      </w:pPr>
      <w:r w:rsidRPr="00F62E3F">
        <w:rPr>
          <w:sz w:val="21"/>
          <w:szCs w:val="21"/>
          <w:u w:val="single"/>
        </w:rPr>
        <w:t>Procedure</w:t>
      </w:r>
      <w:r w:rsidRPr="00F62E3F">
        <w:rPr>
          <w:sz w:val="21"/>
          <w:szCs w:val="21"/>
        </w:rPr>
        <w:t xml:space="preserve">. The indemnifying Party is obligated to indemnify the indemnified Party provided that the indemnified Party: (a) promptly notifies indemnifying Party in writing of any such claim; (b) grants indemnifying Party sole control of the defense and settlement of the claim; and (c) provides indemnifying Party, at indemnifying Party’s expense, with all assistance, information and authority reasonably required for </w:t>
      </w:r>
      <w:r w:rsidRPr="00F62E3F">
        <w:rPr>
          <w:sz w:val="21"/>
          <w:szCs w:val="21"/>
        </w:rPr>
        <w:lastRenderedPageBreak/>
        <w:t xml:space="preserve">the defense and settlement of the claim.  The indemnifying Party will not settle any claim that involves a remedy other than payment without the indemnified Party’s prior written consent, which may not be unreasonably withheld or delayed.  The indemnified Party has the right to retain counsel, at its expense, to participate in the defense or settlement of any claim.  The indemnifying Party will not be liable for any settlement or compromise that </w:t>
      </w:r>
      <w:r w:rsidR="00B8294E" w:rsidRPr="00F62E3F">
        <w:rPr>
          <w:sz w:val="21"/>
          <w:szCs w:val="21"/>
        </w:rPr>
        <w:t>indemnified</w:t>
      </w:r>
      <w:r w:rsidR="0093428E" w:rsidRPr="00F62E3F">
        <w:rPr>
          <w:sz w:val="21"/>
          <w:szCs w:val="21"/>
        </w:rPr>
        <w:t xml:space="preserve"> Party </w:t>
      </w:r>
      <w:r w:rsidRPr="00F62E3F">
        <w:rPr>
          <w:sz w:val="21"/>
          <w:szCs w:val="21"/>
        </w:rPr>
        <w:t>enters into without the indemnifying Party’s prior written consent.</w:t>
      </w:r>
      <w:r w:rsidRPr="00F62E3F">
        <w:rPr>
          <w:sz w:val="21"/>
          <w:szCs w:val="21"/>
          <w:u w:val="single"/>
        </w:rPr>
        <w:t xml:space="preserve"> </w:t>
      </w:r>
    </w:p>
    <w:p w14:paraId="186D2AA8" w14:textId="24E78D56" w:rsidR="007C5099" w:rsidRPr="00CE50E8" w:rsidRDefault="007C5099" w:rsidP="000B31A7">
      <w:pPr>
        <w:pStyle w:val="Heading2"/>
        <w:shd w:val="clear" w:color="auto" w:fill="FFFFFF" w:themeFill="background1"/>
        <w:jc w:val="both"/>
        <w:rPr>
          <w:sz w:val="21"/>
          <w:szCs w:val="21"/>
          <w:u w:val="single"/>
        </w:rPr>
      </w:pPr>
      <w:r w:rsidRPr="00CE50E8">
        <w:rPr>
          <w:sz w:val="21"/>
          <w:szCs w:val="21"/>
          <w:u w:val="single"/>
        </w:rPr>
        <w:t>Exclusions</w:t>
      </w:r>
      <w:r w:rsidRPr="00CE50E8">
        <w:rPr>
          <w:sz w:val="21"/>
          <w:szCs w:val="21"/>
        </w:rPr>
        <w:t xml:space="preserve">.  Tavant's obligation to indemnify Customer pursuant to </w:t>
      </w:r>
      <w:r w:rsidRPr="00CE50E8">
        <w:rPr>
          <w:b/>
          <w:sz w:val="21"/>
          <w:szCs w:val="21"/>
        </w:rPr>
        <w:t>Section </w:t>
      </w:r>
      <w:r w:rsidR="00597851" w:rsidRPr="00CE50E8">
        <w:rPr>
          <w:b/>
          <w:sz w:val="21"/>
          <w:szCs w:val="21"/>
        </w:rPr>
        <w:t>8</w:t>
      </w:r>
      <w:r w:rsidRPr="00CE50E8">
        <w:rPr>
          <w:b/>
          <w:sz w:val="21"/>
          <w:szCs w:val="21"/>
        </w:rPr>
        <w:t>.1</w:t>
      </w:r>
      <w:r w:rsidRPr="00CE50E8">
        <w:rPr>
          <w:sz w:val="21"/>
          <w:szCs w:val="21"/>
        </w:rPr>
        <w:t>, will not apply to the extent any claim results from or is based on Customer’s use of the</w:t>
      </w:r>
      <w:r w:rsidR="00A928A8" w:rsidRPr="00CE50E8">
        <w:rPr>
          <w:sz w:val="21"/>
          <w:szCs w:val="21"/>
        </w:rPr>
        <w:t xml:space="preserve"> Platform Services </w:t>
      </w:r>
      <w:r w:rsidRPr="00CE50E8">
        <w:rPr>
          <w:sz w:val="21"/>
          <w:szCs w:val="21"/>
        </w:rPr>
        <w:t xml:space="preserve">in a way that </w:t>
      </w:r>
      <w:r w:rsidR="00A928A8" w:rsidRPr="00CE50E8">
        <w:rPr>
          <w:sz w:val="21"/>
          <w:szCs w:val="21"/>
        </w:rPr>
        <w:t xml:space="preserve">materially </w:t>
      </w:r>
      <w:r w:rsidRPr="00CE50E8">
        <w:rPr>
          <w:sz w:val="21"/>
          <w:szCs w:val="21"/>
        </w:rPr>
        <w:t>breaches this Agreement</w:t>
      </w:r>
      <w:r w:rsidR="00BE64D9" w:rsidRPr="00CE50E8">
        <w:rPr>
          <w:sz w:val="21"/>
          <w:szCs w:val="21"/>
        </w:rPr>
        <w:t xml:space="preserve"> or the confidentiality of any third </w:t>
      </w:r>
      <w:r w:rsidR="00B8294E" w:rsidRPr="00CE50E8">
        <w:rPr>
          <w:sz w:val="21"/>
          <w:szCs w:val="21"/>
        </w:rPr>
        <w:t>party or</w:t>
      </w:r>
      <w:r w:rsidR="00BE64D9" w:rsidRPr="00CE50E8">
        <w:rPr>
          <w:sz w:val="21"/>
          <w:szCs w:val="21"/>
        </w:rPr>
        <w:t xml:space="preserve"> any </w:t>
      </w:r>
      <w:proofErr w:type="gramStart"/>
      <w:r w:rsidR="00BE64D9" w:rsidRPr="00CE50E8">
        <w:rPr>
          <w:sz w:val="21"/>
          <w:szCs w:val="21"/>
        </w:rPr>
        <w:t>third party</w:t>
      </w:r>
      <w:proofErr w:type="gramEnd"/>
      <w:r w:rsidR="00BE64D9" w:rsidRPr="00CE50E8">
        <w:rPr>
          <w:sz w:val="21"/>
          <w:szCs w:val="21"/>
        </w:rPr>
        <w:t xml:space="preserve"> claim that arises out of any Customer Marks or Customer Materials</w:t>
      </w:r>
      <w:r w:rsidRPr="00CE50E8">
        <w:rPr>
          <w:sz w:val="21"/>
          <w:szCs w:val="21"/>
        </w:rPr>
        <w:t xml:space="preserve">.  </w:t>
      </w:r>
    </w:p>
    <w:p w14:paraId="2F0A34CA" w14:textId="4A01995A" w:rsidR="007C5099" w:rsidRPr="00F62E3F" w:rsidRDefault="007C5099" w:rsidP="000B31A7">
      <w:pPr>
        <w:pStyle w:val="Heading2"/>
        <w:shd w:val="clear" w:color="auto" w:fill="FFFFFF" w:themeFill="background1"/>
        <w:jc w:val="both"/>
        <w:rPr>
          <w:sz w:val="21"/>
          <w:szCs w:val="21"/>
          <w:u w:val="single"/>
        </w:rPr>
      </w:pPr>
      <w:r w:rsidRPr="00F62E3F">
        <w:rPr>
          <w:sz w:val="21"/>
          <w:szCs w:val="21"/>
          <w:u w:val="single"/>
        </w:rPr>
        <w:t>Injunction</w:t>
      </w:r>
      <w:r w:rsidRPr="00F62E3F">
        <w:rPr>
          <w:sz w:val="21"/>
          <w:szCs w:val="21"/>
        </w:rPr>
        <w:t>.  If Customer’s use of the</w:t>
      </w:r>
      <w:r w:rsidR="00474F84" w:rsidRPr="00F62E3F">
        <w:rPr>
          <w:sz w:val="21"/>
          <w:szCs w:val="21"/>
        </w:rPr>
        <w:t xml:space="preserve"> Platform Services</w:t>
      </w:r>
      <w:r w:rsidRPr="00F62E3F">
        <w:rPr>
          <w:sz w:val="21"/>
          <w:szCs w:val="21"/>
        </w:rPr>
        <w:t xml:space="preserve"> is, or in Tavant’s opinion is likely to be, enjoined due to the type of claim specified in </w:t>
      </w:r>
      <w:r w:rsidRPr="00F62E3F">
        <w:rPr>
          <w:b/>
          <w:sz w:val="21"/>
          <w:szCs w:val="21"/>
        </w:rPr>
        <w:t xml:space="preserve">Section </w:t>
      </w:r>
      <w:r w:rsidR="00597851" w:rsidRPr="00F62E3F">
        <w:rPr>
          <w:b/>
          <w:sz w:val="21"/>
          <w:szCs w:val="21"/>
        </w:rPr>
        <w:t>8</w:t>
      </w:r>
      <w:r w:rsidRPr="00F62E3F">
        <w:rPr>
          <w:b/>
          <w:sz w:val="21"/>
          <w:szCs w:val="21"/>
        </w:rPr>
        <w:t>.1</w:t>
      </w:r>
      <w:r w:rsidRPr="00F62E3F">
        <w:rPr>
          <w:sz w:val="21"/>
          <w:szCs w:val="21"/>
        </w:rPr>
        <w:t>, then Tavant will at its sole option and expense: (i) replace or modify the</w:t>
      </w:r>
      <w:r w:rsidR="00474F84" w:rsidRPr="00F62E3F">
        <w:rPr>
          <w:sz w:val="21"/>
          <w:szCs w:val="21"/>
        </w:rPr>
        <w:t xml:space="preserve"> Platform Services</w:t>
      </w:r>
      <w:r w:rsidRPr="00F62E3F">
        <w:rPr>
          <w:sz w:val="21"/>
          <w:szCs w:val="21"/>
        </w:rPr>
        <w:t xml:space="preserve"> to make it non-infringing and of equivalent functionality; (ii) procure for Customer the right to continue using the </w:t>
      </w:r>
      <w:r w:rsidR="00474F84" w:rsidRPr="00F62E3F">
        <w:rPr>
          <w:sz w:val="21"/>
          <w:szCs w:val="21"/>
        </w:rPr>
        <w:t xml:space="preserve">Platform Services </w:t>
      </w:r>
      <w:r w:rsidRPr="00F62E3F">
        <w:rPr>
          <w:sz w:val="21"/>
          <w:szCs w:val="21"/>
        </w:rPr>
        <w:t xml:space="preserve">under the terms of this Agreement; or (iii) if Tavant is unable to accomplish either (i) or (ii) despite using its reasonable efforts, then Tavant may terminate Customer’s rights and Tavant’s obligation under this Agreement with respect to such </w:t>
      </w:r>
      <w:r w:rsidR="00474F84" w:rsidRPr="00F62E3F">
        <w:rPr>
          <w:sz w:val="21"/>
          <w:szCs w:val="21"/>
        </w:rPr>
        <w:t xml:space="preserve">Platform Services or any part of it </w:t>
      </w:r>
      <w:r w:rsidRPr="00F62E3F">
        <w:rPr>
          <w:sz w:val="21"/>
          <w:szCs w:val="21"/>
        </w:rPr>
        <w:t xml:space="preserve">and refund to Customer a pro-rata portion of the fee for the use of the </w:t>
      </w:r>
      <w:r w:rsidR="00474F84" w:rsidRPr="00F62E3F">
        <w:rPr>
          <w:sz w:val="21"/>
          <w:szCs w:val="21"/>
        </w:rPr>
        <w:t xml:space="preserve">Platform Services </w:t>
      </w:r>
      <w:r w:rsidRPr="00F62E3F">
        <w:rPr>
          <w:sz w:val="21"/>
          <w:szCs w:val="21"/>
        </w:rPr>
        <w:t xml:space="preserve">for the time Customer is unable to use the </w:t>
      </w:r>
      <w:r w:rsidR="00474F84" w:rsidRPr="00F62E3F">
        <w:rPr>
          <w:sz w:val="21"/>
          <w:szCs w:val="21"/>
        </w:rPr>
        <w:t xml:space="preserve">Platform Services. </w:t>
      </w:r>
      <w:r w:rsidRPr="00F62E3F">
        <w:rPr>
          <w:b/>
          <w:i/>
          <w:sz w:val="21"/>
          <w:szCs w:val="21"/>
        </w:rPr>
        <w:t xml:space="preserve"> </w:t>
      </w:r>
    </w:p>
    <w:p w14:paraId="35980758" w14:textId="03C4EA3D" w:rsidR="007C5099" w:rsidRPr="00F62E3F" w:rsidRDefault="007C5099" w:rsidP="000B31A7">
      <w:pPr>
        <w:pStyle w:val="Heading2"/>
        <w:shd w:val="clear" w:color="auto" w:fill="FFFFFF" w:themeFill="background1"/>
        <w:jc w:val="both"/>
        <w:rPr>
          <w:sz w:val="21"/>
          <w:szCs w:val="21"/>
          <w:u w:val="single"/>
        </w:rPr>
      </w:pPr>
      <w:r w:rsidRPr="00F62E3F">
        <w:rPr>
          <w:sz w:val="21"/>
          <w:szCs w:val="21"/>
          <w:u w:val="single"/>
        </w:rPr>
        <w:t>Sole Remedy</w:t>
      </w:r>
      <w:r w:rsidRPr="00F62E3F">
        <w:rPr>
          <w:sz w:val="21"/>
          <w:szCs w:val="21"/>
        </w:rPr>
        <w:t xml:space="preserve">.  THE FOREGOING PROVISIONS OF THIS </w:t>
      </w:r>
      <w:r w:rsidRPr="00F62E3F">
        <w:rPr>
          <w:b/>
          <w:sz w:val="21"/>
          <w:szCs w:val="21"/>
        </w:rPr>
        <w:t xml:space="preserve">SECTION </w:t>
      </w:r>
      <w:r w:rsidR="00597851" w:rsidRPr="00F62E3F">
        <w:rPr>
          <w:b/>
          <w:sz w:val="21"/>
          <w:szCs w:val="21"/>
        </w:rPr>
        <w:t>8</w:t>
      </w:r>
      <w:r w:rsidRPr="00F62E3F">
        <w:rPr>
          <w:sz w:val="21"/>
          <w:szCs w:val="21"/>
        </w:rPr>
        <w:t xml:space="preserve"> SET FORTH TAVANT’S SOLE AND EXCLUSIVE OBLIGATIONS, AND CUSTOMER’S SOLE AND EXCLUSIVE REMEDIES, WITH RESPECT TO INFRINGEMENT OR MISAPPROPRIATION OF INTELLECTUAL PROPERTY RIGHTS OF ANY KIND BY USE OF THE </w:t>
      </w:r>
      <w:r w:rsidR="00474F84" w:rsidRPr="00F62E3F">
        <w:rPr>
          <w:sz w:val="21"/>
          <w:szCs w:val="21"/>
        </w:rPr>
        <w:t xml:space="preserve">PLATFORM SERVICES. </w:t>
      </w:r>
    </w:p>
    <w:p w14:paraId="245E8C45" w14:textId="77777777" w:rsidR="002757CC" w:rsidRPr="00F62E3F" w:rsidRDefault="002757CC" w:rsidP="000B31A7">
      <w:pPr>
        <w:pStyle w:val="BodyText"/>
        <w:shd w:val="clear" w:color="auto" w:fill="FFFFFF" w:themeFill="background1"/>
        <w:rPr>
          <w:sz w:val="21"/>
          <w:szCs w:val="21"/>
        </w:rPr>
      </w:pPr>
    </w:p>
    <w:p w14:paraId="5A37E99D" w14:textId="77777777" w:rsidR="007C5099" w:rsidRPr="00F62E3F" w:rsidRDefault="00AB3D50" w:rsidP="000B31A7">
      <w:pPr>
        <w:pStyle w:val="Heading1"/>
        <w:shd w:val="clear" w:color="auto" w:fill="FFFFFF" w:themeFill="background1"/>
        <w:tabs>
          <w:tab w:val="clear" w:pos="720"/>
        </w:tabs>
        <w:ind w:left="720" w:hanging="720"/>
        <w:jc w:val="both"/>
        <w:rPr>
          <w:sz w:val="21"/>
          <w:szCs w:val="21"/>
        </w:rPr>
      </w:pPr>
      <w:r w:rsidRPr="00F62E3F">
        <w:rPr>
          <w:b/>
          <w:sz w:val="21"/>
          <w:szCs w:val="21"/>
        </w:rPr>
        <w:t xml:space="preserve">LIMITATION OF LIABILITY.  </w:t>
      </w:r>
    </w:p>
    <w:p w14:paraId="2E0A0EDE" w14:textId="4C1F312F" w:rsidR="00AB3D50" w:rsidRPr="00F62E3F" w:rsidRDefault="002601A5" w:rsidP="000B31A7">
      <w:pPr>
        <w:pStyle w:val="Heading2"/>
        <w:shd w:val="clear" w:color="auto" w:fill="FFFFFF" w:themeFill="background1"/>
        <w:jc w:val="both"/>
        <w:rPr>
          <w:sz w:val="21"/>
          <w:szCs w:val="21"/>
        </w:rPr>
      </w:pPr>
      <w:r w:rsidRPr="00F62E3F">
        <w:rPr>
          <w:sz w:val="21"/>
          <w:szCs w:val="21"/>
        </w:rPr>
        <w:t xml:space="preserve">IN NO EVENT WILL TAVANT BE LIABLE FOR ANY SPECIAL, INCIDENTAL, EXEMPLARY, PUNITIVE OR CONSEQUENTIAL DAMAGES (INCLUDING LOSS OF USE, DATA, BUSINESS OR PROFITS) OR FOR </w:t>
      </w:r>
      <w:r w:rsidRPr="00F62E3F">
        <w:rPr>
          <w:caps/>
          <w:sz w:val="21"/>
          <w:szCs w:val="21"/>
        </w:rPr>
        <w:t>the cost of procuring substitute products OR SERVICES</w:t>
      </w:r>
      <w:r w:rsidRPr="00F62E3F">
        <w:rPr>
          <w:sz w:val="21"/>
          <w:szCs w:val="21"/>
        </w:rPr>
        <w:t xml:space="preserve"> ARISING OUT OF OR IN CONNECTION WITH THIS </w:t>
      </w:r>
      <w:r w:rsidR="00FB3304" w:rsidRPr="00F62E3F">
        <w:rPr>
          <w:sz w:val="21"/>
          <w:szCs w:val="21"/>
        </w:rPr>
        <w:t>AGREEMENT</w:t>
      </w:r>
      <w:r w:rsidRPr="00F62E3F">
        <w:rPr>
          <w:sz w:val="21"/>
          <w:szCs w:val="21"/>
        </w:rPr>
        <w:t xml:space="preserve"> OR THE USE, OPERATI</w:t>
      </w:r>
      <w:r w:rsidR="00A0296F" w:rsidRPr="00F62E3F">
        <w:rPr>
          <w:sz w:val="21"/>
          <w:szCs w:val="21"/>
        </w:rPr>
        <w:t xml:space="preserve">ON OR PERFORMANCE OF THE </w:t>
      </w:r>
      <w:r w:rsidR="00924CAF" w:rsidRPr="00F62E3F">
        <w:rPr>
          <w:sz w:val="21"/>
          <w:szCs w:val="21"/>
        </w:rPr>
        <w:t xml:space="preserve">PLATFORM </w:t>
      </w:r>
      <w:r w:rsidRPr="00F62E3F">
        <w:rPr>
          <w:sz w:val="21"/>
          <w:szCs w:val="21"/>
        </w:rPr>
        <w:t>SERVICES, WHETHER SUCH LIABILITY ARISES FROM ANY CLAIM BASED UPON CONTRACT, WARRANTY, TORT (INCLUDING NEGLIGENCE), PRODUCT LIABILITY OR OTHERWISE, AND WHETHER OR NOT TAVANT HAS BEEN ADVISED OF THE POSSIBILITY OF SUCH LOSS OR DAMAGE</w:t>
      </w:r>
      <w:r w:rsidR="004E3814" w:rsidRPr="00F62E3F">
        <w:rPr>
          <w:sz w:val="21"/>
          <w:szCs w:val="21"/>
        </w:rPr>
        <w:t>.</w:t>
      </w:r>
    </w:p>
    <w:p w14:paraId="52E92487" w14:textId="353E642F" w:rsidR="007C5099" w:rsidRPr="00F62E3F" w:rsidRDefault="007C5099" w:rsidP="000B31A7">
      <w:pPr>
        <w:pStyle w:val="Heading2"/>
        <w:shd w:val="clear" w:color="auto" w:fill="FFFFFF" w:themeFill="background1"/>
        <w:jc w:val="both"/>
        <w:rPr>
          <w:sz w:val="21"/>
          <w:szCs w:val="21"/>
        </w:rPr>
      </w:pPr>
      <w:r w:rsidRPr="00F62E3F">
        <w:rPr>
          <w:sz w:val="21"/>
          <w:szCs w:val="21"/>
        </w:rPr>
        <w:t xml:space="preserve">TAVANT’S TOTAL AGGREGATE LIABILITY ARISING UNDER THIS AGREEMENT, FROM ALL CAUSES OF ACTION AND ALL THEORIES OF LIABILITY, WILL NOT EXCEED THE AMOUNTS PAID OR PAYABLE TO TAVANT BY CUSTOMER UNDER THE APPLICABLE ORDER SCHEDULE FOR THE SPECIFIC PLATFORM SERVICES GIVING RISE TO A CLAIM FOR LIABILITY HEREUNDER, DURING THE TWELVE MONTHS PRECEDING THE CLAIM. </w:t>
      </w:r>
    </w:p>
    <w:p w14:paraId="552B2CA1" w14:textId="77777777" w:rsidR="007C5099" w:rsidRPr="00F62E3F" w:rsidRDefault="007C5099" w:rsidP="000B31A7">
      <w:pPr>
        <w:pStyle w:val="BodyText"/>
        <w:shd w:val="clear" w:color="auto" w:fill="FFFFFF" w:themeFill="background1"/>
        <w:rPr>
          <w:sz w:val="21"/>
          <w:szCs w:val="21"/>
        </w:rPr>
      </w:pPr>
    </w:p>
    <w:p w14:paraId="745BF14E" w14:textId="77777777" w:rsidR="00BE4ECE" w:rsidRPr="00F62E3F" w:rsidRDefault="00BE4ECE" w:rsidP="000B31A7">
      <w:pPr>
        <w:pStyle w:val="Heading1"/>
        <w:shd w:val="clear" w:color="auto" w:fill="FFFFFF" w:themeFill="background1"/>
        <w:tabs>
          <w:tab w:val="clear" w:pos="720"/>
        </w:tabs>
        <w:ind w:left="720" w:hanging="720"/>
        <w:jc w:val="both"/>
        <w:rPr>
          <w:b/>
          <w:sz w:val="21"/>
          <w:szCs w:val="21"/>
        </w:rPr>
      </w:pPr>
      <w:r w:rsidRPr="00F62E3F">
        <w:rPr>
          <w:b/>
          <w:sz w:val="21"/>
          <w:szCs w:val="21"/>
        </w:rPr>
        <w:t>TERM AND TERMINATION</w:t>
      </w:r>
    </w:p>
    <w:p w14:paraId="06452EDB" w14:textId="23B21629" w:rsidR="006D2160" w:rsidRPr="00F62E3F" w:rsidRDefault="006D2160" w:rsidP="000B31A7">
      <w:pPr>
        <w:pStyle w:val="Heading2"/>
        <w:shd w:val="clear" w:color="auto" w:fill="FFFFFF" w:themeFill="background1"/>
        <w:jc w:val="both"/>
        <w:rPr>
          <w:b/>
          <w:sz w:val="21"/>
          <w:szCs w:val="21"/>
        </w:rPr>
      </w:pPr>
      <w:r w:rsidRPr="00F62E3F">
        <w:rPr>
          <w:sz w:val="21"/>
          <w:szCs w:val="21"/>
          <w:u w:val="single"/>
        </w:rPr>
        <w:t>Agreement Term.</w:t>
      </w:r>
      <w:r w:rsidRPr="00F62E3F">
        <w:rPr>
          <w:sz w:val="21"/>
          <w:szCs w:val="21"/>
        </w:rPr>
        <w:t xml:space="preserve">  Subject to earlier termination by either Party in accordance with the terms of this Agre</w:t>
      </w:r>
      <w:r w:rsidRPr="00F62E3F">
        <w:rPr>
          <w:b/>
          <w:sz w:val="21"/>
          <w:szCs w:val="21"/>
        </w:rPr>
        <w:t>e</w:t>
      </w:r>
      <w:r w:rsidRPr="00F62E3F">
        <w:rPr>
          <w:sz w:val="21"/>
          <w:szCs w:val="21"/>
        </w:rPr>
        <w:t xml:space="preserve">ment, the Agreement will commence on the Effective Date and continue for a period of </w:t>
      </w:r>
      <w:r w:rsidR="00DD14A5">
        <w:rPr>
          <w:sz w:val="21"/>
          <w:szCs w:val="21"/>
        </w:rPr>
        <w:t>18 months</w:t>
      </w:r>
      <w:r w:rsidR="00352B99" w:rsidRPr="00733351">
        <w:rPr>
          <w:sz w:val="21"/>
          <w:szCs w:val="21"/>
        </w:rPr>
        <w:t xml:space="preserve"> (</w:t>
      </w:r>
      <w:r w:rsidR="00DD14A5">
        <w:rPr>
          <w:sz w:val="21"/>
          <w:szCs w:val="21"/>
        </w:rPr>
        <w:t>1.5</w:t>
      </w:r>
      <w:r w:rsidR="00352B99" w:rsidRPr="00733351">
        <w:rPr>
          <w:sz w:val="21"/>
          <w:szCs w:val="21"/>
        </w:rPr>
        <w:t>)</w:t>
      </w:r>
      <w:r w:rsidRPr="00F62E3F">
        <w:rPr>
          <w:sz w:val="21"/>
          <w:szCs w:val="21"/>
        </w:rPr>
        <w:t xml:space="preserve">  year</w:t>
      </w:r>
      <w:r w:rsidR="00D41069" w:rsidRPr="00F62E3F">
        <w:rPr>
          <w:sz w:val="21"/>
          <w:szCs w:val="21"/>
        </w:rPr>
        <w:t>s</w:t>
      </w:r>
      <w:r w:rsidRPr="00F62E3F">
        <w:rPr>
          <w:sz w:val="21"/>
          <w:szCs w:val="21"/>
        </w:rPr>
        <w:t xml:space="preserve"> (the “</w:t>
      </w:r>
      <w:r w:rsidRPr="00F62E3F">
        <w:rPr>
          <w:b/>
          <w:sz w:val="21"/>
          <w:szCs w:val="21"/>
        </w:rPr>
        <w:t>Initial Term</w:t>
      </w:r>
      <w:r w:rsidRPr="00F62E3F">
        <w:rPr>
          <w:sz w:val="21"/>
          <w:szCs w:val="21"/>
        </w:rPr>
        <w:t xml:space="preserve">”) after which the Agreement will automatically renew for </w:t>
      </w:r>
      <w:r w:rsidR="0027352D" w:rsidRPr="00F62E3F">
        <w:rPr>
          <w:sz w:val="21"/>
          <w:szCs w:val="21"/>
        </w:rPr>
        <w:t>successive one</w:t>
      </w:r>
      <w:r w:rsidRPr="00F62E3F">
        <w:rPr>
          <w:sz w:val="21"/>
          <w:szCs w:val="21"/>
        </w:rPr>
        <w:t>-year periods, unless either Party provides a notice of non-renewal to the other Party at least sixty (60) days before the end of the then current term (“</w:t>
      </w:r>
      <w:r w:rsidRPr="00F62E3F">
        <w:rPr>
          <w:b/>
          <w:sz w:val="21"/>
          <w:szCs w:val="21"/>
        </w:rPr>
        <w:t>Renewal Term</w:t>
      </w:r>
      <w:r w:rsidRPr="00F62E3F">
        <w:rPr>
          <w:sz w:val="21"/>
          <w:szCs w:val="21"/>
        </w:rPr>
        <w:t>”). Initial Term and Renewal Terms are collectively referred to as the “</w:t>
      </w:r>
      <w:r w:rsidRPr="00F62E3F">
        <w:rPr>
          <w:b/>
          <w:sz w:val="21"/>
          <w:szCs w:val="21"/>
        </w:rPr>
        <w:t>Term</w:t>
      </w:r>
      <w:r w:rsidRPr="00F62E3F">
        <w:rPr>
          <w:sz w:val="21"/>
          <w:szCs w:val="21"/>
        </w:rPr>
        <w:t xml:space="preserve">”. </w:t>
      </w:r>
    </w:p>
    <w:p w14:paraId="5B90554C" w14:textId="35A94DD5" w:rsidR="002541E9" w:rsidRPr="00F62E3F" w:rsidRDefault="002541E9" w:rsidP="000B31A7">
      <w:pPr>
        <w:pStyle w:val="Heading2"/>
        <w:shd w:val="clear" w:color="auto" w:fill="FFFFFF" w:themeFill="background1"/>
        <w:rPr>
          <w:sz w:val="21"/>
          <w:szCs w:val="21"/>
          <w:u w:val="single"/>
        </w:rPr>
      </w:pPr>
      <w:r w:rsidRPr="00F62E3F">
        <w:rPr>
          <w:sz w:val="21"/>
          <w:szCs w:val="21"/>
          <w:u w:val="single"/>
        </w:rPr>
        <w:lastRenderedPageBreak/>
        <w:t xml:space="preserve">Termination.  Either </w:t>
      </w:r>
      <w:r w:rsidR="00655DB5">
        <w:rPr>
          <w:sz w:val="21"/>
          <w:szCs w:val="21"/>
          <w:u w:val="single"/>
        </w:rPr>
        <w:t>P</w:t>
      </w:r>
      <w:r w:rsidRPr="00F62E3F">
        <w:rPr>
          <w:sz w:val="21"/>
          <w:szCs w:val="21"/>
          <w:u w:val="single"/>
        </w:rPr>
        <w:t xml:space="preserve">arty may terminate this Agreement immediately by giving notice to the other party if the other </w:t>
      </w:r>
      <w:r w:rsidR="00655DB5">
        <w:rPr>
          <w:sz w:val="21"/>
          <w:szCs w:val="21"/>
          <w:u w:val="single"/>
        </w:rPr>
        <w:t>P</w:t>
      </w:r>
      <w:r w:rsidRPr="00F62E3F">
        <w:rPr>
          <w:sz w:val="21"/>
          <w:szCs w:val="21"/>
          <w:u w:val="single"/>
        </w:rPr>
        <w:t xml:space="preserve">arty:  </w:t>
      </w:r>
    </w:p>
    <w:p w14:paraId="4B253454" w14:textId="77777777" w:rsidR="002541E9" w:rsidRPr="00F62E3F" w:rsidRDefault="002541E9" w:rsidP="000B31A7">
      <w:pPr>
        <w:pStyle w:val="Heading2"/>
        <w:numPr>
          <w:ilvl w:val="0"/>
          <w:numId w:val="0"/>
        </w:numPr>
        <w:shd w:val="clear" w:color="auto" w:fill="FFFFFF" w:themeFill="background1"/>
        <w:ind w:left="900"/>
        <w:rPr>
          <w:sz w:val="21"/>
          <w:szCs w:val="21"/>
          <w:u w:val="single"/>
        </w:rPr>
      </w:pPr>
    </w:p>
    <w:p w14:paraId="6D554DAF" w14:textId="4A346AD3" w:rsidR="002541E9" w:rsidRPr="00F62E3F" w:rsidRDefault="002541E9" w:rsidP="001901A9">
      <w:pPr>
        <w:pStyle w:val="Heading2"/>
        <w:numPr>
          <w:ilvl w:val="0"/>
          <w:numId w:val="14"/>
        </w:numPr>
        <w:shd w:val="clear" w:color="auto" w:fill="FFFFFF" w:themeFill="background1"/>
        <w:ind w:left="900"/>
        <w:rPr>
          <w:sz w:val="21"/>
          <w:szCs w:val="21"/>
          <w:u w:val="single"/>
        </w:rPr>
      </w:pPr>
      <w:r w:rsidRPr="00F62E3F">
        <w:rPr>
          <w:sz w:val="21"/>
          <w:szCs w:val="21"/>
          <w:u w:val="single"/>
        </w:rPr>
        <w:t xml:space="preserve">becomes </w:t>
      </w:r>
      <w:r w:rsidR="00B8294E" w:rsidRPr="00F62E3F">
        <w:rPr>
          <w:sz w:val="21"/>
          <w:szCs w:val="21"/>
          <w:u w:val="single"/>
        </w:rPr>
        <w:t>insolvent.</w:t>
      </w:r>
    </w:p>
    <w:p w14:paraId="7C92243D" w14:textId="0FCC0CFC" w:rsidR="002541E9" w:rsidRPr="00F62E3F" w:rsidRDefault="002541E9" w:rsidP="001901A9">
      <w:pPr>
        <w:pStyle w:val="Heading2"/>
        <w:numPr>
          <w:ilvl w:val="0"/>
          <w:numId w:val="14"/>
        </w:numPr>
        <w:shd w:val="clear" w:color="auto" w:fill="FFFFFF" w:themeFill="background1"/>
        <w:ind w:left="180" w:firstLine="720"/>
        <w:rPr>
          <w:sz w:val="21"/>
          <w:szCs w:val="21"/>
          <w:u w:val="single"/>
        </w:rPr>
      </w:pPr>
      <w:r w:rsidRPr="00F62E3F">
        <w:rPr>
          <w:sz w:val="21"/>
          <w:szCs w:val="21"/>
          <w:u w:val="single"/>
        </w:rPr>
        <w:t xml:space="preserve">files a petition in </w:t>
      </w:r>
      <w:r w:rsidR="00B8294E" w:rsidRPr="00F62E3F">
        <w:rPr>
          <w:sz w:val="21"/>
          <w:szCs w:val="21"/>
          <w:u w:val="single"/>
        </w:rPr>
        <w:t>bankruptcy.</w:t>
      </w:r>
    </w:p>
    <w:p w14:paraId="0D852722" w14:textId="77777777" w:rsidR="002541E9" w:rsidRPr="00F62E3F" w:rsidRDefault="002541E9" w:rsidP="001901A9">
      <w:pPr>
        <w:pStyle w:val="Heading2"/>
        <w:numPr>
          <w:ilvl w:val="0"/>
          <w:numId w:val="14"/>
        </w:numPr>
        <w:shd w:val="clear" w:color="auto" w:fill="FFFFFF" w:themeFill="background1"/>
        <w:ind w:left="180" w:firstLine="540"/>
        <w:rPr>
          <w:sz w:val="21"/>
          <w:szCs w:val="21"/>
          <w:u w:val="single"/>
        </w:rPr>
      </w:pPr>
      <w:r w:rsidRPr="00F62E3F">
        <w:rPr>
          <w:sz w:val="21"/>
          <w:szCs w:val="21"/>
          <w:u w:val="single"/>
        </w:rPr>
        <w:t xml:space="preserve">makes an assignment for the benefit of creditors; or </w:t>
      </w:r>
    </w:p>
    <w:p w14:paraId="483AF747" w14:textId="5F685FF9" w:rsidR="002541E9" w:rsidRPr="00F62E3F" w:rsidRDefault="002541E9" w:rsidP="001901A9">
      <w:pPr>
        <w:pStyle w:val="Heading2"/>
        <w:numPr>
          <w:ilvl w:val="0"/>
          <w:numId w:val="14"/>
        </w:numPr>
        <w:shd w:val="clear" w:color="auto" w:fill="FFFFFF" w:themeFill="background1"/>
        <w:ind w:left="900"/>
        <w:rPr>
          <w:sz w:val="21"/>
          <w:szCs w:val="21"/>
          <w:u w:val="single"/>
        </w:rPr>
      </w:pPr>
      <w:r w:rsidRPr="00F62E3F">
        <w:rPr>
          <w:sz w:val="21"/>
          <w:szCs w:val="21"/>
          <w:u w:val="single"/>
        </w:rPr>
        <w:t xml:space="preserve">commits a material breach of any of its obligations under this Agreement and such breach is not cured within thirty (30) days after notice of such breach is provided by the non-breaching </w:t>
      </w:r>
      <w:r w:rsidR="00655DB5">
        <w:rPr>
          <w:sz w:val="21"/>
          <w:szCs w:val="21"/>
          <w:u w:val="single"/>
        </w:rPr>
        <w:t>P</w:t>
      </w:r>
      <w:r w:rsidRPr="00F62E3F">
        <w:rPr>
          <w:sz w:val="21"/>
          <w:szCs w:val="21"/>
          <w:u w:val="single"/>
        </w:rPr>
        <w:t>arty.</w:t>
      </w:r>
      <w:r w:rsidR="00655DB5">
        <w:rPr>
          <w:sz w:val="21"/>
          <w:szCs w:val="21"/>
          <w:u w:val="single"/>
        </w:rPr>
        <w:t xml:space="preserve"> No payment of fees will be considered a material breach for the purpose of this Agreement. </w:t>
      </w:r>
    </w:p>
    <w:p w14:paraId="26324172" w14:textId="012F2A19" w:rsidR="00AE5759" w:rsidRPr="000B31A7" w:rsidRDefault="00AE5759" w:rsidP="000B31A7">
      <w:pPr>
        <w:pStyle w:val="Heading2"/>
        <w:shd w:val="clear" w:color="auto" w:fill="FFFFFF" w:themeFill="background1"/>
        <w:tabs>
          <w:tab w:val="clear" w:pos="1620"/>
        </w:tabs>
        <w:spacing w:after="0"/>
        <w:ind w:left="1260" w:hanging="540"/>
        <w:jc w:val="both"/>
        <w:rPr>
          <w:sz w:val="21"/>
          <w:szCs w:val="21"/>
        </w:rPr>
      </w:pPr>
      <w:r w:rsidRPr="000B31A7">
        <w:rPr>
          <w:sz w:val="21"/>
          <w:szCs w:val="21"/>
          <w:u w:val="single"/>
        </w:rPr>
        <w:t>Effect of Termination</w:t>
      </w:r>
      <w:r w:rsidRPr="000B31A7">
        <w:rPr>
          <w:sz w:val="21"/>
          <w:szCs w:val="21"/>
        </w:rPr>
        <w:t xml:space="preserve">.  Upon the expiration or termination of this </w:t>
      </w:r>
      <w:r w:rsidR="00FB3304" w:rsidRPr="000B31A7">
        <w:rPr>
          <w:sz w:val="21"/>
          <w:szCs w:val="21"/>
        </w:rPr>
        <w:t>Agreement</w:t>
      </w:r>
      <w:r w:rsidRPr="000B31A7">
        <w:rPr>
          <w:sz w:val="21"/>
          <w:szCs w:val="21"/>
        </w:rPr>
        <w:t xml:space="preserve">: (i) all </w:t>
      </w:r>
      <w:r w:rsidR="00201DA0" w:rsidRPr="000B31A7">
        <w:rPr>
          <w:sz w:val="21"/>
          <w:szCs w:val="21"/>
        </w:rPr>
        <w:t>Platform Services</w:t>
      </w:r>
      <w:r w:rsidR="00E963D4" w:rsidRPr="000B31A7">
        <w:rPr>
          <w:sz w:val="21"/>
          <w:szCs w:val="21"/>
        </w:rPr>
        <w:t xml:space="preserve"> </w:t>
      </w:r>
      <w:r w:rsidRPr="000B31A7">
        <w:rPr>
          <w:sz w:val="21"/>
          <w:szCs w:val="21"/>
        </w:rPr>
        <w:t xml:space="preserve">and other </w:t>
      </w:r>
      <w:r w:rsidR="00201DA0" w:rsidRPr="000B31A7">
        <w:rPr>
          <w:sz w:val="21"/>
          <w:szCs w:val="21"/>
        </w:rPr>
        <w:t>services</w:t>
      </w:r>
      <w:r w:rsidRPr="000B31A7">
        <w:rPr>
          <w:sz w:val="21"/>
          <w:szCs w:val="21"/>
        </w:rPr>
        <w:t xml:space="preserve"> purchased by Customer will terminate</w:t>
      </w:r>
      <w:r w:rsidR="00786C2D" w:rsidRPr="000B31A7">
        <w:rPr>
          <w:sz w:val="21"/>
          <w:szCs w:val="21"/>
        </w:rPr>
        <w:t>;</w:t>
      </w:r>
      <w:r w:rsidRPr="000B31A7">
        <w:rPr>
          <w:sz w:val="21"/>
          <w:szCs w:val="21"/>
        </w:rPr>
        <w:t xml:space="preserve"> (ii) </w:t>
      </w:r>
      <w:bookmarkStart w:id="3" w:name="_Hlk497135623"/>
      <w:r w:rsidRPr="000B31A7">
        <w:rPr>
          <w:sz w:val="21"/>
          <w:szCs w:val="21"/>
        </w:rPr>
        <w:t xml:space="preserve">Tavant will provide transition services as agreed to in the Agreement </w:t>
      </w:r>
      <w:bookmarkEnd w:id="3"/>
      <w:r w:rsidRPr="000B31A7">
        <w:rPr>
          <w:sz w:val="21"/>
          <w:szCs w:val="21"/>
        </w:rPr>
        <w:t xml:space="preserve">subject to Customer’s payment of applicable fees and charges thereof; (iii) each Party will promptly return to the other Party </w:t>
      </w:r>
      <w:r w:rsidR="002C4CE2" w:rsidRPr="000B31A7">
        <w:rPr>
          <w:sz w:val="21"/>
          <w:szCs w:val="21"/>
        </w:rPr>
        <w:t xml:space="preserve">(upon request) </w:t>
      </w:r>
      <w:r w:rsidRPr="000B31A7">
        <w:rPr>
          <w:sz w:val="21"/>
          <w:szCs w:val="21"/>
        </w:rPr>
        <w:t xml:space="preserve">all Confidential Information of the other Party in its possession or </w:t>
      </w:r>
      <w:r w:rsidR="00B8294E" w:rsidRPr="000B31A7">
        <w:rPr>
          <w:sz w:val="21"/>
          <w:szCs w:val="21"/>
        </w:rPr>
        <w:t>control; and</w:t>
      </w:r>
      <w:r w:rsidR="00D034F0" w:rsidRPr="000B31A7">
        <w:rPr>
          <w:sz w:val="21"/>
          <w:szCs w:val="21"/>
        </w:rPr>
        <w:t xml:space="preserve"> </w:t>
      </w:r>
      <w:r w:rsidRPr="000B31A7">
        <w:rPr>
          <w:sz w:val="21"/>
          <w:szCs w:val="21"/>
        </w:rPr>
        <w:t>(</w:t>
      </w:r>
      <w:r w:rsidR="00E963D4" w:rsidRPr="000B31A7">
        <w:rPr>
          <w:sz w:val="21"/>
          <w:szCs w:val="21"/>
        </w:rPr>
        <w:t>iv</w:t>
      </w:r>
      <w:r w:rsidRPr="000B31A7">
        <w:rPr>
          <w:sz w:val="21"/>
          <w:szCs w:val="21"/>
        </w:rPr>
        <w:t xml:space="preserve">) Customer will pay Tavant </w:t>
      </w:r>
      <w:r w:rsidR="0022183B" w:rsidRPr="000B31A7">
        <w:rPr>
          <w:sz w:val="21"/>
          <w:szCs w:val="21"/>
        </w:rPr>
        <w:t xml:space="preserve">within 30 days </w:t>
      </w:r>
      <w:r w:rsidR="006D41AE" w:rsidRPr="000B31A7">
        <w:rPr>
          <w:sz w:val="21"/>
          <w:szCs w:val="21"/>
        </w:rPr>
        <w:t xml:space="preserve">of </w:t>
      </w:r>
      <w:bookmarkStart w:id="4" w:name="_Hlk497135864"/>
      <w:r w:rsidR="00E26DAA" w:rsidRPr="000B31A7">
        <w:rPr>
          <w:sz w:val="21"/>
          <w:szCs w:val="21"/>
        </w:rPr>
        <w:t xml:space="preserve">the </w:t>
      </w:r>
      <w:r w:rsidR="002918B0" w:rsidRPr="000B31A7">
        <w:rPr>
          <w:sz w:val="21"/>
          <w:szCs w:val="21"/>
        </w:rPr>
        <w:t>a</w:t>
      </w:r>
      <w:r w:rsidR="00E26DAA" w:rsidRPr="000B31A7">
        <w:rPr>
          <w:sz w:val="21"/>
          <w:szCs w:val="21"/>
        </w:rPr>
        <w:t xml:space="preserve">cceptance </w:t>
      </w:r>
      <w:r w:rsidR="002918B0" w:rsidRPr="000B31A7">
        <w:rPr>
          <w:sz w:val="21"/>
          <w:szCs w:val="21"/>
        </w:rPr>
        <w:t>d</w:t>
      </w:r>
      <w:r w:rsidR="002003B5" w:rsidRPr="000B31A7">
        <w:rPr>
          <w:sz w:val="21"/>
          <w:szCs w:val="21"/>
        </w:rPr>
        <w:t xml:space="preserve">ate of </w:t>
      </w:r>
      <w:bookmarkEnd w:id="4"/>
      <w:r w:rsidR="006D41AE" w:rsidRPr="000B31A7">
        <w:rPr>
          <w:sz w:val="21"/>
          <w:szCs w:val="21"/>
        </w:rPr>
        <w:t xml:space="preserve">termination </w:t>
      </w:r>
      <w:r w:rsidRPr="000B31A7">
        <w:rPr>
          <w:sz w:val="21"/>
          <w:szCs w:val="21"/>
        </w:rPr>
        <w:t xml:space="preserve">any amount towards the </w:t>
      </w:r>
      <w:r w:rsidR="00201DA0" w:rsidRPr="000B31A7">
        <w:rPr>
          <w:sz w:val="21"/>
          <w:szCs w:val="21"/>
        </w:rPr>
        <w:t>Platform Services</w:t>
      </w:r>
      <w:r w:rsidR="00D034F0" w:rsidRPr="000B31A7">
        <w:rPr>
          <w:sz w:val="21"/>
          <w:szCs w:val="21"/>
        </w:rPr>
        <w:t xml:space="preserve"> or any other </w:t>
      </w:r>
      <w:r w:rsidRPr="000B31A7">
        <w:rPr>
          <w:sz w:val="21"/>
          <w:szCs w:val="21"/>
        </w:rPr>
        <w:t xml:space="preserve">Fees, as applicable, due and payable until the </w:t>
      </w:r>
      <w:r w:rsidR="00E26DAA" w:rsidRPr="000B31A7">
        <w:rPr>
          <w:sz w:val="21"/>
          <w:szCs w:val="21"/>
        </w:rPr>
        <w:t>E</w:t>
      </w:r>
      <w:r w:rsidRPr="000B31A7">
        <w:rPr>
          <w:sz w:val="21"/>
          <w:szCs w:val="21"/>
        </w:rPr>
        <w:t xml:space="preserve">ffective </w:t>
      </w:r>
      <w:r w:rsidR="00E26DAA" w:rsidRPr="000B31A7">
        <w:rPr>
          <w:sz w:val="21"/>
          <w:szCs w:val="21"/>
        </w:rPr>
        <w:t>D</w:t>
      </w:r>
      <w:r w:rsidRPr="000B31A7">
        <w:rPr>
          <w:sz w:val="21"/>
          <w:szCs w:val="21"/>
        </w:rPr>
        <w:t xml:space="preserve">ate of termination of the </w:t>
      </w:r>
      <w:r w:rsidR="00FB3304" w:rsidRPr="000B31A7">
        <w:rPr>
          <w:sz w:val="21"/>
          <w:szCs w:val="21"/>
        </w:rPr>
        <w:t>Agreement</w:t>
      </w:r>
      <w:r w:rsidR="00786C2D" w:rsidRPr="000B31A7">
        <w:rPr>
          <w:sz w:val="21"/>
          <w:szCs w:val="21"/>
        </w:rPr>
        <w:t xml:space="preserve">. In addition, if Customer terminates this </w:t>
      </w:r>
      <w:r w:rsidR="00FB3304" w:rsidRPr="000B31A7">
        <w:rPr>
          <w:sz w:val="21"/>
          <w:szCs w:val="21"/>
        </w:rPr>
        <w:t>Agreement</w:t>
      </w:r>
      <w:r w:rsidR="00786C2D" w:rsidRPr="000B31A7">
        <w:rPr>
          <w:sz w:val="21"/>
          <w:szCs w:val="21"/>
        </w:rPr>
        <w:t xml:space="preserve"> due to Tavant’s material breach of this </w:t>
      </w:r>
      <w:r w:rsidR="00FB3304" w:rsidRPr="000B31A7">
        <w:rPr>
          <w:sz w:val="21"/>
          <w:szCs w:val="21"/>
        </w:rPr>
        <w:t>Agreement</w:t>
      </w:r>
      <w:r w:rsidR="00786C2D" w:rsidRPr="000B31A7">
        <w:rPr>
          <w:sz w:val="21"/>
          <w:szCs w:val="21"/>
        </w:rPr>
        <w:t>, then</w:t>
      </w:r>
      <w:r w:rsidR="00871F7D" w:rsidRPr="000B31A7">
        <w:rPr>
          <w:sz w:val="21"/>
          <w:szCs w:val="21"/>
        </w:rPr>
        <w:t xml:space="preserve"> Tavant shall refund to Customer within 30 days of </w:t>
      </w:r>
      <w:r w:rsidR="00B3175A" w:rsidRPr="000B31A7">
        <w:rPr>
          <w:sz w:val="21"/>
          <w:szCs w:val="21"/>
        </w:rPr>
        <w:t xml:space="preserve">such </w:t>
      </w:r>
      <w:r w:rsidR="00871F7D" w:rsidRPr="000B31A7">
        <w:rPr>
          <w:sz w:val="21"/>
          <w:szCs w:val="21"/>
        </w:rPr>
        <w:t>termination</w:t>
      </w:r>
      <w:r w:rsidR="00B3175A" w:rsidRPr="000B31A7">
        <w:rPr>
          <w:sz w:val="21"/>
          <w:szCs w:val="21"/>
        </w:rPr>
        <w:t>,</w:t>
      </w:r>
      <w:r w:rsidR="00871F7D" w:rsidRPr="000B31A7">
        <w:rPr>
          <w:sz w:val="21"/>
          <w:szCs w:val="21"/>
        </w:rPr>
        <w:t xml:space="preserve"> any fees prepaid by Customer for </w:t>
      </w:r>
      <w:r w:rsidR="00B3175A" w:rsidRPr="000B31A7">
        <w:rPr>
          <w:sz w:val="21"/>
          <w:szCs w:val="21"/>
        </w:rPr>
        <w:t>S</w:t>
      </w:r>
      <w:r w:rsidR="00871F7D" w:rsidRPr="000B31A7">
        <w:rPr>
          <w:sz w:val="21"/>
          <w:szCs w:val="21"/>
        </w:rPr>
        <w:t>ervices that Customer has not received as of the termination</w:t>
      </w:r>
      <w:r w:rsidR="00B3175A" w:rsidRPr="000B31A7">
        <w:rPr>
          <w:sz w:val="21"/>
          <w:szCs w:val="21"/>
        </w:rPr>
        <w:t xml:space="preserve"> date. </w:t>
      </w:r>
      <w:r w:rsidRPr="000B31A7">
        <w:rPr>
          <w:sz w:val="21"/>
          <w:szCs w:val="21"/>
        </w:rPr>
        <w:t xml:space="preserve"> Customer will pay Tavant for any and all Customizations </w:t>
      </w:r>
      <w:r w:rsidR="00871F7D" w:rsidRPr="000B31A7">
        <w:rPr>
          <w:sz w:val="21"/>
          <w:szCs w:val="21"/>
        </w:rPr>
        <w:t xml:space="preserve">(pre-approved by Customer in writing) </w:t>
      </w:r>
      <w:r w:rsidRPr="000B31A7">
        <w:rPr>
          <w:sz w:val="21"/>
          <w:szCs w:val="21"/>
        </w:rPr>
        <w:t>developed by it, whether completed or work-in-progress, up to the</w:t>
      </w:r>
      <w:r w:rsidR="0022183B" w:rsidRPr="000B31A7">
        <w:rPr>
          <w:sz w:val="21"/>
          <w:szCs w:val="21"/>
        </w:rPr>
        <w:t xml:space="preserve"> date</w:t>
      </w:r>
      <w:r w:rsidRPr="000B31A7">
        <w:rPr>
          <w:sz w:val="21"/>
          <w:szCs w:val="21"/>
        </w:rPr>
        <w:t xml:space="preserve"> of termination of this </w:t>
      </w:r>
      <w:r w:rsidR="00FB3304" w:rsidRPr="000B31A7">
        <w:rPr>
          <w:sz w:val="21"/>
          <w:szCs w:val="21"/>
        </w:rPr>
        <w:t>Agreement</w:t>
      </w:r>
      <w:r w:rsidR="00822A68" w:rsidRPr="000B31A7">
        <w:rPr>
          <w:sz w:val="21"/>
          <w:szCs w:val="21"/>
        </w:rPr>
        <w:t>; it being understood that Customizations ordered under an Order Schedule or SOW will be considered pre-approved by Customer</w:t>
      </w:r>
      <w:r w:rsidRPr="000B31A7">
        <w:rPr>
          <w:sz w:val="21"/>
          <w:szCs w:val="21"/>
        </w:rPr>
        <w:t xml:space="preserve">.  Upon termination or expiration of this </w:t>
      </w:r>
      <w:r w:rsidR="00FB3304" w:rsidRPr="000B31A7">
        <w:rPr>
          <w:sz w:val="21"/>
          <w:szCs w:val="21"/>
        </w:rPr>
        <w:t>Agreement</w:t>
      </w:r>
      <w:r w:rsidRPr="000B31A7">
        <w:rPr>
          <w:sz w:val="21"/>
          <w:szCs w:val="21"/>
        </w:rPr>
        <w:t xml:space="preserve"> , Customer may transition to a third-party service provider which will provide services to Customer with respect to Customer Data within </w:t>
      </w:r>
      <w:r w:rsidR="006D2160" w:rsidRPr="000B31A7">
        <w:rPr>
          <w:sz w:val="21"/>
          <w:szCs w:val="21"/>
        </w:rPr>
        <w:t xml:space="preserve">sixty </w:t>
      </w:r>
      <w:r w:rsidRPr="000B31A7">
        <w:rPr>
          <w:sz w:val="21"/>
          <w:szCs w:val="21"/>
        </w:rPr>
        <w:t>(</w:t>
      </w:r>
      <w:r w:rsidR="006D6AEF" w:rsidRPr="000B31A7">
        <w:rPr>
          <w:sz w:val="21"/>
          <w:szCs w:val="21"/>
        </w:rPr>
        <w:t>6</w:t>
      </w:r>
      <w:r w:rsidRPr="000B31A7">
        <w:rPr>
          <w:sz w:val="21"/>
          <w:szCs w:val="21"/>
        </w:rPr>
        <w:t xml:space="preserve">0) days from the effective date of termination or expiration, and Tavant will, subject to Customer’s payment of additional fees </w:t>
      </w:r>
      <w:r w:rsidR="00B74821" w:rsidRPr="000B31A7">
        <w:rPr>
          <w:sz w:val="21"/>
          <w:szCs w:val="21"/>
        </w:rPr>
        <w:t xml:space="preserve">(equal to most recent fees paid under this </w:t>
      </w:r>
      <w:r w:rsidR="00FB3304" w:rsidRPr="000B31A7">
        <w:rPr>
          <w:sz w:val="21"/>
          <w:szCs w:val="21"/>
        </w:rPr>
        <w:t>Agreement</w:t>
      </w:r>
      <w:r w:rsidR="00B74821" w:rsidRPr="000B31A7">
        <w:rPr>
          <w:sz w:val="21"/>
          <w:szCs w:val="21"/>
        </w:rPr>
        <w:t xml:space="preserve">) </w:t>
      </w:r>
      <w:r w:rsidRPr="000B31A7">
        <w:rPr>
          <w:sz w:val="21"/>
          <w:szCs w:val="21"/>
        </w:rPr>
        <w:t xml:space="preserve">for such transition services and fulfillment of all obligations under this </w:t>
      </w:r>
      <w:r w:rsidR="00FB3304" w:rsidRPr="000B31A7">
        <w:rPr>
          <w:sz w:val="21"/>
          <w:szCs w:val="21"/>
        </w:rPr>
        <w:t>Agreement</w:t>
      </w:r>
      <w:r w:rsidRPr="000B31A7">
        <w:rPr>
          <w:sz w:val="21"/>
          <w:szCs w:val="21"/>
        </w:rPr>
        <w:t xml:space="preserve"> (including without limitation payment of all Fees), reasonably cooperate with Customer during such </w:t>
      </w:r>
      <w:r w:rsidR="006D2160" w:rsidRPr="000B31A7">
        <w:rPr>
          <w:sz w:val="21"/>
          <w:szCs w:val="21"/>
        </w:rPr>
        <w:t xml:space="preserve">sixty </w:t>
      </w:r>
      <w:r w:rsidRPr="000B31A7">
        <w:rPr>
          <w:sz w:val="21"/>
          <w:szCs w:val="21"/>
        </w:rPr>
        <w:t>(</w:t>
      </w:r>
      <w:r w:rsidR="006D6AEF" w:rsidRPr="000B31A7">
        <w:rPr>
          <w:sz w:val="21"/>
          <w:szCs w:val="21"/>
        </w:rPr>
        <w:t>6</w:t>
      </w:r>
      <w:r w:rsidR="006D2160" w:rsidRPr="000B31A7">
        <w:rPr>
          <w:sz w:val="21"/>
          <w:szCs w:val="21"/>
        </w:rPr>
        <w:t>0</w:t>
      </w:r>
      <w:r w:rsidRPr="000B31A7">
        <w:rPr>
          <w:sz w:val="21"/>
          <w:szCs w:val="21"/>
        </w:rPr>
        <w:t>) days period, at Customer’s expense, in such transition.</w:t>
      </w:r>
      <w:r w:rsidR="00822A68" w:rsidRPr="000B31A7">
        <w:rPr>
          <w:sz w:val="21"/>
          <w:szCs w:val="21"/>
        </w:rPr>
        <w:t xml:space="preserve"> </w:t>
      </w:r>
    </w:p>
    <w:p w14:paraId="71057E3D" w14:textId="77777777" w:rsidR="007C5099" w:rsidRPr="00F62E3F" w:rsidRDefault="007C5099" w:rsidP="000B31A7">
      <w:pPr>
        <w:pStyle w:val="BodyText"/>
        <w:shd w:val="clear" w:color="auto" w:fill="FFFFFF" w:themeFill="background1"/>
        <w:ind w:left="1260"/>
        <w:rPr>
          <w:sz w:val="21"/>
          <w:szCs w:val="21"/>
        </w:rPr>
      </w:pPr>
    </w:p>
    <w:p w14:paraId="7AC8E377" w14:textId="3772C06D" w:rsidR="00AE5759" w:rsidRPr="00F62E3F" w:rsidRDefault="00AE5759" w:rsidP="000B31A7">
      <w:pPr>
        <w:pStyle w:val="Heading2"/>
        <w:shd w:val="clear" w:color="auto" w:fill="FFFFFF" w:themeFill="background1"/>
        <w:jc w:val="both"/>
        <w:rPr>
          <w:sz w:val="21"/>
          <w:szCs w:val="21"/>
        </w:rPr>
      </w:pPr>
      <w:r w:rsidRPr="00F62E3F">
        <w:rPr>
          <w:sz w:val="21"/>
          <w:szCs w:val="21"/>
          <w:u w:val="single"/>
        </w:rPr>
        <w:t>Survival</w:t>
      </w:r>
      <w:r w:rsidRPr="00F62E3F">
        <w:rPr>
          <w:sz w:val="21"/>
          <w:szCs w:val="21"/>
        </w:rPr>
        <w:t xml:space="preserve">.  The rights and obligations of Tavant and Customer contained in </w:t>
      </w:r>
      <w:r w:rsidR="007C5099" w:rsidRPr="00F62E3F">
        <w:rPr>
          <w:b/>
          <w:bCs/>
          <w:sz w:val="21"/>
          <w:szCs w:val="21"/>
        </w:rPr>
        <w:t>Sections 1, 4</w:t>
      </w:r>
      <w:r w:rsidR="007C5099" w:rsidRPr="00F62E3F">
        <w:rPr>
          <w:b/>
          <w:sz w:val="21"/>
          <w:szCs w:val="21"/>
        </w:rPr>
        <w:t xml:space="preserve">, </w:t>
      </w:r>
      <w:r w:rsidR="007C5099" w:rsidRPr="00F62E3F">
        <w:rPr>
          <w:b/>
          <w:bCs/>
          <w:sz w:val="21"/>
          <w:szCs w:val="21"/>
        </w:rPr>
        <w:t>5</w:t>
      </w:r>
      <w:r w:rsidR="007C5099" w:rsidRPr="00F62E3F">
        <w:rPr>
          <w:b/>
          <w:sz w:val="21"/>
          <w:szCs w:val="21"/>
        </w:rPr>
        <w:t xml:space="preserve">, </w:t>
      </w:r>
      <w:r w:rsidR="007C5099" w:rsidRPr="00F62E3F">
        <w:rPr>
          <w:b/>
          <w:bCs/>
          <w:sz w:val="21"/>
          <w:szCs w:val="21"/>
        </w:rPr>
        <w:t>6</w:t>
      </w:r>
      <w:r w:rsidR="007C5099" w:rsidRPr="00F62E3F">
        <w:rPr>
          <w:b/>
          <w:sz w:val="21"/>
          <w:szCs w:val="21"/>
        </w:rPr>
        <w:t xml:space="preserve">, 7, </w:t>
      </w:r>
      <w:r w:rsidR="007C5099" w:rsidRPr="00F62E3F">
        <w:rPr>
          <w:b/>
          <w:bCs/>
          <w:sz w:val="21"/>
          <w:szCs w:val="21"/>
        </w:rPr>
        <w:t xml:space="preserve">8, 9 and </w:t>
      </w:r>
      <w:r w:rsidR="00B8294E" w:rsidRPr="00F62E3F">
        <w:rPr>
          <w:b/>
          <w:bCs/>
          <w:sz w:val="21"/>
          <w:szCs w:val="21"/>
        </w:rPr>
        <w:t>10</w:t>
      </w:r>
      <w:r w:rsidR="00B8294E" w:rsidRPr="00F62E3F">
        <w:rPr>
          <w:bCs/>
          <w:sz w:val="21"/>
          <w:szCs w:val="21"/>
        </w:rPr>
        <w:t xml:space="preserve"> </w:t>
      </w:r>
      <w:r w:rsidR="00B8294E" w:rsidRPr="00F62E3F">
        <w:rPr>
          <w:b/>
          <w:bCs/>
          <w:sz w:val="21"/>
          <w:szCs w:val="21"/>
        </w:rPr>
        <w:t>of</w:t>
      </w:r>
      <w:r w:rsidR="00871F7D" w:rsidRPr="00F62E3F">
        <w:rPr>
          <w:bCs/>
          <w:sz w:val="21"/>
          <w:szCs w:val="21"/>
        </w:rPr>
        <w:t xml:space="preserve"> this </w:t>
      </w:r>
      <w:r w:rsidR="00FB3304" w:rsidRPr="00F62E3F">
        <w:rPr>
          <w:bCs/>
          <w:sz w:val="21"/>
          <w:szCs w:val="21"/>
        </w:rPr>
        <w:t>Agreement</w:t>
      </w:r>
      <w:r w:rsidR="00871F7D" w:rsidRPr="00F62E3F">
        <w:rPr>
          <w:b/>
          <w:bCs/>
          <w:sz w:val="21"/>
          <w:szCs w:val="21"/>
        </w:rPr>
        <w:t xml:space="preserve"> </w:t>
      </w:r>
      <w:r w:rsidRPr="00F62E3F">
        <w:rPr>
          <w:sz w:val="21"/>
          <w:szCs w:val="21"/>
        </w:rPr>
        <w:t xml:space="preserve">will survive any expiration or termination of this </w:t>
      </w:r>
      <w:r w:rsidR="00FB3304" w:rsidRPr="00F62E3F">
        <w:rPr>
          <w:sz w:val="21"/>
          <w:szCs w:val="21"/>
        </w:rPr>
        <w:t>Agreement</w:t>
      </w:r>
      <w:r w:rsidRPr="00F62E3F">
        <w:rPr>
          <w:sz w:val="21"/>
          <w:szCs w:val="21"/>
        </w:rPr>
        <w:t xml:space="preserve"> or the Agreement.</w:t>
      </w:r>
    </w:p>
    <w:p w14:paraId="03CD1370" w14:textId="1A9AABF2" w:rsidR="002C3CAD" w:rsidRPr="00F62E3F" w:rsidRDefault="002C3CAD" w:rsidP="000B31A7">
      <w:pPr>
        <w:pStyle w:val="Heading1"/>
        <w:shd w:val="clear" w:color="auto" w:fill="FFFFFF" w:themeFill="background1"/>
        <w:jc w:val="both"/>
        <w:rPr>
          <w:b/>
          <w:sz w:val="21"/>
          <w:szCs w:val="21"/>
        </w:rPr>
      </w:pPr>
      <w:r w:rsidRPr="00F62E3F">
        <w:rPr>
          <w:b/>
          <w:sz w:val="21"/>
          <w:szCs w:val="21"/>
        </w:rPr>
        <w:t>MISCELLANEOUS</w:t>
      </w:r>
    </w:p>
    <w:p w14:paraId="768C63C4" w14:textId="16B49FF6" w:rsidR="00957973" w:rsidRPr="00F62E3F" w:rsidRDefault="00957973" w:rsidP="000B31A7">
      <w:pPr>
        <w:pStyle w:val="Heading2"/>
        <w:shd w:val="clear" w:color="auto" w:fill="FFFFFF" w:themeFill="background1"/>
        <w:jc w:val="both"/>
        <w:rPr>
          <w:sz w:val="21"/>
          <w:szCs w:val="21"/>
        </w:rPr>
      </w:pPr>
      <w:r w:rsidRPr="000B31A7">
        <w:rPr>
          <w:sz w:val="21"/>
          <w:szCs w:val="21"/>
          <w:u w:val="single"/>
        </w:rPr>
        <w:t>Governing Law and Venue</w:t>
      </w:r>
      <w:r w:rsidRPr="000B31A7">
        <w:rPr>
          <w:sz w:val="21"/>
          <w:szCs w:val="21"/>
        </w:rPr>
        <w:t>. This Agreement and any disputes arising under, in connection with, or</w:t>
      </w:r>
      <w:r w:rsidR="00ED67FE" w:rsidRPr="000B31A7">
        <w:rPr>
          <w:sz w:val="21"/>
          <w:szCs w:val="21"/>
        </w:rPr>
        <w:t xml:space="preserve"> </w:t>
      </w:r>
      <w:r w:rsidRPr="00F62E3F">
        <w:rPr>
          <w:sz w:val="21"/>
          <w:szCs w:val="21"/>
        </w:rPr>
        <w:t>relating to this Agreement will be governed by the laws of the State of</w:t>
      </w:r>
      <w:r w:rsidR="006A458F">
        <w:rPr>
          <w:sz w:val="21"/>
          <w:szCs w:val="21"/>
        </w:rPr>
        <w:t xml:space="preserve"> </w:t>
      </w:r>
      <w:r w:rsidR="009D2D4B" w:rsidRPr="00F62E3F">
        <w:rPr>
          <w:sz w:val="21"/>
          <w:szCs w:val="21"/>
        </w:rPr>
        <w:t>California</w:t>
      </w:r>
      <w:r w:rsidRPr="00F62E3F">
        <w:rPr>
          <w:sz w:val="21"/>
          <w:szCs w:val="21"/>
        </w:rPr>
        <w:t>, excluding its conflicts</w:t>
      </w:r>
      <w:r w:rsidR="00ED67FE" w:rsidRPr="00F62E3F">
        <w:rPr>
          <w:sz w:val="21"/>
          <w:szCs w:val="21"/>
        </w:rPr>
        <w:t xml:space="preserve"> </w:t>
      </w:r>
      <w:r w:rsidRPr="00F62E3F">
        <w:rPr>
          <w:sz w:val="21"/>
          <w:szCs w:val="21"/>
        </w:rPr>
        <w:t xml:space="preserve">of law rules. Venue shall be in the home state of the defending </w:t>
      </w:r>
      <w:r w:rsidR="003418AD">
        <w:rPr>
          <w:sz w:val="21"/>
          <w:szCs w:val="21"/>
        </w:rPr>
        <w:t>P</w:t>
      </w:r>
      <w:r w:rsidRPr="00F62E3F">
        <w:rPr>
          <w:sz w:val="21"/>
          <w:szCs w:val="21"/>
        </w:rPr>
        <w:t>arty.</w:t>
      </w:r>
    </w:p>
    <w:p w14:paraId="02DC555C" w14:textId="76A7A061" w:rsidR="00957973" w:rsidRPr="00F62E3F" w:rsidRDefault="00957973" w:rsidP="000B31A7">
      <w:pPr>
        <w:shd w:val="clear" w:color="auto" w:fill="FFFFFF" w:themeFill="background1"/>
        <w:ind w:left="180"/>
        <w:rPr>
          <w:sz w:val="21"/>
          <w:szCs w:val="21"/>
        </w:rPr>
      </w:pPr>
    </w:p>
    <w:p w14:paraId="57A0C146" w14:textId="410377D7" w:rsidR="00957973" w:rsidRPr="00F62E3F" w:rsidRDefault="00957973" w:rsidP="000B31A7">
      <w:pPr>
        <w:pStyle w:val="Heading2"/>
        <w:shd w:val="clear" w:color="auto" w:fill="FFFFFF" w:themeFill="background1"/>
        <w:jc w:val="both"/>
        <w:rPr>
          <w:sz w:val="21"/>
          <w:szCs w:val="21"/>
        </w:rPr>
      </w:pPr>
      <w:r w:rsidRPr="000B31A7">
        <w:rPr>
          <w:sz w:val="21"/>
          <w:szCs w:val="21"/>
          <w:u w:val="single"/>
        </w:rPr>
        <w:t>Compliance with Laws</w:t>
      </w:r>
      <w:r w:rsidRPr="00F62E3F">
        <w:rPr>
          <w:sz w:val="21"/>
          <w:szCs w:val="21"/>
        </w:rPr>
        <w:t xml:space="preserve">. Each </w:t>
      </w:r>
      <w:r w:rsidR="003418AD">
        <w:rPr>
          <w:sz w:val="21"/>
          <w:szCs w:val="21"/>
        </w:rPr>
        <w:t>Party</w:t>
      </w:r>
      <w:r w:rsidRPr="00F62E3F">
        <w:rPr>
          <w:sz w:val="21"/>
          <w:szCs w:val="21"/>
        </w:rPr>
        <w:t xml:space="preserve"> will perform all of its activities, obligations and responsibilities</w:t>
      </w:r>
      <w:r w:rsidR="00863723" w:rsidRPr="00F62E3F">
        <w:rPr>
          <w:sz w:val="21"/>
          <w:szCs w:val="21"/>
        </w:rPr>
        <w:t xml:space="preserve"> </w:t>
      </w:r>
      <w:r w:rsidRPr="00F62E3F">
        <w:rPr>
          <w:sz w:val="21"/>
          <w:szCs w:val="21"/>
        </w:rPr>
        <w:t xml:space="preserve">contemplated under this Agreement in compliance with all applicable </w:t>
      </w:r>
      <w:r w:rsidR="00805C85">
        <w:rPr>
          <w:sz w:val="21"/>
          <w:szCs w:val="21"/>
        </w:rPr>
        <w:t>l</w:t>
      </w:r>
      <w:r w:rsidRPr="00F62E3F">
        <w:rPr>
          <w:sz w:val="21"/>
          <w:szCs w:val="21"/>
        </w:rPr>
        <w:t>aws and will obtain all licenses</w:t>
      </w:r>
      <w:r w:rsidR="00863723" w:rsidRPr="00F62E3F">
        <w:rPr>
          <w:sz w:val="21"/>
          <w:szCs w:val="21"/>
        </w:rPr>
        <w:t xml:space="preserve"> </w:t>
      </w:r>
      <w:r w:rsidRPr="00F62E3F">
        <w:rPr>
          <w:sz w:val="21"/>
          <w:szCs w:val="21"/>
        </w:rPr>
        <w:t xml:space="preserve">or permits as may be required by any applicable </w:t>
      </w:r>
      <w:r w:rsidR="00805C85">
        <w:rPr>
          <w:sz w:val="21"/>
          <w:szCs w:val="21"/>
        </w:rPr>
        <w:t>l</w:t>
      </w:r>
      <w:r w:rsidRPr="00F62E3F">
        <w:rPr>
          <w:sz w:val="21"/>
          <w:szCs w:val="21"/>
        </w:rPr>
        <w:t>aws in order to conduct the activities contemplated</w:t>
      </w:r>
      <w:r w:rsidR="00863723" w:rsidRPr="00F62E3F">
        <w:rPr>
          <w:sz w:val="21"/>
          <w:szCs w:val="21"/>
        </w:rPr>
        <w:t xml:space="preserve"> </w:t>
      </w:r>
      <w:r w:rsidRPr="00F62E3F">
        <w:rPr>
          <w:sz w:val="21"/>
          <w:szCs w:val="21"/>
        </w:rPr>
        <w:t xml:space="preserve">hereunder. Each </w:t>
      </w:r>
      <w:r w:rsidR="003418AD">
        <w:rPr>
          <w:sz w:val="21"/>
          <w:szCs w:val="21"/>
        </w:rPr>
        <w:t>Party</w:t>
      </w:r>
      <w:r w:rsidRPr="00F62E3F">
        <w:rPr>
          <w:sz w:val="21"/>
          <w:szCs w:val="21"/>
        </w:rPr>
        <w:t xml:space="preserve"> shall be responsible for all applicable customer privacy and consumer legal</w:t>
      </w:r>
      <w:r w:rsidR="00863723" w:rsidRPr="00F62E3F">
        <w:rPr>
          <w:sz w:val="21"/>
          <w:szCs w:val="21"/>
        </w:rPr>
        <w:t xml:space="preserve"> </w:t>
      </w:r>
      <w:r w:rsidRPr="00F62E3F">
        <w:rPr>
          <w:sz w:val="21"/>
          <w:szCs w:val="21"/>
        </w:rPr>
        <w:t>disclosures and regulatory compliance required or recommended under applicable Laws for each</w:t>
      </w:r>
      <w:r w:rsidR="00863723" w:rsidRPr="00F62E3F">
        <w:rPr>
          <w:sz w:val="21"/>
          <w:szCs w:val="21"/>
        </w:rPr>
        <w:t xml:space="preserve"> </w:t>
      </w:r>
      <w:r w:rsidR="003418AD">
        <w:rPr>
          <w:sz w:val="21"/>
          <w:szCs w:val="21"/>
        </w:rPr>
        <w:t>Party</w:t>
      </w:r>
      <w:r w:rsidRPr="000B31A7">
        <w:rPr>
          <w:sz w:val="21"/>
          <w:szCs w:val="21"/>
        </w:rPr>
        <w:t>’</w:t>
      </w:r>
      <w:r w:rsidRPr="00F62E3F">
        <w:rPr>
          <w:sz w:val="21"/>
          <w:szCs w:val="21"/>
        </w:rPr>
        <w:t xml:space="preserve">s respective </w:t>
      </w:r>
      <w:r w:rsidRPr="00F62E3F">
        <w:rPr>
          <w:sz w:val="21"/>
          <w:szCs w:val="21"/>
        </w:rPr>
        <w:lastRenderedPageBreak/>
        <w:t xml:space="preserve">business. Each </w:t>
      </w:r>
      <w:r w:rsidR="003418AD">
        <w:rPr>
          <w:sz w:val="21"/>
          <w:szCs w:val="21"/>
        </w:rPr>
        <w:t>Party</w:t>
      </w:r>
      <w:r w:rsidRPr="00F62E3F">
        <w:rPr>
          <w:sz w:val="21"/>
          <w:szCs w:val="21"/>
        </w:rPr>
        <w:t xml:space="preserve"> shall, as applicable: (a) acquire and maintain in effect all</w:t>
      </w:r>
      <w:r w:rsidR="00863723" w:rsidRPr="00F62E3F">
        <w:rPr>
          <w:sz w:val="21"/>
          <w:szCs w:val="21"/>
        </w:rPr>
        <w:t xml:space="preserve"> </w:t>
      </w:r>
      <w:r w:rsidRPr="00F62E3F">
        <w:rPr>
          <w:sz w:val="21"/>
          <w:szCs w:val="21"/>
        </w:rPr>
        <w:t>governmental regulatory authorizations, licenses and permits of every type from every state or federal</w:t>
      </w:r>
      <w:r w:rsidR="00863723" w:rsidRPr="00F62E3F">
        <w:rPr>
          <w:sz w:val="21"/>
          <w:szCs w:val="21"/>
        </w:rPr>
        <w:t xml:space="preserve"> </w:t>
      </w:r>
      <w:r w:rsidRPr="00F62E3F">
        <w:rPr>
          <w:sz w:val="21"/>
          <w:szCs w:val="21"/>
        </w:rPr>
        <w:t xml:space="preserve">agency necessary for the business and operations of each respective </w:t>
      </w:r>
      <w:r w:rsidR="003418AD">
        <w:rPr>
          <w:sz w:val="21"/>
          <w:szCs w:val="21"/>
        </w:rPr>
        <w:t>Party</w:t>
      </w:r>
      <w:r w:rsidRPr="00F62E3F">
        <w:rPr>
          <w:sz w:val="21"/>
          <w:szCs w:val="21"/>
        </w:rPr>
        <w:t>; and (b) otherwise</w:t>
      </w:r>
      <w:r w:rsidR="00863723" w:rsidRPr="00F62E3F">
        <w:rPr>
          <w:sz w:val="21"/>
          <w:szCs w:val="21"/>
        </w:rPr>
        <w:t xml:space="preserve"> </w:t>
      </w:r>
      <w:r w:rsidRPr="00F62E3F">
        <w:rPr>
          <w:sz w:val="21"/>
          <w:szCs w:val="21"/>
        </w:rPr>
        <w:t xml:space="preserve">arrangements to operate in compliance with applicable Laws. Each </w:t>
      </w:r>
      <w:r w:rsidR="003418AD">
        <w:rPr>
          <w:sz w:val="21"/>
          <w:szCs w:val="21"/>
        </w:rPr>
        <w:t>Party</w:t>
      </w:r>
      <w:r w:rsidRPr="00F62E3F">
        <w:rPr>
          <w:sz w:val="21"/>
          <w:szCs w:val="21"/>
        </w:rPr>
        <w:t xml:space="preserve"> is responsible for legal</w:t>
      </w:r>
      <w:r w:rsidR="00863723" w:rsidRPr="00F62E3F">
        <w:rPr>
          <w:sz w:val="21"/>
          <w:szCs w:val="21"/>
        </w:rPr>
        <w:t xml:space="preserve"> </w:t>
      </w:r>
      <w:r w:rsidRPr="00F62E3F">
        <w:rPr>
          <w:sz w:val="21"/>
          <w:szCs w:val="21"/>
        </w:rPr>
        <w:t>compliance and monitoring of its own respective website for legal and regulatory compliance.</w:t>
      </w:r>
    </w:p>
    <w:p w14:paraId="4D2382E1" w14:textId="77777777" w:rsidR="00957973" w:rsidRPr="00F62E3F" w:rsidRDefault="00957973" w:rsidP="000B31A7">
      <w:pPr>
        <w:shd w:val="clear" w:color="auto" w:fill="FFFFFF" w:themeFill="background1"/>
        <w:ind w:left="180"/>
        <w:rPr>
          <w:sz w:val="21"/>
          <w:szCs w:val="21"/>
        </w:rPr>
      </w:pPr>
      <w:r w:rsidRPr="000B31A7">
        <w:rPr>
          <w:sz w:val="21"/>
          <w:szCs w:val="21"/>
        </w:rPr>
        <w:t> </w:t>
      </w:r>
    </w:p>
    <w:p w14:paraId="0DB20AFD" w14:textId="52739C40" w:rsidR="00957973" w:rsidRPr="00F62E3F" w:rsidRDefault="00957973" w:rsidP="000B31A7">
      <w:pPr>
        <w:pStyle w:val="Heading2"/>
        <w:shd w:val="clear" w:color="auto" w:fill="FFFFFF" w:themeFill="background1"/>
        <w:jc w:val="both"/>
        <w:rPr>
          <w:sz w:val="21"/>
          <w:szCs w:val="21"/>
        </w:rPr>
      </w:pPr>
      <w:r w:rsidRPr="000B31A7">
        <w:rPr>
          <w:sz w:val="21"/>
          <w:szCs w:val="21"/>
          <w:u w:val="single"/>
        </w:rPr>
        <w:t>Assignment</w:t>
      </w:r>
      <w:r w:rsidRPr="00F62E3F">
        <w:rPr>
          <w:sz w:val="21"/>
          <w:szCs w:val="21"/>
        </w:rPr>
        <w:t xml:space="preserve">. Neither </w:t>
      </w:r>
      <w:r w:rsidR="003418AD">
        <w:rPr>
          <w:sz w:val="21"/>
          <w:szCs w:val="21"/>
        </w:rPr>
        <w:t>Party</w:t>
      </w:r>
      <w:r w:rsidRPr="00F62E3F">
        <w:rPr>
          <w:sz w:val="21"/>
          <w:szCs w:val="21"/>
        </w:rPr>
        <w:t xml:space="preserve"> may assign or transfer its rights or obligations under this Agreement without</w:t>
      </w:r>
      <w:r w:rsidR="00863723" w:rsidRPr="00F62E3F">
        <w:rPr>
          <w:sz w:val="21"/>
          <w:szCs w:val="21"/>
        </w:rPr>
        <w:t xml:space="preserve"> </w:t>
      </w:r>
      <w:r w:rsidRPr="00F62E3F">
        <w:rPr>
          <w:sz w:val="21"/>
          <w:szCs w:val="21"/>
        </w:rPr>
        <w:t xml:space="preserve">the prior written permission of the other </w:t>
      </w:r>
      <w:r w:rsidR="003418AD">
        <w:rPr>
          <w:sz w:val="21"/>
          <w:szCs w:val="21"/>
        </w:rPr>
        <w:t>Party</w:t>
      </w:r>
      <w:r w:rsidR="001A7045" w:rsidRPr="00F62E3F">
        <w:rPr>
          <w:sz w:val="21"/>
          <w:szCs w:val="21"/>
        </w:rPr>
        <w:t xml:space="preserve"> </w:t>
      </w:r>
      <w:r w:rsidR="001A7045" w:rsidRPr="000B31A7">
        <w:rPr>
          <w:sz w:val="21"/>
          <w:szCs w:val="21"/>
        </w:rPr>
        <w:t xml:space="preserve">except in connection with a merger, consolidation, or sale of all or substantially all of a </w:t>
      </w:r>
      <w:r w:rsidR="003418AD">
        <w:rPr>
          <w:sz w:val="21"/>
          <w:szCs w:val="21"/>
        </w:rPr>
        <w:t>Party</w:t>
      </w:r>
      <w:r w:rsidR="001A7045" w:rsidRPr="000B31A7">
        <w:rPr>
          <w:sz w:val="21"/>
          <w:szCs w:val="21"/>
        </w:rPr>
        <w:t>’s assets</w:t>
      </w:r>
      <w:r w:rsidRPr="00F62E3F">
        <w:rPr>
          <w:sz w:val="21"/>
          <w:szCs w:val="21"/>
        </w:rPr>
        <w:t>.</w:t>
      </w:r>
      <w:r w:rsidRPr="000B31A7">
        <w:rPr>
          <w:sz w:val="21"/>
          <w:szCs w:val="21"/>
        </w:rPr>
        <w:t> </w:t>
      </w:r>
      <w:r w:rsidRPr="00F62E3F">
        <w:rPr>
          <w:sz w:val="21"/>
          <w:szCs w:val="21"/>
        </w:rPr>
        <w:t xml:space="preserve"> This Agreement shall be binding upon, and inure to</w:t>
      </w:r>
      <w:r w:rsidR="00863723" w:rsidRPr="00F62E3F">
        <w:rPr>
          <w:sz w:val="21"/>
          <w:szCs w:val="21"/>
        </w:rPr>
        <w:t xml:space="preserve"> </w:t>
      </w:r>
      <w:r w:rsidRPr="00F62E3F">
        <w:rPr>
          <w:sz w:val="21"/>
          <w:szCs w:val="21"/>
        </w:rPr>
        <w:t xml:space="preserve">the benefit of, the permitted successors and assigns of each </w:t>
      </w:r>
      <w:r w:rsidR="003418AD">
        <w:rPr>
          <w:sz w:val="21"/>
          <w:szCs w:val="21"/>
        </w:rPr>
        <w:t>Party</w:t>
      </w:r>
      <w:r w:rsidRPr="00F62E3F">
        <w:rPr>
          <w:sz w:val="21"/>
          <w:szCs w:val="21"/>
        </w:rPr>
        <w:t>. Any attempt to transfer, sublicense</w:t>
      </w:r>
      <w:r w:rsidR="00863723" w:rsidRPr="00F62E3F">
        <w:rPr>
          <w:sz w:val="21"/>
          <w:szCs w:val="21"/>
        </w:rPr>
        <w:t xml:space="preserve"> </w:t>
      </w:r>
      <w:r w:rsidRPr="00F62E3F">
        <w:rPr>
          <w:sz w:val="21"/>
          <w:szCs w:val="21"/>
        </w:rPr>
        <w:t>or assign any of the rights or duties in violation of this Section is prohibited and shall be null and void.</w:t>
      </w:r>
    </w:p>
    <w:p w14:paraId="025C3BA5" w14:textId="77777777" w:rsidR="00957973" w:rsidRPr="00F62E3F" w:rsidRDefault="00957973" w:rsidP="000B31A7">
      <w:pPr>
        <w:shd w:val="clear" w:color="auto" w:fill="FFFFFF" w:themeFill="background1"/>
        <w:ind w:left="180"/>
        <w:rPr>
          <w:sz w:val="21"/>
          <w:szCs w:val="21"/>
        </w:rPr>
      </w:pPr>
      <w:r w:rsidRPr="000B31A7">
        <w:rPr>
          <w:sz w:val="21"/>
          <w:szCs w:val="21"/>
        </w:rPr>
        <w:t> </w:t>
      </w:r>
    </w:p>
    <w:p w14:paraId="1E1422A4" w14:textId="573ABAC6" w:rsidR="00957973" w:rsidRPr="00F62E3F" w:rsidRDefault="00957973" w:rsidP="000B31A7">
      <w:pPr>
        <w:pStyle w:val="Heading2"/>
        <w:shd w:val="clear" w:color="auto" w:fill="FFFFFF" w:themeFill="background1"/>
        <w:jc w:val="both"/>
        <w:rPr>
          <w:sz w:val="21"/>
          <w:szCs w:val="21"/>
        </w:rPr>
      </w:pPr>
      <w:r w:rsidRPr="000B31A7">
        <w:rPr>
          <w:sz w:val="21"/>
          <w:szCs w:val="21"/>
          <w:u w:val="single"/>
        </w:rPr>
        <w:t>Relationship of Parties</w:t>
      </w:r>
      <w:r w:rsidRPr="00F62E3F">
        <w:rPr>
          <w:sz w:val="21"/>
          <w:szCs w:val="21"/>
        </w:rPr>
        <w:t xml:space="preserve">. Neither this Agreement nor the </w:t>
      </w:r>
      <w:r w:rsidR="003418AD">
        <w:rPr>
          <w:sz w:val="21"/>
          <w:szCs w:val="21"/>
        </w:rPr>
        <w:t>P</w:t>
      </w:r>
      <w:r w:rsidRPr="00F62E3F">
        <w:rPr>
          <w:sz w:val="21"/>
          <w:szCs w:val="21"/>
        </w:rPr>
        <w:t>arties' business relationship established</w:t>
      </w:r>
      <w:r w:rsidR="00863723" w:rsidRPr="00F62E3F">
        <w:rPr>
          <w:sz w:val="21"/>
          <w:szCs w:val="21"/>
        </w:rPr>
        <w:t xml:space="preserve"> </w:t>
      </w:r>
      <w:r w:rsidRPr="00F62E3F">
        <w:rPr>
          <w:sz w:val="21"/>
          <w:szCs w:val="21"/>
        </w:rPr>
        <w:t>hereunder will be construed as a partnership, franchise, joint venture, or agency relationship. Unless</w:t>
      </w:r>
      <w:r w:rsidR="00863723" w:rsidRPr="00F62E3F">
        <w:rPr>
          <w:sz w:val="21"/>
          <w:szCs w:val="21"/>
        </w:rPr>
        <w:t xml:space="preserve"> </w:t>
      </w:r>
      <w:r w:rsidRPr="00F62E3F">
        <w:rPr>
          <w:sz w:val="21"/>
          <w:szCs w:val="21"/>
        </w:rPr>
        <w:t xml:space="preserve">otherwise mutually agreed to by the parties in writing, the </w:t>
      </w:r>
      <w:r w:rsidR="003418AD">
        <w:rPr>
          <w:sz w:val="21"/>
          <w:szCs w:val="21"/>
        </w:rPr>
        <w:t>P</w:t>
      </w:r>
      <w:r w:rsidRPr="00F62E3F">
        <w:rPr>
          <w:sz w:val="21"/>
          <w:szCs w:val="21"/>
        </w:rPr>
        <w:t>arties agree that they will not hire or solicit</w:t>
      </w:r>
      <w:r w:rsidR="00863723" w:rsidRPr="00F62E3F">
        <w:rPr>
          <w:sz w:val="21"/>
          <w:szCs w:val="21"/>
        </w:rPr>
        <w:t xml:space="preserve"> </w:t>
      </w:r>
      <w:r w:rsidRPr="00F62E3F">
        <w:rPr>
          <w:sz w:val="21"/>
          <w:szCs w:val="21"/>
        </w:rPr>
        <w:t xml:space="preserve">the employment of any personnel of the other </w:t>
      </w:r>
      <w:r w:rsidR="003418AD">
        <w:rPr>
          <w:sz w:val="21"/>
          <w:szCs w:val="21"/>
        </w:rPr>
        <w:t>Party</w:t>
      </w:r>
      <w:r w:rsidRPr="00F62E3F">
        <w:rPr>
          <w:sz w:val="21"/>
          <w:szCs w:val="21"/>
        </w:rPr>
        <w:t xml:space="preserve"> during the term of this agreement and for a period</w:t>
      </w:r>
      <w:r w:rsidR="00863723" w:rsidRPr="00F62E3F">
        <w:rPr>
          <w:sz w:val="21"/>
          <w:szCs w:val="21"/>
        </w:rPr>
        <w:t xml:space="preserve"> </w:t>
      </w:r>
      <w:r w:rsidRPr="00F62E3F">
        <w:rPr>
          <w:sz w:val="21"/>
          <w:szCs w:val="21"/>
        </w:rPr>
        <w:t>of one (1) year after the termination of this agreement.</w:t>
      </w:r>
    </w:p>
    <w:p w14:paraId="0581B956" w14:textId="77777777" w:rsidR="00957973" w:rsidRPr="00F62E3F" w:rsidRDefault="00957973" w:rsidP="000B31A7">
      <w:pPr>
        <w:shd w:val="clear" w:color="auto" w:fill="FFFFFF" w:themeFill="background1"/>
        <w:ind w:left="180"/>
        <w:rPr>
          <w:sz w:val="21"/>
          <w:szCs w:val="21"/>
        </w:rPr>
      </w:pPr>
      <w:r w:rsidRPr="000B31A7">
        <w:rPr>
          <w:sz w:val="21"/>
          <w:szCs w:val="21"/>
        </w:rPr>
        <w:t> </w:t>
      </w:r>
    </w:p>
    <w:p w14:paraId="4AA7D292" w14:textId="6863EB41" w:rsidR="00957973" w:rsidRPr="00F62E3F" w:rsidRDefault="00957973" w:rsidP="000B31A7">
      <w:pPr>
        <w:pStyle w:val="Heading2"/>
        <w:shd w:val="clear" w:color="auto" w:fill="FFFFFF" w:themeFill="background1"/>
        <w:jc w:val="both"/>
        <w:rPr>
          <w:sz w:val="21"/>
          <w:szCs w:val="21"/>
        </w:rPr>
      </w:pPr>
      <w:r w:rsidRPr="000B31A7">
        <w:rPr>
          <w:sz w:val="21"/>
          <w:szCs w:val="21"/>
          <w:u w:val="single"/>
        </w:rPr>
        <w:t>Waiver</w:t>
      </w:r>
      <w:r w:rsidRPr="00F62E3F">
        <w:rPr>
          <w:sz w:val="21"/>
          <w:szCs w:val="21"/>
        </w:rPr>
        <w:t>. No waiver of any breach of any provision of this Agreement will be considered to be a waiver</w:t>
      </w:r>
      <w:r w:rsidR="00863723" w:rsidRPr="00F62E3F">
        <w:rPr>
          <w:sz w:val="21"/>
          <w:szCs w:val="21"/>
        </w:rPr>
        <w:t xml:space="preserve"> o</w:t>
      </w:r>
      <w:r w:rsidRPr="00F62E3F">
        <w:rPr>
          <w:sz w:val="21"/>
          <w:szCs w:val="21"/>
        </w:rPr>
        <w:t xml:space="preserve">f any prior, concurrent or later breach of the same provisions or different </w:t>
      </w:r>
      <w:r w:rsidR="00B8294E" w:rsidRPr="00F62E3F">
        <w:rPr>
          <w:sz w:val="21"/>
          <w:szCs w:val="21"/>
        </w:rPr>
        <w:t>provisions and</w:t>
      </w:r>
      <w:r w:rsidRPr="00F62E3F">
        <w:rPr>
          <w:sz w:val="21"/>
          <w:szCs w:val="21"/>
        </w:rPr>
        <w:t xml:space="preserve"> will not be</w:t>
      </w:r>
      <w:r w:rsidR="00863723" w:rsidRPr="00F62E3F">
        <w:rPr>
          <w:sz w:val="21"/>
          <w:szCs w:val="21"/>
        </w:rPr>
        <w:t xml:space="preserve"> </w:t>
      </w:r>
      <w:r w:rsidRPr="00F62E3F">
        <w:rPr>
          <w:sz w:val="21"/>
          <w:szCs w:val="21"/>
        </w:rPr>
        <w:t xml:space="preserve">effective unless made in writing and signed by an officer of the waiving </w:t>
      </w:r>
      <w:r w:rsidR="003418AD">
        <w:rPr>
          <w:sz w:val="21"/>
          <w:szCs w:val="21"/>
        </w:rPr>
        <w:t>Party</w:t>
      </w:r>
      <w:r w:rsidRPr="00F62E3F">
        <w:rPr>
          <w:sz w:val="21"/>
          <w:szCs w:val="21"/>
        </w:rPr>
        <w:t>.</w:t>
      </w:r>
    </w:p>
    <w:p w14:paraId="234600AF" w14:textId="77777777" w:rsidR="00957973" w:rsidRPr="00F62E3F" w:rsidRDefault="00957973" w:rsidP="000B31A7">
      <w:pPr>
        <w:shd w:val="clear" w:color="auto" w:fill="FFFFFF" w:themeFill="background1"/>
        <w:ind w:left="180"/>
        <w:rPr>
          <w:sz w:val="21"/>
          <w:szCs w:val="21"/>
        </w:rPr>
      </w:pPr>
      <w:r w:rsidRPr="000B31A7">
        <w:rPr>
          <w:sz w:val="21"/>
          <w:szCs w:val="21"/>
        </w:rPr>
        <w:t> </w:t>
      </w:r>
    </w:p>
    <w:p w14:paraId="6ACBE51F" w14:textId="1D997F0E" w:rsidR="00454DFA" w:rsidRPr="000B31A7" w:rsidRDefault="00454DFA" w:rsidP="000B31A7">
      <w:pPr>
        <w:pStyle w:val="Heading2"/>
        <w:shd w:val="clear" w:color="auto" w:fill="FFFFFF" w:themeFill="background1"/>
        <w:jc w:val="both"/>
        <w:rPr>
          <w:sz w:val="21"/>
          <w:szCs w:val="21"/>
          <w:u w:val="single"/>
        </w:rPr>
      </w:pPr>
      <w:r w:rsidRPr="000B31A7">
        <w:rPr>
          <w:sz w:val="21"/>
          <w:szCs w:val="21"/>
          <w:u w:val="single"/>
        </w:rPr>
        <w:t xml:space="preserve">Force Majeure. </w:t>
      </w:r>
      <w:r w:rsidR="001A7045" w:rsidRPr="000B31A7">
        <w:rPr>
          <w:sz w:val="21"/>
          <w:szCs w:val="21"/>
          <w:u w:val="single"/>
        </w:rPr>
        <w:t xml:space="preserve">With the exception of payment </w:t>
      </w:r>
      <w:r w:rsidR="00B8294E" w:rsidRPr="00B8294E">
        <w:rPr>
          <w:sz w:val="21"/>
          <w:szCs w:val="21"/>
          <w:u w:val="single"/>
        </w:rPr>
        <w:t>obligations</w:t>
      </w:r>
      <w:r w:rsidR="001A7045" w:rsidRPr="000B31A7">
        <w:rPr>
          <w:sz w:val="21"/>
          <w:szCs w:val="21"/>
          <w:u w:val="single"/>
        </w:rPr>
        <w:t xml:space="preserve"> pursuant to this Agreement, n</w:t>
      </w:r>
      <w:r w:rsidRPr="000B31A7">
        <w:rPr>
          <w:sz w:val="21"/>
          <w:szCs w:val="21"/>
          <w:u w:val="single"/>
        </w:rPr>
        <w:t xml:space="preserve">either </w:t>
      </w:r>
      <w:r w:rsidR="003418AD">
        <w:rPr>
          <w:sz w:val="21"/>
          <w:szCs w:val="21"/>
          <w:u w:val="single"/>
        </w:rPr>
        <w:t>Party</w:t>
      </w:r>
      <w:r w:rsidRPr="000B31A7">
        <w:rPr>
          <w:sz w:val="21"/>
          <w:szCs w:val="21"/>
          <w:u w:val="single"/>
        </w:rPr>
        <w:t xml:space="preserve"> will have any liability to the other under, in connection with, or for any reason relating to, this Agreement as a result of any failure of performance as a result of an event of "force majeure."  For purposes of this Agreement, "force majeure" means an event beyond a </w:t>
      </w:r>
      <w:r w:rsidR="003418AD">
        <w:rPr>
          <w:sz w:val="21"/>
          <w:szCs w:val="21"/>
          <w:u w:val="single"/>
        </w:rPr>
        <w:t>Party</w:t>
      </w:r>
      <w:r w:rsidRPr="000B31A7">
        <w:rPr>
          <w:sz w:val="21"/>
          <w:szCs w:val="21"/>
          <w:u w:val="single"/>
        </w:rPr>
        <w:t xml:space="preserve">’s reasonable control whether or not foreseeable and includes, in any case, the following events that may prevent or significantly hinder a </w:t>
      </w:r>
      <w:r w:rsidR="003418AD">
        <w:rPr>
          <w:sz w:val="21"/>
          <w:szCs w:val="21"/>
          <w:u w:val="single"/>
        </w:rPr>
        <w:t>Party</w:t>
      </w:r>
      <w:r w:rsidRPr="000B31A7">
        <w:rPr>
          <w:sz w:val="21"/>
          <w:szCs w:val="21"/>
          <w:u w:val="single"/>
        </w:rPr>
        <w:t xml:space="preserve"> from performing this Agreement or acting in connection with this Agreement: armed conflicts, terrorist act, famine, floods, Acts of God, labor strikes or shortages, governmental decree or regulation, court order, severe weather, fire, earthquake, failure of suppliers and breakdowns in communications transport facilities that are not attributable to the acts or omissions of </w:t>
      </w:r>
      <w:r w:rsidR="003418AD">
        <w:rPr>
          <w:sz w:val="21"/>
          <w:szCs w:val="21"/>
          <w:u w:val="single"/>
        </w:rPr>
        <w:t>the other Party</w:t>
      </w:r>
      <w:r w:rsidRPr="000B31A7">
        <w:rPr>
          <w:sz w:val="21"/>
          <w:szCs w:val="21"/>
          <w:u w:val="single"/>
        </w:rPr>
        <w:t xml:space="preserve">. Upon receipt of such notice, this Agreement shall immediately be suspended.  If the period of nonperformance exceeds fifteen (15) business days from the receipt of notice of the force majeure, the </w:t>
      </w:r>
      <w:r w:rsidR="003418AD">
        <w:rPr>
          <w:sz w:val="21"/>
          <w:szCs w:val="21"/>
          <w:u w:val="single"/>
        </w:rPr>
        <w:t>Party</w:t>
      </w:r>
      <w:r w:rsidRPr="000B31A7">
        <w:rPr>
          <w:sz w:val="21"/>
          <w:szCs w:val="21"/>
          <w:u w:val="single"/>
        </w:rPr>
        <w:t xml:space="preserve"> whose ability to perform has not been so affected may by giv</w:t>
      </w:r>
      <w:r w:rsidR="003418AD">
        <w:rPr>
          <w:sz w:val="21"/>
          <w:szCs w:val="21"/>
          <w:u w:val="single"/>
        </w:rPr>
        <w:t xml:space="preserve">ing </w:t>
      </w:r>
      <w:r w:rsidRPr="000B31A7">
        <w:rPr>
          <w:sz w:val="21"/>
          <w:szCs w:val="21"/>
          <w:u w:val="single"/>
        </w:rPr>
        <w:t xml:space="preserve">written notice terminate this Agreement.  </w:t>
      </w:r>
      <w:r w:rsidR="00B8294E" w:rsidRPr="00B8294E">
        <w:rPr>
          <w:sz w:val="21"/>
          <w:szCs w:val="21"/>
          <w:u w:val="single"/>
        </w:rPr>
        <w:t>However,</w:t>
      </w:r>
      <w:r w:rsidR="001A7045" w:rsidRPr="000B31A7">
        <w:rPr>
          <w:sz w:val="21"/>
          <w:szCs w:val="21"/>
          <w:u w:val="single"/>
        </w:rPr>
        <w:t xml:space="preserve"> any</w:t>
      </w:r>
      <w:r w:rsidRPr="000B31A7">
        <w:rPr>
          <w:sz w:val="21"/>
          <w:szCs w:val="21"/>
          <w:u w:val="single"/>
        </w:rPr>
        <w:t xml:space="preserve"> delays in delivery due to force majeure shall automatically extend the delivery date for a period equal to the duration of such force majeure event</w:t>
      </w:r>
      <w:r w:rsidR="001A7045" w:rsidRPr="000B31A7">
        <w:rPr>
          <w:sz w:val="21"/>
          <w:szCs w:val="21"/>
          <w:u w:val="single"/>
        </w:rPr>
        <w:t xml:space="preserve">. </w:t>
      </w:r>
    </w:p>
    <w:p w14:paraId="2B21C828" w14:textId="77777777" w:rsidR="00454DFA" w:rsidRPr="000B31A7" w:rsidRDefault="00454DFA" w:rsidP="000B31A7">
      <w:pPr>
        <w:pStyle w:val="Heading2"/>
        <w:numPr>
          <w:ilvl w:val="0"/>
          <w:numId w:val="0"/>
        </w:numPr>
        <w:shd w:val="clear" w:color="auto" w:fill="FFFFFF" w:themeFill="background1"/>
        <w:ind w:left="900"/>
        <w:rPr>
          <w:sz w:val="21"/>
          <w:szCs w:val="21"/>
          <w:u w:val="single"/>
        </w:rPr>
      </w:pPr>
    </w:p>
    <w:p w14:paraId="54553FA6" w14:textId="0D1F2114" w:rsidR="00863723" w:rsidRPr="000B31A7" w:rsidRDefault="00957973" w:rsidP="000B31A7">
      <w:pPr>
        <w:pStyle w:val="Heading2"/>
        <w:shd w:val="clear" w:color="auto" w:fill="FFFFFF" w:themeFill="background1"/>
        <w:jc w:val="both"/>
        <w:rPr>
          <w:sz w:val="21"/>
          <w:szCs w:val="21"/>
        </w:rPr>
      </w:pPr>
      <w:r w:rsidRPr="000B31A7">
        <w:rPr>
          <w:sz w:val="21"/>
          <w:szCs w:val="21"/>
          <w:u w:val="single"/>
        </w:rPr>
        <w:t>Notices</w:t>
      </w:r>
      <w:r w:rsidRPr="00F62E3F">
        <w:rPr>
          <w:sz w:val="21"/>
          <w:szCs w:val="21"/>
        </w:rPr>
        <w:t>. Any notice required or permitted by this Agreement shall be in writing and shall be sent by</w:t>
      </w:r>
      <w:r w:rsidR="00863723" w:rsidRPr="00F62E3F">
        <w:rPr>
          <w:sz w:val="21"/>
          <w:szCs w:val="21"/>
        </w:rPr>
        <w:t xml:space="preserve"> </w:t>
      </w:r>
      <w:r w:rsidRPr="00F62E3F">
        <w:rPr>
          <w:sz w:val="21"/>
          <w:szCs w:val="21"/>
        </w:rPr>
        <w:t xml:space="preserve">any means reasonably used to provide the other </w:t>
      </w:r>
      <w:r w:rsidR="003418AD">
        <w:rPr>
          <w:sz w:val="21"/>
          <w:szCs w:val="21"/>
        </w:rPr>
        <w:t>Party</w:t>
      </w:r>
      <w:r w:rsidRPr="00F62E3F">
        <w:rPr>
          <w:sz w:val="21"/>
          <w:szCs w:val="21"/>
        </w:rPr>
        <w:t xml:space="preserve"> with notice such as a softcopy (facsimile, e-mail)</w:t>
      </w:r>
      <w:r w:rsidR="00863723" w:rsidRPr="00F62E3F">
        <w:rPr>
          <w:sz w:val="21"/>
          <w:szCs w:val="21"/>
        </w:rPr>
        <w:t xml:space="preserve"> </w:t>
      </w:r>
      <w:r w:rsidRPr="00F62E3F">
        <w:rPr>
          <w:sz w:val="21"/>
          <w:szCs w:val="21"/>
        </w:rPr>
        <w:t xml:space="preserve">or hard copy (mail, overnight carrier or hand delivery). Notice shall be addressed to the other </w:t>
      </w:r>
      <w:r w:rsidR="003418AD">
        <w:rPr>
          <w:sz w:val="21"/>
          <w:szCs w:val="21"/>
        </w:rPr>
        <w:t>Party</w:t>
      </w:r>
      <w:r w:rsidRPr="00F62E3F">
        <w:rPr>
          <w:sz w:val="21"/>
          <w:szCs w:val="21"/>
        </w:rPr>
        <w:t xml:space="preserve"> at</w:t>
      </w:r>
      <w:r w:rsidR="00863723" w:rsidRPr="00F62E3F">
        <w:rPr>
          <w:sz w:val="21"/>
          <w:szCs w:val="21"/>
        </w:rPr>
        <w:t xml:space="preserve"> </w:t>
      </w:r>
      <w:r w:rsidRPr="00F62E3F">
        <w:rPr>
          <w:sz w:val="21"/>
          <w:szCs w:val="21"/>
        </w:rPr>
        <w:t xml:space="preserve">the address listed </w:t>
      </w:r>
      <w:r w:rsidR="003418AD">
        <w:rPr>
          <w:sz w:val="21"/>
          <w:szCs w:val="21"/>
        </w:rPr>
        <w:t>below</w:t>
      </w:r>
      <w:r w:rsidR="003418AD" w:rsidRPr="00F62E3F">
        <w:rPr>
          <w:sz w:val="21"/>
          <w:szCs w:val="21"/>
        </w:rPr>
        <w:t xml:space="preserve"> </w:t>
      </w:r>
      <w:r w:rsidRPr="00F62E3F">
        <w:rPr>
          <w:sz w:val="21"/>
          <w:szCs w:val="21"/>
        </w:rPr>
        <w:t xml:space="preserve">or at such other address for which such </w:t>
      </w:r>
      <w:r w:rsidR="003418AD">
        <w:rPr>
          <w:sz w:val="21"/>
          <w:szCs w:val="21"/>
        </w:rPr>
        <w:t>Party</w:t>
      </w:r>
      <w:r w:rsidRPr="00F62E3F">
        <w:rPr>
          <w:sz w:val="21"/>
          <w:szCs w:val="21"/>
        </w:rPr>
        <w:t xml:space="preserve"> gives notice </w:t>
      </w:r>
      <w:r w:rsidR="00B8294E" w:rsidRPr="00F62E3F">
        <w:rPr>
          <w:sz w:val="21"/>
          <w:szCs w:val="21"/>
        </w:rPr>
        <w:t>should be</w:t>
      </w:r>
      <w:r w:rsidRPr="00F62E3F">
        <w:rPr>
          <w:sz w:val="21"/>
          <w:szCs w:val="21"/>
        </w:rPr>
        <w:t xml:space="preserve"> aware.</w:t>
      </w:r>
      <w:r w:rsidR="00863723" w:rsidRPr="00F62E3F">
        <w:rPr>
          <w:sz w:val="21"/>
          <w:szCs w:val="21"/>
        </w:rPr>
        <w:t xml:space="preserve"> </w:t>
      </w:r>
      <w:r w:rsidRPr="00F62E3F">
        <w:rPr>
          <w:sz w:val="21"/>
          <w:szCs w:val="21"/>
        </w:rPr>
        <w:t>Notice shall be deemed to have been given when the hard copy is received or three days after a softcopy</w:t>
      </w:r>
      <w:r w:rsidR="00863723" w:rsidRPr="00F62E3F">
        <w:rPr>
          <w:sz w:val="21"/>
          <w:szCs w:val="21"/>
        </w:rPr>
        <w:t xml:space="preserve"> </w:t>
      </w:r>
      <w:r w:rsidRPr="00F62E3F">
        <w:rPr>
          <w:sz w:val="21"/>
          <w:szCs w:val="21"/>
        </w:rPr>
        <w:t>and hard copy are sent, whichever is earlier.</w:t>
      </w:r>
    </w:p>
    <w:p w14:paraId="04740C2C" w14:textId="77777777" w:rsidR="00957973" w:rsidRPr="00F62E3F" w:rsidRDefault="00957973" w:rsidP="000B31A7">
      <w:pPr>
        <w:shd w:val="clear" w:color="auto" w:fill="FFFFFF" w:themeFill="background1"/>
        <w:ind w:left="180"/>
        <w:rPr>
          <w:sz w:val="21"/>
          <w:szCs w:val="21"/>
        </w:rPr>
      </w:pPr>
      <w:r w:rsidRPr="000B31A7">
        <w:rPr>
          <w:sz w:val="21"/>
          <w:szCs w:val="21"/>
        </w:rPr>
        <w:t> </w:t>
      </w:r>
    </w:p>
    <w:p w14:paraId="20E79C17" w14:textId="375924E3" w:rsidR="00957973" w:rsidRPr="00F62E3F" w:rsidRDefault="00957973" w:rsidP="000B31A7">
      <w:pPr>
        <w:pStyle w:val="Heading2"/>
        <w:shd w:val="clear" w:color="auto" w:fill="FFFFFF" w:themeFill="background1"/>
        <w:jc w:val="both"/>
        <w:rPr>
          <w:sz w:val="21"/>
          <w:szCs w:val="21"/>
        </w:rPr>
      </w:pPr>
      <w:r w:rsidRPr="000B31A7">
        <w:rPr>
          <w:sz w:val="21"/>
          <w:szCs w:val="21"/>
          <w:u w:val="single"/>
        </w:rPr>
        <w:t>Severability</w:t>
      </w:r>
      <w:r w:rsidRPr="00F62E3F">
        <w:rPr>
          <w:sz w:val="21"/>
          <w:szCs w:val="21"/>
        </w:rPr>
        <w:t>. If any provision of this Agreement is found invalid or unenforceable, that provision will</w:t>
      </w:r>
      <w:r w:rsidR="00863723" w:rsidRPr="00F62E3F">
        <w:rPr>
          <w:sz w:val="21"/>
          <w:szCs w:val="21"/>
        </w:rPr>
        <w:t xml:space="preserve"> </w:t>
      </w:r>
      <w:r w:rsidRPr="00F62E3F">
        <w:rPr>
          <w:sz w:val="21"/>
          <w:szCs w:val="21"/>
        </w:rPr>
        <w:t>be enforced to the maximum extent permissible, and the other provisions of this Agreement will remain</w:t>
      </w:r>
      <w:r w:rsidR="00863723" w:rsidRPr="00F62E3F">
        <w:rPr>
          <w:sz w:val="21"/>
          <w:szCs w:val="21"/>
        </w:rPr>
        <w:t xml:space="preserve"> </w:t>
      </w:r>
      <w:r w:rsidRPr="00F62E3F">
        <w:rPr>
          <w:sz w:val="21"/>
          <w:szCs w:val="21"/>
        </w:rPr>
        <w:t>in force.</w:t>
      </w:r>
    </w:p>
    <w:p w14:paraId="705BDF77" w14:textId="77777777" w:rsidR="00957973" w:rsidRPr="00F62E3F" w:rsidRDefault="00957973" w:rsidP="000B31A7">
      <w:pPr>
        <w:shd w:val="clear" w:color="auto" w:fill="FFFFFF" w:themeFill="background1"/>
        <w:ind w:left="180"/>
        <w:rPr>
          <w:sz w:val="21"/>
          <w:szCs w:val="21"/>
        </w:rPr>
      </w:pPr>
      <w:r w:rsidRPr="000B31A7">
        <w:rPr>
          <w:sz w:val="21"/>
          <w:szCs w:val="21"/>
        </w:rPr>
        <w:lastRenderedPageBreak/>
        <w:t> </w:t>
      </w:r>
    </w:p>
    <w:p w14:paraId="31E316EA" w14:textId="416978F5" w:rsidR="00863723" w:rsidRPr="00F62E3F" w:rsidRDefault="00863723" w:rsidP="000B31A7">
      <w:pPr>
        <w:pStyle w:val="Heading2"/>
        <w:shd w:val="clear" w:color="auto" w:fill="FFFFFF" w:themeFill="background1"/>
        <w:jc w:val="both"/>
        <w:rPr>
          <w:sz w:val="21"/>
          <w:szCs w:val="21"/>
        </w:rPr>
      </w:pPr>
      <w:r w:rsidRPr="000B31A7">
        <w:rPr>
          <w:sz w:val="21"/>
          <w:szCs w:val="21"/>
          <w:u w:val="single"/>
        </w:rPr>
        <w:t>Entire Agreement/Conflict of Terms</w:t>
      </w:r>
      <w:r w:rsidRPr="00F62E3F">
        <w:rPr>
          <w:sz w:val="21"/>
          <w:szCs w:val="21"/>
        </w:rPr>
        <w:t xml:space="preserve">. This Agreement, including its Exhibits, constitutes the entire agreement of </w:t>
      </w:r>
      <w:r w:rsidR="00B8294E" w:rsidRPr="00F62E3F">
        <w:rPr>
          <w:sz w:val="21"/>
          <w:szCs w:val="21"/>
        </w:rPr>
        <w:t>the parties</w:t>
      </w:r>
      <w:r w:rsidRPr="00F62E3F">
        <w:rPr>
          <w:sz w:val="21"/>
          <w:szCs w:val="21"/>
        </w:rPr>
        <w:t xml:space="preserve"> with respect to the subject matter hereof, and supersedes all prior or contemporaneous understandings or agreements, whether written or oral. This Agreement may not be modified or altered except by written instrument duly executed by both parties.  </w:t>
      </w:r>
    </w:p>
    <w:p w14:paraId="7CF4F3E8" w14:textId="77777777" w:rsidR="00957973" w:rsidRPr="00F62E3F" w:rsidRDefault="00957973" w:rsidP="000B31A7">
      <w:pPr>
        <w:pStyle w:val="BodyText"/>
        <w:shd w:val="clear" w:color="auto" w:fill="FFFFFF" w:themeFill="background1"/>
        <w:rPr>
          <w:sz w:val="21"/>
          <w:szCs w:val="21"/>
        </w:rPr>
      </w:pPr>
    </w:p>
    <w:p w14:paraId="5C3E05F0" w14:textId="77777777" w:rsidR="00C212BF" w:rsidRPr="00F62E3F" w:rsidRDefault="00C212BF" w:rsidP="000B31A7">
      <w:pPr>
        <w:shd w:val="clear" w:color="auto" w:fill="FFFFFF" w:themeFill="background1"/>
        <w:rPr>
          <w:b/>
          <w:sz w:val="21"/>
          <w:szCs w:val="21"/>
        </w:rPr>
      </w:pPr>
    </w:p>
    <w:p w14:paraId="5276AF5D" w14:textId="77777777" w:rsidR="00AB3D50" w:rsidRPr="00F62E3F" w:rsidRDefault="00AB3D50" w:rsidP="000B31A7">
      <w:pPr>
        <w:shd w:val="clear" w:color="auto" w:fill="FFFFFF" w:themeFill="background1"/>
        <w:rPr>
          <w:sz w:val="21"/>
          <w:szCs w:val="21"/>
        </w:rPr>
      </w:pPr>
      <w:r w:rsidRPr="00F62E3F">
        <w:rPr>
          <w:b/>
          <w:sz w:val="21"/>
          <w:szCs w:val="21"/>
        </w:rPr>
        <w:t>In Witness Whereof</w:t>
      </w:r>
      <w:r w:rsidRPr="00F62E3F">
        <w:rPr>
          <w:sz w:val="21"/>
          <w:szCs w:val="21"/>
        </w:rPr>
        <w:t xml:space="preserve">, the parties have caused this </w:t>
      </w:r>
      <w:r w:rsidR="00FB3304" w:rsidRPr="00F62E3F">
        <w:rPr>
          <w:sz w:val="21"/>
          <w:szCs w:val="21"/>
        </w:rPr>
        <w:t>Agreement</w:t>
      </w:r>
      <w:r w:rsidRPr="00F62E3F">
        <w:rPr>
          <w:sz w:val="21"/>
          <w:szCs w:val="21"/>
        </w:rPr>
        <w:t xml:space="preserve"> to be signed as of the Effective Date by their duly authorized representatives.</w:t>
      </w:r>
    </w:p>
    <w:p w14:paraId="2E326132" w14:textId="77777777" w:rsidR="00AB3D50" w:rsidRPr="00F62E3F" w:rsidRDefault="00AB3D50" w:rsidP="000B31A7">
      <w:pPr>
        <w:shd w:val="clear" w:color="auto" w:fill="FFFFFF" w:themeFill="background1"/>
        <w:rPr>
          <w:sz w:val="21"/>
          <w:szCs w:val="21"/>
        </w:rPr>
      </w:pPr>
    </w:p>
    <w:tbl>
      <w:tblPr>
        <w:tblW w:w="0" w:type="auto"/>
        <w:tblLook w:val="01E0" w:firstRow="1" w:lastRow="1" w:firstColumn="1" w:lastColumn="1" w:noHBand="0" w:noVBand="0"/>
      </w:tblPr>
      <w:tblGrid>
        <w:gridCol w:w="4766"/>
        <w:gridCol w:w="4594"/>
      </w:tblGrid>
      <w:tr w:rsidR="00FB3304" w:rsidRPr="000B31A7" w14:paraId="731F266B" w14:textId="77777777" w:rsidTr="003418AD">
        <w:tc>
          <w:tcPr>
            <w:tcW w:w="4766" w:type="dxa"/>
          </w:tcPr>
          <w:p w14:paraId="4BE8A1D4" w14:textId="44B5BB01" w:rsidR="00FB3304" w:rsidRPr="00F62E3F" w:rsidRDefault="000C411F" w:rsidP="000B31A7">
            <w:pPr>
              <w:pStyle w:val="BodyText"/>
              <w:shd w:val="clear" w:color="auto" w:fill="FFFFFF" w:themeFill="background1"/>
              <w:rPr>
                <w:b/>
                <w:sz w:val="21"/>
                <w:szCs w:val="21"/>
              </w:rPr>
            </w:pPr>
            <w:r>
              <w:rPr>
                <w:b/>
                <w:sz w:val="21"/>
                <w:szCs w:val="21"/>
              </w:rPr>
              <w:t>Mason McDuffie Mortgage</w:t>
            </w:r>
          </w:p>
          <w:p w14:paraId="36952718" w14:textId="77777777" w:rsidR="00FB3304" w:rsidRPr="00F62E3F" w:rsidRDefault="00FB3304" w:rsidP="000B31A7">
            <w:pPr>
              <w:pStyle w:val="BodyText"/>
              <w:shd w:val="clear" w:color="auto" w:fill="FFFFFF" w:themeFill="background1"/>
              <w:rPr>
                <w:b/>
                <w:sz w:val="21"/>
                <w:szCs w:val="21"/>
              </w:rPr>
            </w:pPr>
          </w:p>
        </w:tc>
        <w:tc>
          <w:tcPr>
            <w:tcW w:w="4594" w:type="dxa"/>
          </w:tcPr>
          <w:p w14:paraId="13099ED6" w14:textId="77777777" w:rsidR="00FB3304" w:rsidRPr="00F62E3F" w:rsidRDefault="00FB3304" w:rsidP="000B31A7">
            <w:pPr>
              <w:pStyle w:val="BodyText"/>
              <w:shd w:val="clear" w:color="auto" w:fill="FFFFFF" w:themeFill="background1"/>
              <w:rPr>
                <w:b/>
                <w:sz w:val="21"/>
                <w:szCs w:val="21"/>
              </w:rPr>
            </w:pPr>
            <w:r w:rsidRPr="00F62E3F">
              <w:rPr>
                <w:b/>
                <w:sz w:val="21"/>
                <w:szCs w:val="21"/>
              </w:rPr>
              <w:t>TAVANT TECHNOLOGIES, INC.</w:t>
            </w:r>
          </w:p>
        </w:tc>
      </w:tr>
      <w:tr w:rsidR="00FB3304" w:rsidRPr="000B31A7" w14:paraId="1E811B96" w14:textId="77777777" w:rsidTr="003418AD">
        <w:tc>
          <w:tcPr>
            <w:tcW w:w="4766" w:type="dxa"/>
          </w:tcPr>
          <w:p w14:paraId="0D11DD4C" w14:textId="77777777" w:rsidR="00FB3304" w:rsidRPr="00F62E3F" w:rsidRDefault="00FB3304" w:rsidP="000B31A7">
            <w:pPr>
              <w:shd w:val="clear" w:color="auto" w:fill="FFFFFF" w:themeFill="background1"/>
              <w:tabs>
                <w:tab w:val="right" w:pos="4454"/>
              </w:tabs>
              <w:rPr>
                <w:sz w:val="21"/>
                <w:szCs w:val="21"/>
              </w:rPr>
            </w:pPr>
            <w:r w:rsidRPr="00F62E3F">
              <w:rPr>
                <w:sz w:val="21"/>
                <w:szCs w:val="21"/>
              </w:rPr>
              <w:t xml:space="preserve">By: </w:t>
            </w:r>
            <w:r w:rsidRPr="00F62E3F">
              <w:rPr>
                <w:sz w:val="21"/>
                <w:szCs w:val="21"/>
                <w:u w:val="single"/>
              </w:rPr>
              <w:tab/>
            </w:r>
          </w:p>
        </w:tc>
        <w:tc>
          <w:tcPr>
            <w:tcW w:w="4594" w:type="dxa"/>
          </w:tcPr>
          <w:p w14:paraId="01635AFE" w14:textId="77777777" w:rsidR="00FB3304" w:rsidRPr="00F62E3F" w:rsidRDefault="00FB3304" w:rsidP="000B31A7">
            <w:pPr>
              <w:shd w:val="clear" w:color="auto" w:fill="FFFFFF" w:themeFill="background1"/>
              <w:tabs>
                <w:tab w:val="right" w:pos="4314"/>
              </w:tabs>
              <w:rPr>
                <w:sz w:val="21"/>
                <w:szCs w:val="21"/>
                <w:u w:val="single"/>
              </w:rPr>
            </w:pPr>
            <w:r w:rsidRPr="00F62E3F">
              <w:rPr>
                <w:sz w:val="21"/>
                <w:szCs w:val="21"/>
              </w:rPr>
              <w:t xml:space="preserve">By: </w:t>
            </w:r>
            <w:r w:rsidRPr="00F62E3F">
              <w:rPr>
                <w:sz w:val="21"/>
                <w:szCs w:val="21"/>
                <w:u w:val="single"/>
              </w:rPr>
              <w:tab/>
            </w:r>
          </w:p>
          <w:p w14:paraId="5BA68675" w14:textId="77777777" w:rsidR="00FB3304" w:rsidRPr="00F62E3F" w:rsidRDefault="00FB3304" w:rsidP="000B31A7">
            <w:pPr>
              <w:shd w:val="clear" w:color="auto" w:fill="FFFFFF" w:themeFill="background1"/>
              <w:tabs>
                <w:tab w:val="right" w:pos="4314"/>
              </w:tabs>
              <w:rPr>
                <w:sz w:val="21"/>
                <w:szCs w:val="21"/>
              </w:rPr>
            </w:pPr>
          </w:p>
        </w:tc>
      </w:tr>
      <w:tr w:rsidR="00FB3304" w:rsidRPr="000B31A7" w14:paraId="47202EEA" w14:textId="77777777" w:rsidTr="003418AD">
        <w:tc>
          <w:tcPr>
            <w:tcW w:w="4766" w:type="dxa"/>
          </w:tcPr>
          <w:p w14:paraId="5A0C09B4" w14:textId="4ABFC25A" w:rsidR="00FB3304" w:rsidRPr="00F62E3F" w:rsidRDefault="00FB3304" w:rsidP="000B31A7">
            <w:pPr>
              <w:shd w:val="clear" w:color="auto" w:fill="FFFFFF" w:themeFill="background1"/>
              <w:tabs>
                <w:tab w:val="right" w:pos="4454"/>
              </w:tabs>
              <w:rPr>
                <w:sz w:val="21"/>
                <w:szCs w:val="21"/>
              </w:rPr>
            </w:pPr>
            <w:r w:rsidRPr="00F62E3F">
              <w:rPr>
                <w:sz w:val="21"/>
                <w:szCs w:val="21"/>
              </w:rPr>
              <w:t>Name:</w:t>
            </w:r>
            <w:r w:rsidR="000C411F">
              <w:rPr>
                <w:sz w:val="21"/>
                <w:szCs w:val="21"/>
              </w:rPr>
              <w:t xml:space="preserve"> Chuck Iverson</w:t>
            </w:r>
          </w:p>
        </w:tc>
        <w:tc>
          <w:tcPr>
            <w:tcW w:w="4594" w:type="dxa"/>
          </w:tcPr>
          <w:p w14:paraId="1ADD31C8" w14:textId="1F9412F5" w:rsidR="00FB3304" w:rsidRPr="00F62E3F" w:rsidRDefault="00FB3304" w:rsidP="000B31A7">
            <w:pPr>
              <w:shd w:val="clear" w:color="auto" w:fill="FFFFFF" w:themeFill="background1"/>
              <w:tabs>
                <w:tab w:val="right" w:pos="4302"/>
              </w:tabs>
              <w:rPr>
                <w:sz w:val="21"/>
                <w:szCs w:val="21"/>
                <w:u w:val="single"/>
              </w:rPr>
            </w:pPr>
            <w:r w:rsidRPr="00F62E3F">
              <w:rPr>
                <w:sz w:val="21"/>
                <w:szCs w:val="21"/>
              </w:rPr>
              <w:t>Name:</w:t>
            </w:r>
            <w:r w:rsidR="00857CF1" w:rsidRPr="00F62E3F">
              <w:rPr>
                <w:sz w:val="21"/>
                <w:szCs w:val="21"/>
              </w:rPr>
              <w:t xml:space="preserve"> SESHA DEVANA</w:t>
            </w:r>
          </w:p>
          <w:p w14:paraId="32CB9502" w14:textId="77777777" w:rsidR="00FB3304" w:rsidRPr="00F62E3F" w:rsidRDefault="00FB3304" w:rsidP="000B31A7">
            <w:pPr>
              <w:shd w:val="clear" w:color="auto" w:fill="FFFFFF" w:themeFill="background1"/>
              <w:tabs>
                <w:tab w:val="right" w:pos="4302"/>
              </w:tabs>
              <w:rPr>
                <w:sz w:val="21"/>
                <w:szCs w:val="21"/>
              </w:rPr>
            </w:pPr>
          </w:p>
        </w:tc>
      </w:tr>
      <w:tr w:rsidR="003418AD" w:rsidRPr="000B31A7" w14:paraId="7D27D6B8" w14:textId="77777777" w:rsidTr="003418AD">
        <w:tc>
          <w:tcPr>
            <w:tcW w:w="4766" w:type="dxa"/>
          </w:tcPr>
          <w:p w14:paraId="38B4A1E6" w14:textId="6A7968A3" w:rsidR="003418AD" w:rsidRPr="00F62E3F" w:rsidRDefault="003418AD" w:rsidP="000B31A7">
            <w:pPr>
              <w:shd w:val="clear" w:color="auto" w:fill="FFFFFF" w:themeFill="background1"/>
              <w:tabs>
                <w:tab w:val="right" w:pos="4454"/>
              </w:tabs>
              <w:rPr>
                <w:sz w:val="21"/>
                <w:szCs w:val="21"/>
              </w:rPr>
            </w:pPr>
            <w:r>
              <w:rPr>
                <w:sz w:val="21"/>
                <w:szCs w:val="21"/>
              </w:rPr>
              <w:t>Title</w:t>
            </w:r>
            <w:r w:rsidRPr="00F62E3F">
              <w:rPr>
                <w:sz w:val="21"/>
                <w:szCs w:val="21"/>
              </w:rPr>
              <w:t>:</w:t>
            </w:r>
            <w:r w:rsidR="000C411F">
              <w:rPr>
                <w:sz w:val="21"/>
                <w:szCs w:val="21"/>
              </w:rPr>
              <w:t xml:space="preserve"> President</w:t>
            </w:r>
          </w:p>
        </w:tc>
        <w:tc>
          <w:tcPr>
            <w:tcW w:w="4594" w:type="dxa"/>
          </w:tcPr>
          <w:p w14:paraId="1097C632" w14:textId="0466CB48" w:rsidR="003418AD" w:rsidRPr="00F62E3F" w:rsidRDefault="003418AD" w:rsidP="003418AD">
            <w:pPr>
              <w:shd w:val="clear" w:color="auto" w:fill="FFFFFF" w:themeFill="background1"/>
              <w:tabs>
                <w:tab w:val="right" w:pos="4302"/>
              </w:tabs>
              <w:rPr>
                <w:sz w:val="21"/>
                <w:szCs w:val="21"/>
                <w:u w:val="single"/>
              </w:rPr>
            </w:pPr>
            <w:r>
              <w:rPr>
                <w:sz w:val="21"/>
                <w:szCs w:val="21"/>
              </w:rPr>
              <w:t>Title</w:t>
            </w:r>
            <w:r w:rsidRPr="00F62E3F">
              <w:rPr>
                <w:sz w:val="21"/>
                <w:szCs w:val="21"/>
              </w:rPr>
              <w:t xml:space="preserve">: </w:t>
            </w:r>
            <w:r>
              <w:rPr>
                <w:sz w:val="21"/>
                <w:szCs w:val="21"/>
              </w:rPr>
              <w:t>Chief Financial Officer</w:t>
            </w:r>
          </w:p>
          <w:p w14:paraId="04B3B4B2" w14:textId="3F9BF36F" w:rsidR="003418AD" w:rsidRPr="00F62E3F" w:rsidRDefault="003418AD" w:rsidP="000B31A7">
            <w:pPr>
              <w:shd w:val="clear" w:color="auto" w:fill="FFFFFF" w:themeFill="background1"/>
              <w:tabs>
                <w:tab w:val="right" w:pos="4302"/>
              </w:tabs>
              <w:rPr>
                <w:sz w:val="21"/>
                <w:szCs w:val="21"/>
              </w:rPr>
            </w:pPr>
          </w:p>
        </w:tc>
      </w:tr>
      <w:tr w:rsidR="003418AD" w:rsidRPr="003418AD" w14:paraId="548241D1" w14:textId="77777777" w:rsidTr="003418AD">
        <w:tc>
          <w:tcPr>
            <w:tcW w:w="4766" w:type="dxa"/>
          </w:tcPr>
          <w:p w14:paraId="689A40D2" w14:textId="71E1E340" w:rsidR="003418AD" w:rsidRPr="00F62E3F" w:rsidRDefault="003418AD" w:rsidP="003418AD">
            <w:pPr>
              <w:shd w:val="clear" w:color="auto" w:fill="FFFFFF" w:themeFill="background1"/>
              <w:tabs>
                <w:tab w:val="right" w:pos="4454"/>
              </w:tabs>
              <w:rPr>
                <w:sz w:val="21"/>
                <w:szCs w:val="21"/>
              </w:rPr>
            </w:pPr>
            <w:r>
              <w:rPr>
                <w:sz w:val="21"/>
                <w:szCs w:val="21"/>
              </w:rPr>
              <w:t>Address</w:t>
            </w:r>
            <w:r w:rsidRPr="00F62E3F">
              <w:rPr>
                <w:sz w:val="21"/>
                <w:szCs w:val="21"/>
              </w:rPr>
              <w:t>:</w:t>
            </w:r>
            <w:r w:rsidR="000C411F">
              <w:rPr>
                <w:sz w:val="21"/>
                <w:szCs w:val="21"/>
              </w:rPr>
              <w:t xml:space="preserve"> 12647 Alcosta Blvd Suite 300, San Ramon, CA, 94583</w:t>
            </w:r>
          </w:p>
        </w:tc>
        <w:tc>
          <w:tcPr>
            <w:tcW w:w="4594" w:type="dxa"/>
          </w:tcPr>
          <w:p w14:paraId="6D67790F" w14:textId="1E40BCC1" w:rsidR="003418AD" w:rsidRPr="00F62E3F" w:rsidRDefault="003418AD" w:rsidP="003418AD">
            <w:pPr>
              <w:shd w:val="clear" w:color="auto" w:fill="FFFFFF" w:themeFill="background1"/>
              <w:tabs>
                <w:tab w:val="right" w:pos="4302"/>
              </w:tabs>
              <w:rPr>
                <w:sz w:val="21"/>
                <w:szCs w:val="21"/>
                <w:u w:val="single"/>
              </w:rPr>
            </w:pPr>
            <w:r>
              <w:rPr>
                <w:sz w:val="21"/>
                <w:szCs w:val="21"/>
              </w:rPr>
              <w:t>Address</w:t>
            </w:r>
            <w:r w:rsidRPr="00F62E3F">
              <w:rPr>
                <w:sz w:val="21"/>
                <w:szCs w:val="21"/>
              </w:rPr>
              <w:t xml:space="preserve">: </w:t>
            </w:r>
            <w:r>
              <w:rPr>
                <w:sz w:val="21"/>
                <w:szCs w:val="21"/>
              </w:rPr>
              <w:t>39</w:t>
            </w:r>
            <w:r w:rsidR="005E1823">
              <w:rPr>
                <w:sz w:val="21"/>
                <w:szCs w:val="21"/>
              </w:rPr>
              <w:t>4</w:t>
            </w:r>
            <w:r>
              <w:rPr>
                <w:sz w:val="21"/>
                <w:szCs w:val="21"/>
              </w:rPr>
              <w:t xml:space="preserve">5 Freedom Circle, Suite </w:t>
            </w:r>
            <w:r w:rsidR="005E1823">
              <w:rPr>
                <w:sz w:val="21"/>
                <w:szCs w:val="21"/>
              </w:rPr>
              <w:t>60</w:t>
            </w:r>
            <w:r>
              <w:rPr>
                <w:sz w:val="21"/>
                <w:szCs w:val="21"/>
              </w:rPr>
              <w:t>0, Santa Clara, CA 95054</w:t>
            </w:r>
          </w:p>
          <w:p w14:paraId="00B5AB88" w14:textId="3BB6C319" w:rsidR="003418AD" w:rsidRPr="00F62E3F" w:rsidRDefault="003418AD" w:rsidP="003418AD">
            <w:pPr>
              <w:shd w:val="clear" w:color="auto" w:fill="FFFFFF" w:themeFill="background1"/>
              <w:tabs>
                <w:tab w:val="right" w:pos="4302"/>
              </w:tabs>
              <w:rPr>
                <w:sz w:val="21"/>
                <w:szCs w:val="21"/>
              </w:rPr>
            </w:pPr>
          </w:p>
        </w:tc>
      </w:tr>
      <w:tr w:rsidR="003418AD" w:rsidRPr="003418AD" w14:paraId="1B73C514" w14:textId="77777777" w:rsidTr="003418AD">
        <w:tc>
          <w:tcPr>
            <w:tcW w:w="4766" w:type="dxa"/>
          </w:tcPr>
          <w:p w14:paraId="435C4923" w14:textId="666618D6" w:rsidR="003418AD" w:rsidRDefault="003418AD" w:rsidP="003418AD">
            <w:pPr>
              <w:shd w:val="clear" w:color="auto" w:fill="FFFFFF" w:themeFill="background1"/>
              <w:tabs>
                <w:tab w:val="right" w:pos="4454"/>
              </w:tabs>
              <w:rPr>
                <w:sz w:val="21"/>
                <w:szCs w:val="21"/>
                <w:u w:val="single"/>
              </w:rPr>
            </w:pPr>
            <w:r>
              <w:rPr>
                <w:sz w:val="21"/>
                <w:szCs w:val="21"/>
              </w:rPr>
              <w:t>Email</w:t>
            </w:r>
            <w:r w:rsidRPr="00F62E3F">
              <w:rPr>
                <w:sz w:val="21"/>
                <w:szCs w:val="21"/>
              </w:rPr>
              <w:t>:</w:t>
            </w:r>
            <w:r w:rsidR="000C411F">
              <w:rPr>
                <w:sz w:val="21"/>
                <w:szCs w:val="21"/>
              </w:rPr>
              <w:t xml:space="preserve"> civerson@masonmac.com</w:t>
            </w:r>
          </w:p>
          <w:p w14:paraId="466E9862" w14:textId="77777777" w:rsidR="003418AD" w:rsidRDefault="003418AD" w:rsidP="003418AD">
            <w:pPr>
              <w:shd w:val="clear" w:color="auto" w:fill="FFFFFF" w:themeFill="background1"/>
              <w:tabs>
                <w:tab w:val="right" w:pos="4454"/>
              </w:tabs>
              <w:rPr>
                <w:sz w:val="21"/>
                <w:szCs w:val="21"/>
              </w:rPr>
            </w:pPr>
          </w:p>
          <w:p w14:paraId="2A8503F3" w14:textId="1BD8CB2F" w:rsidR="003418AD" w:rsidRPr="00F62E3F" w:rsidRDefault="003418AD" w:rsidP="003418AD">
            <w:pPr>
              <w:shd w:val="clear" w:color="auto" w:fill="FFFFFF" w:themeFill="background1"/>
              <w:tabs>
                <w:tab w:val="right" w:pos="4454"/>
              </w:tabs>
              <w:rPr>
                <w:sz w:val="21"/>
                <w:szCs w:val="21"/>
              </w:rPr>
            </w:pPr>
            <w:r>
              <w:rPr>
                <w:sz w:val="21"/>
                <w:szCs w:val="21"/>
              </w:rPr>
              <w:t xml:space="preserve">                                                                                                                                </w:t>
            </w:r>
          </w:p>
        </w:tc>
        <w:tc>
          <w:tcPr>
            <w:tcW w:w="4594" w:type="dxa"/>
          </w:tcPr>
          <w:p w14:paraId="4BF54563" w14:textId="2B1B339F" w:rsidR="003418AD" w:rsidRPr="00F62E3F" w:rsidRDefault="003418AD" w:rsidP="003418AD">
            <w:pPr>
              <w:shd w:val="clear" w:color="auto" w:fill="FFFFFF" w:themeFill="background1"/>
              <w:tabs>
                <w:tab w:val="right" w:pos="4302"/>
              </w:tabs>
              <w:rPr>
                <w:sz w:val="21"/>
                <w:szCs w:val="21"/>
              </w:rPr>
            </w:pPr>
            <w:r>
              <w:rPr>
                <w:sz w:val="21"/>
                <w:szCs w:val="21"/>
              </w:rPr>
              <w:t>Email: sesha.devana@tavant.com</w:t>
            </w:r>
          </w:p>
        </w:tc>
      </w:tr>
    </w:tbl>
    <w:p w14:paraId="60DE66D2" w14:textId="77777777" w:rsidR="00BB3D61" w:rsidRPr="00F62E3F" w:rsidRDefault="00604072" w:rsidP="00BB3D61">
      <w:pPr>
        <w:shd w:val="clear" w:color="auto" w:fill="FFFFFF" w:themeFill="background1"/>
        <w:spacing w:after="480"/>
        <w:jc w:val="center"/>
        <w:rPr>
          <w:b/>
          <w:sz w:val="21"/>
          <w:szCs w:val="21"/>
        </w:rPr>
      </w:pPr>
      <w:r w:rsidRPr="00F62E3F">
        <w:rPr>
          <w:b/>
          <w:sz w:val="21"/>
          <w:szCs w:val="21"/>
        </w:rPr>
        <w:br w:type="page"/>
      </w:r>
    </w:p>
    <w:p w14:paraId="4F1B7DCD" w14:textId="77777777" w:rsidR="00BB3D61" w:rsidRPr="00910324" w:rsidRDefault="00BB3D61" w:rsidP="00BB3D61">
      <w:pPr>
        <w:shd w:val="clear" w:color="auto" w:fill="FFFFFF" w:themeFill="background1"/>
        <w:spacing w:after="480"/>
        <w:jc w:val="center"/>
        <w:rPr>
          <w:b/>
          <w:sz w:val="22"/>
          <w:szCs w:val="22"/>
        </w:rPr>
      </w:pPr>
      <w:r w:rsidRPr="00910324">
        <w:rPr>
          <w:b/>
          <w:sz w:val="22"/>
          <w:szCs w:val="22"/>
        </w:rPr>
        <w:lastRenderedPageBreak/>
        <w:t>ORDER SCHEDULE</w:t>
      </w:r>
    </w:p>
    <w:p w14:paraId="6CB5F072" w14:textId="760F6503" w:rsidR="00BB3D61" w:rsidRPr="00910324" w:rsidRDefault="00BB3D61" w:rsidP="00BB3D61">
      <w:pPr>
        <w:pStyle w:val="BodyText"/>
        <w:shd w:val="clear" w:color="auto" w:fill="FFFFFF" w:themeFill="background1"/>
        <w:rPr>
          <w:color w:val="1F497D"/>
          <w:sz w:val="22"/>
          <w:szCs w:val="22"/>
        </w:rPr>
      </w:pPr>
      <w:r w:rsidRPr="00910324">
        <w:rPr>
          <w:sz w:val="22"/>
          <w:szCs w:val="22"/>
        </w:rPr>
        <w:t xml:space="preserve">This Order Schedule is entered into as of _______, between Tavant Technologies, Inc. (‘Tavant’) and </w:t>
      </w:r>
      <w:r w:rsidR="000C411F">
        <w:rPr>
          <w:sz w:val="22"/>
          <w:szCs w:val="22"/>
        </w:rPr>
        <w:t>Mason McDuffie</w:t>
      </w:r>
      <w:r w:rsidR="00386A7D">
        <w:rPr>
          <w:sz w:val="22"/>
          <w:szCs w:val="22"/>
        </w:rPr>
        <w:t xml:space="preserve"> </w:t>
      </w:r>
      <w:r w:rsidRPr="00910324">
        <w:rPr>
          <w:sz w:val="22"/>
          <w:szCs w:val="22"/>
        </w:rPr>
        <w:t xml:space="preserve">(the ‘Customer) and is subject to the </w:t>
      </w:r>
      <w:r w:rsidRPr="00910324">
        <w:rPr>
          <w:bCs/>
          <w:sz w:val="22"/>
          <w:szCs w:val="22"/>
        </w:rPr>
        <w:t>Touchless Lending</w:t>
      </w:r>
      <w:r w:rsidR="006C754C" w:rsidRPr="00F62E3F">
        <w:rPr>
          <w:b/>
          <w:bCs/>
          <w:sz w:val="21"/>
          <w:szCs w:val="21"/>
          <w:vertAlign w:val="superscript"/>
        </w:rPr>
        <w:t>TM</w:t>
      </w:r>
      <w:r w:rsidRPr="00910324">
        <w:rPr>
          <w:bCs/>
          <w:sz w:val="22"/>
          <w:szCs w:val="22"/>
        </w:rPr>
        <w:t xml:space="preserve"> Platform Services Agreement (“Agreement”) dated ______between the Parties. </w:t>
      </w:r>
    </w:p>
    <w:p w14:paraId="1AD6307D" w14:textId="77777777" w:rsidR="00BB3D61" w:rsidRPr="00910324" w:rsidRDefault="00BB3D61" w:rsidP="00BB3D61">
      <w:pPr>
        <w:shd w:val="clear" w:color="auto" w:fill="FFFFFF" w:themeFill="background1"/>
        <w:tabs>
          <w:tab w:val="right" w:pos="5040"/>
        </w:tabs>
        <w:rPr>
          <w:sz w:val="22"/>
          <w:szCs w:val="22"/>
        </w:rPr>
      </w:pPr>
    </w:p>
    <w:p w14:paraId="260EF49E" w14:textId="07A936AF" w:rsidR="00BB3D61" w:rsidRPr="00910324" w:rsidRDefault="00BB3D61" w:rsidP="00BB3D61">
      <w:pPr>
        <w:shd w:val="clear" w:color="auto" w:fill="FFFFFF" w:themeFill="background1"/>
        <w:rPr>
          <w:bCs/>
          <w:sz w:val="22"/>
          <w:szCs w:val="22"/>
        </w:rPr>
      </w:pPr>
      <w:r w:rsidRPr="00910324">
        <w:rPr>
          <w:sz w:val="22"/>
          <w:szCs w:val="22"/>
        </w:rPr>
        <w:t xml:space="preserve">Pursuant to the terms of the Agreement, Tavant agrees to offer, and the Customer accepts the below mentioned modules and components of the </w:t>
      </w:r>
      <w:r w:rsidRPr="00910324">
        <w:rPr>
          <w:bCs/>
          <w:sz w:val="22"/>
          <w:szCs w:val="22"/>
        </w:rPr>
        <w:t>Touchless Lending</w:t>
      </w:r>
      <w:r w:rsidR="006C754C" w:rsidRPr="00F62E3F">
        <w:rPr>
          <w:b/>
          <w:bCs/>
          <w:sz w:val="21"/>
          <w:szCs w:val="21"/>
          <w:vertAlign w:val="superscript"/>
        </w:rPr>
        <w:t>TM</w:t>
      </w:r>
      <w:r w:rsidRPr="00910324">
        <w:rPr>
          <w:bCs/>
          <w:sz w:val="22"/>
          <w:szCs w:val="22"/>
        </w:rPr>
        <w:t xml:space="preserve"> Platform Services (or herein referred to as Platform Services). For clarity, it is to be noted that any modules or components not listed in this Order Schedule are not part of the Platform Services offering. </w:t>
      </w:r>
    </w:p>
    <w:p w14:paraId="26CB16A2" w14:textId="77777777" w:rsidR="00BB3D61" w:rsidRPr="00910324" w:rsidRDefault="00BB3D61" w:rsidP="00BB3D61">
      <w:pPr>
        <w:shd w:val="clear" w:color="auto" w:fill="FFFFFF" w:themeFill="background1"/>
        <w:rPr>
          <w:sz w:val="22"/>
          <w:szCs w:val="22"/>
        </w:rPr>
      </w:pPr>
    </w:p>
    <w:p w14:paraId="58301865" w14:textId="77777777" w:rsidR="00BB3D61" w:rsidRPr="00910324" w:rsidRDefault="00BB3D61" w:rsidP="001901A9">
      <w:pPr>
        <w:pStyle w:val="ListParagraph"/>
        <w:numPr>
          <w:ilvl w:val="0"/>
          <w:numId w:val="15"/>
        </w:numPr>
        <w:shd w:val="clear" w:color="auto" w:fill="FFFFFF" w:themeFill="background1"/>
        <w:rPr>
          <w:b/>
          <w:bCs/>
          <w:sz w:val="22"/>
          <w:szCs w:val="22"/>
        </w:rPr>
      </w:pPr>
      <w:r w:rsidRPr="00910324">
        <w:rPr>
          <w:b/>
          <w:bCs/>
          <w:sz w:val="22"/>
          <w:szCs w:val="22"/>
        </w:rPr>
        <w:t xml:space="preserve">Additional Definitions: </w:t>
      </w:r>
    </w:p>
    <w:p w14:paraId="4824C8D6" w14:textId="77777777" w:rsidR="00BB3D61" w:rsidRPr="00910324" w:rsidRDefault="00BB3D61" w:rsidP="001901A9">
      <w:pPr>
        <w:pStyle w:val="ListParagraph"/>
        <w:numPr>
          <w:ilvl w:val="1"/>
          <w:numId w:val="16"/>
        </w:numPr>
        <w:shd w:val="clear" w:color="auto" w:fill="FFFFFF" w:themeFill="background1"/>
        <w:jc w:val="both"/>
        <w:rPr>
          <w:b/>
          <w:bCs/>
          <w:sz w:val="22"/>
          <w:szCs w:val="22"/>
        </w:rPr>
      </w:pPr>
      <w:r w:rsidRPr="00910324">
        <w:rPr>
          <w:sz w:val="22"/>
          <w:szCs w:val="22"/>
        </w:rPr>
        <w:t>“</w:t>
      </w:r>
      <w:r w:rsidRPr="00910324">
        <w:rPr>
          <w:b/>
          <w:bCs/>
          <w:sz w:val="22"/>
          <w:szCs w:val="22"/>
        </w:rPr>
        <w:t>AUS Reports</w:t>
      </w:r>
      <w:r w:rsidRPr="00910324">
        <w:rPr>
          <w:sz w:val="22"/>
          <w:szCs w:val="22"/>
        </w:rPr>
        <w:t>” means the data and reports provided by Freddie Mac, Fannie Mae and other Automated Underwriting Systems (AUS) in accordance with requests by Customer, through Touchless Decision.</w:t>
      </w:r>
    </w:p>
    <w:p w14:paraId="46399408" w14:textId="77777777" w:rsidR="00BB3D61" w:rsidRPr="00910324" w:rsidRDefault="00BB3D61" w:rsidP="001901A9">
      <w:pPr>
        <w:pStyle w:val="ListParagraph"/>
        <w:numPr>
          <w:ilvl w:val="1"/>
          <w:numId w:val="16"/>
        </w:numPr>
        <w:shd w:val="clear" w:color="auto" w:fill="FFFFFF" w:themeFill="background1"/>
        <w:jc w:val="both"/>
        <w:rPr>
          <w:b/>
          <w:bCs/>
          <w:sz w:val="22"/>
          <w:szCs w:val="22"/>
        </w:rPr>
      </w:pPr>
      <w:r w:rsidRPr="00910324">
        <w:rPr>
          <w:sz w:val="22"/>
          <w:szCs w:val="22"/>
        </w:rPr>
        <w:t>“</w:t>
      </w:r>
      <w:r w:rsidRPr="00910324">
        <w:rPr>
          <w:b/>
          <w:bCs/>
          <w:sz w:val="22"/>
          <w:szCs w:val="22"/>
        </w:rPr>
        <w:t>AUS Services</w:t>
      </w:r>
      <w:r w:rsidRPr="00910324">
        <w:rPr>
          <w:sz w:val="22"/>
          <w:szCs w:val="22"/>
        </w:rPr>
        <w:t xml:space="preserve">” means those Freddie Mac, Fannie Mae and AUS services, selected or requested by Customer via the functionality of Touchless Decision, from which Customer wishes to receive AUS Reports. </w:t>
      </w:r>
    </w:p>
    <w:p w14:paraId="643266BA" w14:textId="77777777" w:rsidR="00BB3D61" w:rsidRPr="00910324" w:rsidRDefault="00BB3D61" w:rsidP="001901A9">
      <w:pPr>
        <w:pStyle w:val="ListParagraph"/>
        <w:numPr>
          <w:ilvl w:val="1"/>
          <w:numId w:val="16"/>
        </w:numPr>
        <w:shd w:val="clear" w:color="auto" w:fill="FFFFFF" w:themeFill="background1"/>
        <w:rPr>
          <w:sz w:val="22"/>
          <w:szCs w:val="22"/>
        </w:rPr>
      </w:pPr>
      <w:r w:rsidRPr="00910324">
        <w:rPr>
          <w:sz w:val="22"/>
          <w:szCs w:val="22"/>
        </w:rPr>
        <w:t>“</w:t>
      </w:r>
      <w:r w:rsidRPr="00910324">
        <w:rPr>
          <w:b/>
          <w:bCs/>
          <w:sz w:val="22"/>
          <w:szCs w:val="22"/>
        </w:rPr>
        <w:t>FinConnect Platform Services</w:t>
      </w:r>
      <w:r w:rsidRPr="00910324">
        <w:rPr>
          <w:sz w:val="22"/>
          <w:szCs w:val="22"/>
        </w:rPr>
        <w:t>” means the FinConnect software module(s) provided by Tavant to the limited extent they are required for the delivery for the components of the Platform Services as licensed by the Customer.</w:t>
      </w:r>
    </w:p>
    <w:p w14:paraId="4B12513E" w14:textId="77777777" w:rsidR="00BB3D61" w:rsidRPr="00910324" w:rsidRDefault="00BB3D61" w:rsidP="001901A9">
      <w:pPr>
        <w:pStyle w:val="ListParagraph"/>
        <w:numPr>
          <w:ilvl w:val="1"/>
          <w:numId w:val="16"/>
        </w:numPr>
        <w:shd w:val="clear" w:color="auto" w:fill="FFFFFF" w:themeFill="background1"/>
        <w:jc w:val="both"/>
        <w:rPr>
          <w:b/>
          <w:bCs/>
          <w:sz w:val="22"/>
          <w:szCs w:val="22"/>
        </w:rPr>
      </w:pPr>
      <w:r w:rsidRPr="00910324">
        <w:rPr>
          <w:sz w:val="22"/>
          <w:szCs w:val="22"/>
        </w:rPr>
        <w:t>“</w:t>
      </w:r>
      <w:r w:rsidRPr="00910324">
        <w:rPr>
          <w:b/>
          <w:bCs/>
          <w:sz w:val="22"/>
          <w:szCs w:val="22"/>
        </w:rPr>
        <w:t>Touchless Decision</w:t>
      </w:r>
      <w:r w:rsidRPr="00910324">
        <w:rPr>
          <w:sz w:val="22"/>
          <w:szCs w:val="22"/>
        </w:rPr>
        <w:t xml:space="preserve">” means the FinDecision platform services and software offered by Tavant which uses AUS Services. </w:t>
      </w:r>
    </w:p>
    <w:p w14:paraId="634FA830" w14:textId="77777777" w:rsidR="00BB3D61" w:rsidRPr="0024338A" w:rsidRDefault="00BB3D61" w:rsidP="00BB3D61">
      <w:pPr>
        <w:pStyle w:val="ListParagraph"/>
        <w:shd w:val="clear" w:color="auto" w:fill="FFFFFF" w:themeFill="background1"/>
        <w:ind w:left="1440"/>
        <w:jc w:val="both"/>
        <w:rPr>
          <w:b/>
          <w:bCs/>
          <w:sz w:val="21"/>
          <w:szCs w:val="21"/>
        </w:rPr>
      </w:pPr>
    </w:p>
    <w:p w14:paraId="19A14A80" w14:textId="77777777" w:rsidR="005472AB" w:rsidRDefault="005472AB" w:rsidP="00BB3D61">
      <w:pPr>
        <w:shd w:val="clear" w:color="auto" w:fill="FFFFFF" w:themeFill="background1"/>
        <w:rPr>
          <w:sz w:val="21"/>
          <w:szCs w:val="21"/>
        </w:rPr>
      </w:pPr>
    </w:p>
    <w:p w14:paraId="01F4262A" w14:textId="10A15E09" w:rsidR="00BB3D61" w:rsidRDefault="00BB3D61" w:rsidP="00BB3D61">
      <w:pPr>
        <w:shd w:val="clear" w:color="auto" w:fill="FFFFFF" w:themeFill="background1"/>
        <w:rPr>
          <w:sz w:val="21"/>
          <w:szCs w:val="21"/>
        </w:rPr>
      </w:pPr>
      <w:r w:rsidRPr="00F62E3F">
        <w:rPr>
          <w:sz w:val="21"/>
          <w:szCs w:val="21"/>
        </w:rPr>
        <w:t>All terms or words not specifically defined in this Order Schedule will derive its meaning from the Agreement.</w:t>
      </w:r>
    </w:p>
    <w:p w14:paraId="258B94E6" w14:textId="77777777" w:rsidR="00BB3D61" w:rsidRDefault="00BB3D61" w:rsidP="00BB3D61">
      <w:pPr>
        <w:shd w:val="clear" w:color="auto" w:fill="FFFFFF" w:themeFill="background1"/>
        <w:rPr>
          <w:sz w:val="21"/>
          <w:szCs w:val="21"/>
        </w:rPr>
      </w:pPr>
    </w:p>
    <w:p w14:paraId="76DC117F" w14:textId="77777777" w:rsidR="00BB3D61" w:rsidRPr="00F62E3F" w:rsidRDefault="00BB3D61" w:rsidP="00BB3D61">
      <w:pPr>
        <w:shd w:val="clear" w:color="auto" w:fill="FFFFFF" w:themeFill="background1"/>
        <w:rPr>
          <w:sz w:val="21"/>
          <w:szCs w:val="21"/>
        </w:rPr>
      </w:pPr>
    </w:p>
    <w:p w14:paraId="636C2B9B" w14:textId="132B93BB" w:rsidR="007946E7" w:rsidRPr="007946E7" w:rsidRDefault="001D5DC7" w:rsidP="001D5DC7">
      <w:pPr>
        <w:pStyle w:val="ListParagraph"/>
        <w:numPr>
          <w:ilvl w:val="0"/>
          <w:numId w:val="15"/>
        </w:numPr>
        <w:shd w:val="clear" w:color="auto" w:fill="FFFFFF" w:themeFill="background1"/>
        <w:rPr>
          <w:b/>
          <w:sz w:val="21"/>
          <w:szCs w:val="21"/>
        </w:rPr>
      </w:pPr>
      <w:r w:rsidRPr="001D5DC7">
        <w:rPr>
          <w:b/>
          <w:bCs/>
          <w:sz w:val="21"/>
          <w:szCs w:val="21"/>
        </w:rPr>
        <w:t>Term</w:t>
      </w:r>
    </w:p>
    <w:p w14:paraId="2D282278" w14:textId="7E3804CC" w:rsidR="007946E7" w:rsidRDefault="001D5DC7" w:rsidP="007946E7">
      <w:pPr>
        <w:pStyle w:val="ListParagraph"/>
        <w:shd w:val="clear" w:color="auto" w:fill="FFFFFF" w:themeFill="background1"/>
        <w:rPr>
          <w:bCs/>
          <w:sz w:val="21"/>
          <w:szCs w:val="21"/>
        </w:rPr>
      </w:pPr>
      <w:r w:rsidRPr="001D5DC7">
        <w:rPr>
          <w:b/>
          <w:sz w:val="21"/>
          <w:szCs w:val="21"/>
        </w:rPr>
        <w:br/>
      </w:r>
      <w:r w:rsidRPr="007946E7">
        <w:rPr>
          <w:bCs/>
          <w:sz w:val="21"/>
          <w:szCs w:val="21"/>
        </w:rPr>
        <w:t>The term</w:t>
      </w:r>
      <w:r w:rsidR="00AC32E1">
        <w:rPr>
          <w:bCs/>
          <w:sz w:val="21"/>
          <w:szCs w:val="21"/>
        </w:rPr>
        <w:t xml:space="preserve"> and expiration</w:t>
      </w:r>
      <w:r w:rsidRPr="007946E7">
        <w:rPr>
          <w:bCs/>
          <w:sz w:val="21"/>
          <w:szCs w:val="21"/>
        </w:rPr>
        <w:t xml:space="preserve"> of the Order Form shall match the term set forth in Section 10.1 of the </w:t>
      </w:r>
      <w:r w:rsidR="007946E7" w:rsidRPr="007946E7">
        <w:rPr>
          <w:bCs/>
          <w:sz w:val="21"/>
          <w:szCs w:val="21"/>
        </w:rPr>
        <w:t>Agreement</w:t>
      </w:r>
      <w:r w:rsidR="00AC32E1">
        <w:rPr>
          <w:bCs/>
          <w:sz w:val="21"/>
          <w:szCs w:val="21"/>
        </w:rPr>
        <w:t xml:space="preserve">. </w:t>
      </w:r>
    </w:p>
    <w:p w14:paraId="201D550B" w14:textId="77777777" w:rsidR="007946E7" w:rsidRPr="007946E7" w:rsidRDefault="007946E7" w:rsidP="007946E7">
      <w:pPr>
        <w:pStyle w:val="ListParagraph"/>
        <w:shd w:val="clear" w:color="auto" w:fill="FFFFFF" w:themeFill="background1"/>
        <w:rPr>
          <w:bCs/>
          <w:sz w:val="21"/>
          <w:szCs w:val="21"/>
        </w:rPr>
      </w:pPr>
    </w:p>
    <w:p w14:paraId="57E2BD46" w14:textId="03E3F959" w:rsidR="00B559C3" w:rsidRPr="00B559C3" w:rsidRDefault="00B559C3" w:rsidP="00B559C3">
      <w:pPr>
        <w:pStyle w:val="ListParagraph"/>
        <w:numPr>
          <w:ilvl w:val="0"/>
          <w:numId w:val="15"/>
        </w:numPr>
        <w:shd w:val="clear" w:color="auto" w:fill="FFFFFF" w:themeFill="background1"/>
        <w:rPr>
          <w:bCs/>
          <w:sz w:val="21"/>
          <w:szCs w:val="21"/>
        </w:rPr>
      </w:pPr>
      <w:r w:rsidRPr="00B559C3">
        <w:rPr>
          <w:b/>
          <w:bCs/>
          <w:sz w:val="21"/>
          <w:szCs w:val="21"/>
        </w:rPr>
        <w:t xml:space="preserve">Minimum Annual Loan </w:t>
      </w:r>
      <w:r w:rsidR="00197B63">
        <w:rPr>
          <w:b/>
          <w:bCs/>
          <w:sz w:val="21"/>
          <w:szCs w:val="21"/>
        </w:rPr>
        <w:t xml:space="preserve">Volume </w:t>
      </w:r>
      <w:r w:rsidRPr="00B559C3">
        <w:rPr>
          <w:b/>
          <w:bCs/>
          <w:sz w:val="21"/>
          <w:szCs w:val="21"/>
        </w:rPr>
        <w:t>Commitment</w:t>
      </w:r>
    </w:p>
    <w:p w14:paraId="4B2D6006" w14:textId="4B23D9E0" w:rsidR="00B559C3" w:rsidRDefault="00B559C3" w:rsidP="00B559C3">
      <w:pPr>
        <w:pStyle w:val="ListParagraph"/>
        <w:shd w:val="clear" w:color="auto" w:fill="FFFFFF" w:themeFill="background1"/>
        <w:jc w:val="both"/>
        <w:rPr>
          <w:bCs/>
          <w:sz w:val="21"/>
          <w:szCs w:val="21"/>
        </w:rPr>
      </w:pPr>
      <w:r w:rsidRPr="00B559C3">
        <w:rPr>
          <w:b/>
          <w:sz w:val="21"/>
          <w:szCs w:val="21"/>
        </w:rPr>
        <w:br/>
      </w:r>
      <w:r w:rsidRPr="00B559C3">
        <w:rPr>
          <w:bCs/>
          <w:sz w:val="21"/>
          <w:szCs w:val="21"/>
        </w:rPr>
        <w:t xml:space="preserve">The Customer agrees to a minimum annual commitment of </w:t>
      </w:r>
      <w:r w:rsidR="00C51F69">
        <w:rPr>
          <w:bCs/>
          <w:sz w:val="21"/>
          <w:szCs w:val="21"/>
        </w:rPr>
        <w:t>2,1</w:t>
      </w:r>
      <w:r w:rsidR="0040593D">
        <w:rPr>
          <w:bCs/>
          <w:sz w:val="21"/>
          <w:szCs w:val="21"/>
        </w:rPr>
        <w:t>60</w:t>
      </w:r>
      <w:r w:rsidRPr="00B559C3">
        <w:rPr>
          <w:bCs/>
          <w:sz w:val="21"/>
          <w:szCs w:val="21"/>
        </w:rPr>
        <w:t xml:space="preserve"> loans per year</w:t>
      </w:r>
      <w:r w:rsidR="00197B63">
        <w:rPr>
          <w:bCs/>
          <w:sz w:val="21"/>
          <w:szCs w:val="21"/>
        </w:rPr>
        <w:t xml:space="preserve"> to be processed through the Platform Services</w:t>
      </w:r>
      <w:r w:rsidRPr="00B559C3">
        <w:rPr>
          <w:bCs/>
          <w:sz w:val="21"/>
          <w:szCs w:val="21"/>
        </w:rPr>
        <w:t xml:space="preserve">. This annual commitment will be divided evenly across 12 months, equating to </w:t>
      </w:r>
      <w:r w:rsidR="00C51F69">
        <w:rPr>
          <w:bCs/>
          <w:sz w:val="21"/>
          <w:szCs w:val="21"/>
        </w:rPr>
        <w:t>18</w:t>
      </w:r>
      <w:r w:rsidRPr="00B559C3">
        <w:rPr>
          <w:bCs/>
          <w:sz w:val="21"/>
          <w:szCs w:val="21"/>
        </w:rPr>
        <w:t>0 loans per month.</w:t>
      </w:r>
    </w:p>
    <w:p w14:paraId="565842B7" w14:textId="77777777" w:rsidR="00B559C3" w:rsidRPr="00B559C3" w:rsidRDefault="00B559C3" w:rsidP="00B559C3">
      <w:pPr>
        <w:pStyle w:val="ListParagraph"/>
        <w:shd w:val="clear" w:color="auto" w:fill="FFFFFF" w:themeFill="background1"/>
        <w:rPr>
          <w:bCs/>
          <w:sz w:val="21"/>
          <w:szCs w:val="21"/>
        </w:rPr>
      </w:pPr>
    </w:p>
    <w:p w14:paraId="556AB83C" w14:textId="77777777" w:rsidR="00C71520" w:rsidRPr="00C71520" w:rsidRDefault="00C71520" w:rsidP="00C71520">
      <w:pPr>
        <w:pStyle w:val="ListParagraph"/>
        <w:numPr>
          <w:ilvl w:val="0"/>
          <w:numId w:val="15"/>
        </w:numPr>
        <w:shd w:val="clear" w:color="auto" w:fill="FFFFFF" w:themeFill="background1"/>
        <w:rPr>
          <w:b/>
          <w:sz w:val="21"/>
          <w:szCs w:val="21"/>
        </w:rPr>
      </w:pPr>
      <w:r w:rsidRPr="00C71520">
        <w:rPr>
          <w:b/>
          <w:sz w:val="21"/>
          <w:szCs w:val="21"/>
        </w:rPr>
        <w:t>Invoicing</w:t>
      </w:r>
    </w:p>
    <w:p w14:paraId="4DE82EE2" w14:textId="44C6E200" w:rsidR="00C71520" w:rsidRPr="001F02B7" w:rsidRDefault="00C71520" w:rsidP="001F02B7">
      <w:pPr>
        <w:pStyle w:val="ListParagraph"/>
        <w:shd w:val="clear" w:color="auto" w:fill="FFFFFF" w:themeFill="background1"/>
        <w:jc w:val="both"/>
        <w:rPr>
          <w:bCs/>
          <w:sz w:val="21"/>
          <w:szCs w:val="21"/>
        </w:rPr>
      </w:pPr>
      <w:r w:rsidRPr="001F02B7">
        <w:rPr>
          <w:bCs/>
          <w:sz w:val="21"/>
          <w:szCs w:val="21"/>
        </w:rPr>
        <w:t xml:space="preserve">The Customer will be invoiced on a monthly basis for </w:t>
      </w:r>
      <w:r w:rsidR="0040593D">
        <w:rPr>
          <w:bCs/>
          <w:sz w:val="21"/>
          <w:szCs w:val="21"/>
        </w:rPr>
        <w:t>18</w:t>
      </w:r>
      <w:r w:rsidRPr="001F02B7">
        <w:rPr>
          <w:bCs/>
          <w:sz w:val="21"/>
          <w:szCs w:val="21"/>
        </w:rPr>
        <w:t>0 loans multiplied by the applicable pricing for the modules or the Touchless Bundle as selected by the Customer. Payment terms will be as per the Agreement, with the Customer having 30 days from the date of invoice to remit payment.</w:t>
      </w:r>
    </w:p>
    <w:p w14:paraId="54E2A233" w14:textId="77777777" w:rsidR="00C71520" w:rsidRDefault="00C71520" w:rsidP="00C71520">
      <w:pPr>
        <w:pStyle w:val="ListParagraph"/>
        <w:shd w:val="clear" w:color="auto" w:fill="FFFFFF" w:themeFill="background1"/>
        <w:rPr>
          <w:b/>
          <w:sz w:val="21"/>
          <w:szCs w:val="21"/>
        </w:rPr>
      </w:pPr>
    </w:p>
    <w:p w14:paraId="218AB79E" w14:textId="5F5B83F8" w:rsidR="001D5DC7" w:rsidRDefault="00BB3D61" w:rsidP="00C71520">
      <w:pPr>
        <w:pStyle w:val="ListParagraph"/>
        <w:numPr>
          <w:ilvl w:val="0"/>
          <w:numId w:val="15"/>
        </w:numPr>
        <w:shd w:val="clear" w:color="auto" w:fill="FFFFFF" w:themeFill="background1"/>
        <w:rPr>
          <w:b/>
          <w:sz w:val="21"/>
          <w:szCs w:val="21"/>
        </w:rPr>
      </w:pPr>
      <w:r w:rsidRPr="000B31A7">
        <w:rPr>
          <w:b/>
          <w:sz w:val="21"/>
          <w:szCs w:val="21"/>
        </w:rPr>
        <w:t>Platform Services</w:t>
      </w:r>
      <w:r>
        <w:rPr>
          <w:b/>
          <w:sz w:val="21"/>
          <w:szCs w:val="21"/>
        </w:rPr>
        <w:t xml:space="preserve"> Fee and Pricing </w:t>
      </w:r>
    </w:p>
    <w:p w14:paraId="1D175B72" w14:textId="77777777" w:rsidR="005472AB" w:rsidRPr="007946E7" w:rsidRDefault="005472AB" w:rsidP="005472AB">
      <w:pPr>
        <w:pStyle w:val="ListParagraph"/>
        <w:shd w:val="clear" w:color="auto" w:fill="FFFFFF" w:themeFill="background1"/>
        <w:rPr>
          <w:b/>
          <w:sz w:val="21"/>
          <w:szCs w:val="21"/>
        </w:rPr>
      </w:pPr>
    </w:p>
    <w:p w14:paraId="2D7A6803" w14:textId="25B9A116" w:rsidR="00BB3D61" w:rsidRPr="005472AB" w:rsidRDefault="00BB3D61" w:rsidP="000C1B4A">
      <w:pPr>
        <w:pStyle w:val="ListParagraph"/>
        <w:numPr>
          <w:ilvl w:val="1"/>
          <w:numId w:val="18"/>
        </w:numPr>
        <w:shd w:val="clear" w:color="auto" w:fill="FFFFFF" w:themeFill="background1"/>
        <w:jc w:val="both"/>
        <w:rPr>
          <w:b/>
          <w:sz w:val="21"/>
          <w:szCs w:val="21"/>
        </w:rPr>
      </w:pPr>
      <w:r w:rsidRPr="000C1B4A">
        <w:rPr>
          <w:b/>
          <w:sz w:val="21"/>
          <w:szCs w:val="21"/>
        </w:rPr>
        <w:t xml:space="preserve">Per Module Pricing: </w:t>
      </w:r>
      <w:r w:rsidR="007C33E5">
        <w:rPr>
          <w:bCs/>
          <w:sz w:val="21"/>
          <w:szCs w:val="21"/>
        </w:rPr>
        <w:t xml:space="preserve">Touchless Lending Decision Analysis </w:t>
      </w:r>
      <w:r w:rsidRPr="000C1B4A">
        <w:rPr>
          <w:bCs/>
          <w:sz w:val="21"/>
          <w:szCs w:val="21"/>
        </w:rPr>
        <w:t>per-module pricing for Platform Services is based on the Customer's monthly loan application volume for the corresponding module and is provided in the table below</w:t>
      </w:r>
      <w:r w:rsidR="006C754C" w:rsidRPr="000C1B4A">
        <w:rPr>
          <w:bCs/>
          <w:sz w:val="21"/>
          <w:szCs w:val="21"/>
        </w:rPr>
        <w:t xml:space="preserve"> (section </w:t>
      </w:r>
      <w:r w:rsidR="00FB2EAA">
        <w:rPr>
          <w:bCs/>
          <w:sz w:val="21"/>
          <w:szCs w:val="21"/>
        </w:rPr>
        <w:t>5</w:t>
      </w:r>
      <w:r w:rsidR="006C754C" w:rsidRPr="000C1B4A">
        <w:rPr>
          <w:bCs/>
          <w:sz w:val="21"/>
          <w:szCs w:val="21"/>
        </w:rPr>
        <w:t>.</w:t>
      </w:r>
      <w:r w:rsidR="00C95AD6">
        <w:rPr>
          <w:bCs/>
          <w:sz w:val="21"/>
          <w:szCs w:val="21"/>
        </w:rPr>
        <w:t>2)</w:t>
      </w:r>
      <w:r w:rsidRPr="000C1B4A">
        <w:rPr>
          <w:bCs/>
          <w:sz w:val="21"/>
          <w:szCs w:val="21"/>
        </w:rPr>
        <w:t xml:space="preserve">. </w:t>
      </w:r>
    </w:p>
    <w:p w14:paraId="0B8FAFCC" w14:textId="77777777" w:rsidR="005472AB" w:rsidRPr="005472AB" w:rsidRDefault="005472AB" w:rsidP="005472AB">
      <w:pPr>
        <w:pStyle w:val="ListParagraph"/>
        <w:shd w:val="clear" w:color="auto" w:fill="FFFFFF" w:themeFill="background1"/>
        <w:ind w:left="1440"/>
        <w:jc w:val="both"/>
        <w:rPr>
          <w:b/>
          <w:sz w:val="21"/>
          <w:szCs w:val="21"/>
        </w:rPr>
      </w:pPr>
    </w:p>
    <w:p w14:paraId="524D74F7" w14:textId="105BB346" w:rsidR="005472AB" w:rsidRPr="005472AB" w:rsidRDefault="005472AB" w:rsidP="005472AB">
      <w:pPr>
        <w:pStyle w:val="ListParagraph"/>
        <w:widowControl/>
        <w:numPr>
          <w:ilvl w:val="2"/>
          <w:numId w:val="18"/>
        </w:numPr>
        <w:overflowPunct/>
        <w:autoSpaceDE/>
        <w:autoSpaceDN/>
        <w:adjustRightInd/>
        <w:spacing w:before="100" w:beforeAutospacing="1" w:after="100" w:afterAutospacing="1"/>
        <w:textAlignment w:val="auto"/>
        <w:rPr>
          <w:bCs/>
          <w:sz w:val="21"/>
          <w:szCs w:val="21"/>
        </w:rPr>
      </w:pPr>
      <w:r w:rsidRPr="005472AB">
        <w:rPr>
          <w:bCs/>
          <w:sz w:val="21"/>
          <w:szCs w:val="21"/>
        </w:rPr>
        <w:t>Touchless Decision (Decision Analysis) will be invoiced per funded loan.</w:t>
      </w:r>
    </w:p>
    <w:p w14:paraId="081A4AF1" w14:textId="77777777" w:rsidR="005472AB" w:rsidRPr="000C1B4A" w:rsidRDefault="005472AB" w:rsidP="005472AB">
      <w:pPr>
        <w:pStyle w:val="ListParagraph"/>
        <w:shd w:val="clear" w:color="auto" w:fill="FFFFFF" w:themeFill="background1"/>
        <w:ind w:left="2880"/>
        <w:jc w:val="both"/>
        <w:rPr>
          <w:b/>
          <w:sz w:val="21"/>
          <w:szCs w:val="21"/>
        </w:rPr>
      </w:pPr>
    </w:p>
    <w:p w14:paraId="22EE9C25" w14:textId="77777777" w:rsidR="00F563B1" w:rsidRDefault="00F563B1" w:rsidP="00F563B1">
      <w:pPr>
        <w:shd w:val="clear" w:color="auto" w:fill="FFFFFF" w:themeFill="background1"/>
        <w:jc w:val="both"/>
        <w:rPr>
          <w:b/>
          <w:sz w:val="21"/>
          <w:szCs w:val="21"/>
        </w:rPr>
      </w:pPr>
    </w:p>
    <w:p w14:paraId="11A15D9F" w14:textId="77777777" w:rsidR="00BB3D61" w:rsidRDefault="00BB3D61" w:rsidP="000C1B4A">
      <w:pPr>
        <w:pStyle w:val="ListParagraph"/>
        <w:numPr>
          <w:ilvl w:val="1"/>
          <w:numId w:val="18"/>
        </w:numPr>
        <w:shd w:val="clear" w:color="auto" w:fill="FFFFFF" w:themeFill="background1"/>
        <w:jc w:val="both"/>
        <w:rPr>
          <w:b/>
          <w:sz w:val="21"/>
          <w:szCs w:val="21"/>
        </w:rPr>
      </w:pPr>
      <w:r>
        <w:rPr>
          <w:b/>
          <w:sz w:val="21"/>
          <w:szCs w:val="21"/>
        </w:rPr>
        <w:t xml:space="preserve">The Platform Services licensed by the Customer and the corresponding license fee are as follows: </w:t>
      </w:r>
    </w:p>
    <w:p w14:paraId="00E4A79C" w14:textId="77777777" w:rsidR="00EC5D12" w:rsidRPr="00EC5D12" w:rsidRDefault="00EC5D12" w:rsidP="00EC5D12">
      <w:pPr>
        <w:pStyle w:val="ListParagraph"/>
        <w:rPr>
          <w:b/>
          <w:sz w:val="21"/>
          <w:szCs w:val="21"/>
        </w:rPr>
      </w:pPr>
    </w:p>
    <w:p w14:paraId="0EAC3E74" w14:textId="77777777" w:rsidR="00EC5D12" w:rsidRPr="00910324" w:rsidRDefault="00EC5D12" w:rsidP="00EC5D12">
      <w:pPr>
        <w:pStyle w:val="ListParagraph"/>
        <w:shd w:val="clear" w:color="auto" w:fill="FFFFFF" w:themeFill="background1"/>
        <w:ind w:left="1440"/>
        <w:jc w:val="both"/>
        <w:rPr>
          <w:b/>
          <w:sz w:val="21"/>
          <w:szCs w:val="21"/>
        </w:rPr>
      </w:pPr>
    </w:p>
    <w:tbl>
      <w:tblPr>
        <w:tblW w:w="4757" w:type="dxa"/>
        <w:tblInd w:w="1893" w:type="dxa"/>
        <w:tblLook w:val="04A0" w:firstRow="1" w:lastRow="0" w:firstColumn="1" w:lastColumn="0" w:noHBand="0" w:noVBand="1"/>
      </w:tblPr>
      <w:tblGrid>
        <w:gridCol w:w="2360"/>
        <w:gridCol w:w="2397"/>
      </w:tblGrid>
      <w:tr w:rsidR="00662DD5" w:rsidRPr="00662DD5" w14:paraId="06825FF8" w14:textId="77777777" w:rsidTr="00662DD5">
        <w:trPr>
          <w:trHeight w:val="600"/>
        </w:trPr>
        <w:tc>
          <w:tcPr>
            <w:tcW w:w="236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6FB20B0" w14:textId="77777777" w:rsidR="00662DD5" w:rsidRPr="00662DD5" w:rsidRDefault="00662DD5" w:rsidP="00662DD5">
            <w:pPr>
              <w:widowControl/>
              <w:overflowPunct/>
              <w:autoSpaceDE/>
              <w:autoSpaceDN/>
              <w:adjustRightInd/>
              <w:textAlignment w:val="auto"/>
              <w:rPr>
                <w:b/>
                <w:bCs/>
                <w:color w:val="212121"/>
              </w:rPr>
            </w:pPr>
            <w:r w:rsidRPr="00662DD5">
              <w:rPr>
                <w:b/>
                <w:bCs/>
                <w:color w:val="212121"/>
              </w:rPr>
              <w:t>Monthly Funded Loan Volume</w:t>
            </w:r>
          </w:p>
        </w:tc>
        <w:tc>
          <w:tcPr>
            <w:tcW w:w="2397" w:type="dxa"/>
            <w:tcBorders>
              <w:top w:val="single" w:sz="8" w:space="0" w:color="auto"/>
              <w:left w:val="nil"/>
              <w:bottom w:val="single" w:sz="8" w:space="0" w:color="auto"/>
              <w:right w:val="single" w:sz="8" w:space="0" w:color="auto"/>
            </w:tcBorders>
            <w:shd w:val="clear" w:color="auto" w:fill="auto"/>
            <w:vAlign w:val="bottom"/>
            <w:hideMark/>
          </w:tcPr>
          <w:p w14:paraId="6B21B0A3" w14:textId="77777777" w:rsidR="00662DD5" w:rsidRPr="00662DD5" w:rsidRDefault="00662DD5" w:rsidP="00662DD5">
            <w:pPr>
              <w:widowControl/>
              <w:overflowPunct/>
              <w:autoSpaceDE/>
              <w:autoSpaceDN/>
              <w:adjustRightInd/>
              <w:textAlignment w:val="auto"/>
              <w:rPr>
                <w:b/>
                <w:bCs/>
                <w:color w:val="212121"/>
                <w:sz w:val="18"/>
                <w:szCs w:val="18"/>
              </w:rPr>
            </w:pPr>
            <w:r w:rsidRPr="00662DD5">
              <w:rPr>
                <w:b/>
                <w:bCs/>
                <w:color w:val="212121"/>
                <w:sz w:val="18"/>
                <w:szCs w:val="18"/>
              </w:rPr>
              <w:t>Touchless Decision (Agency)</w:t>
            </w:r>
          </w:p>
        </w:tc>
      </w:tr>
      <w:tr w:rsidR="00662DD5" w:rsidRPr="00662DD5" w14:paraId="314EB77A" w14:textId="77777777" w:rsidTr="00662DD5">
        <w:trPr>
          <w:trHeight w:val="320"/>
        </w:trPr>
        <w:tc>
          <w:tcPr>
            <w:tcW w:w="2360" w:type="dxa"/>
            <w:tcBorders>
              <w:top w:val="nil"/>
              <w:left w:val="single" w:sz="8" w:space="0" w:color="auto"/>
              <w:bottom w:val="single" w:sz="4" w:space="0" w:color="auto"/>
              <w:right w:val="single" w:sz="4" w:space="0" w:color="auto"/>
            </w:tcBorders>
            <w:shd w:val="clear" w:color="auto" w:fill="auto"/>
            <w:noWrap/>
            <w:vAlign w:val="bottom"/>
            <w:hideMark/>
          </w:tcPr>
          <w:p w14:paraId="52A85F38" w14:textId="77777777" w:rsidR="00662DD5" w:rsidRPr="00662DD5" w:rsidRDefault="00662DD5" w:rsidP="00662DD5">
            <w:pPr>
              <w:widowControl/>
              <w:overflowPunct/>
              <w:autoSpaceDE/>
              <w:autoSpaceDN/>
              <w:adjustRightInd/>
              <w:textAlignment w:val="auto"/>
              <w:rPr>
                <w:color w:val="212121"/>
              </w:rPr>
            </w:pPr>
            <w:r w:rsidRPr="00662DD5">
              <w:rPr>
                <w:color w:val="212121"/>
              </w:rPr>
              <w:t>Up to 750 funded loans</w:t>
            </w:r>
          </w:p>
        </w:tc>
        <w:tc>
          <w:tcPr>
            <w:tcW w:w="2397" w:type="dxa"/>
            <w:tcBorders>
              <w:top w:val="nil"/>
              <w:left w:val="nil"/>
              <w:bottom w:val="single" w:sz="4" w:space="0" w:color="auto"/>
              <w:right w:val="single" w:sz="8" w:space="0" w:color="auto"/>
            </w:tcBorders>
            <w:shd w:val="clear" w:color="auto" w:fill="auto"/>
            <w:noWrap/>
            <w:vAlign w:val="bottom"/>
            <w:hideMark/>
          </w:tcPr>
          <w:p w14:paraId="2059D50B" w14:textId="77777777" w:rsidR="00662DD5" w:rsidRPr="00662DD5" w:rsidRDefault="00662DD5" w:rsidP="00662DD5">
            <w:pPr>
              <w:widowControl/>
              <w:overflowPunct/>
              <w:autoSpaceDE/>
              <w:autoSpaceDN/>
              <w:adjustRightInd/>
              <w:textAlignment w:val="auto"/>
              <w:rPr>
                <w:color w:val="212121"/>
                <w:sz w:val="18"/>
                <w:szCs w:val="18"/>
              </w:rPr>
            </w:pPr>
            <w:r w:rsidRPr="00662DD5">
              <w:rPr>
                <w:color w:val="212121"/>
                <w:sz w:val="18"/>
                <w:szCs w:val="18"/>
              </w:rPr>
              <w:t xml:space="preserve"> $                                   20 </w:t>
            </w:r>
          </w:p>
        </w:tc>
      </w:tr>
      <w:tr w:rsidR="00662DD5" w:rsidRPr="00662DD5" w14:paraId="2833DFDB" w14:textId="77777777" w:rsidTr="00662DD5">
        <w:trPr>
          <w:trHeight w:val="320"/>
        </w:trPr>
        <w:tc>
          <w:tcPr>
            <w:tcW w:w="2360" w:type="dxa"/>
            <w:tcBorders>
              <w:top w:val="nil"/>
              <w:left w:val="single" w:sz="8" w:space="0" w:color="auto"/>
              <w:bottom w:val="single" w:sz="4" w:space="0" w:color="auto"/>
              <w:right w:val="single" w:sz="4" w:space="0" w:color="auto"/>
            </w:tcBorders>
            <w:shd w:val="clear" w:color="auto" w:fill="auto"/>
            <w:noWrap/>
            <w:vAlign w:val="bottom"/>
            <w:hideMark/>
          </w:tcPr>
          <w:p w14:paraId="33E18ACE" w14:textId="77777777" w:rsidR="00662DD5" w:rsidRPr="00662DD5" w:rsidRDefault="00662DD5" w:rsidP="00662DD5">
            <w:pPr>
              <w:widowControl/>
              <w:overflowPunct/>
              <w:autoSpaceDE/>
              <w:autoSpaceDN/>
              <w:adjustRightInd/>
              <w:textAlignment w:val="auto"/>
              <w:rPr>
                <w:color w:val="212121"/>
              </w:rPr>
            </w:pPr>
            <w:r w:rsidRPr="00662DD5">
              <w:rPr>
                <w:color w:val="212121"/>
              </w:rPr>
              <w:t>751-1,500 funded loans</w:t>
            </w:r>
          </w:p>
        </w:tc>
        <w:tc>
          <w:tcPr>
            <w:tcW w:w="2397" w:type="dxa"/>
            <w:tcBorders>
              <w:top w:val="nil"/>
              <w:left w:val="nil"/>
              <w:bottom w:val="single" w:sz="4" w:space="0" w:color="auto"/>
              <w:right w:val="single" w:sz="8" w:space="0" w:color="auto"/>
            </w:tcBorders>
            <w:shd w:val="clear" w:color="auto" w:fill="auto"/>
            <w:noWrap/>
            <w:vAlign w:val="bottom"/>
            <w:hideMark/>
          </w:tcPr>
          <w:p w14:paraId="6E96BF40" w14:textId="77777777" w:rsidR="00662DD5" w:rsidRPr="00662DD5" w:rsidRDefault="00662DD5" w:rsidP="00662DD5">
            <w:pPr>
              <w:widowControl/>
              <w:overflowPunct/>
              <w:autoSpaceDE/>
              <w:autoSpaceDN/>
              <w:adjustRightInd/>
              <w:textAlignment w:val="auto"/>
              <w:rPr>
                <w:color w:val="212121"/>
                <w:sz w:val="18"/>
                <w:szCs w:val="18"/>
              </w:rPr>
            </w:pPr>
            <w:r w:rsidRPr="00662DD5">
              <w:rPr>
                <w:color w:val="212121"/>
                <w:sz w:val="18"/>
                <w:szCs w:val="18"/>
              </w:rPr>
              <w:t xml:space="preserve"> $                                   19 </w:t>
            </w:r>
          </w:p>
        </w:tc>
      </w:tr>
      <w:tr w:rsidR="00662DD5" w:rsidRPr="00662DD5" w14:paraId="05A487E3" w14:textId="77777777" w:rsidTr="00662DD5">
        <w:trPr>
          <w:trHeight w:val="320"/>
        </w:trPr>
        <w:tc>
          <w:tcPr>
            <w:tcW w:w="2360" w:type="dxa"/>
            <w:tcBorders>
              <w:top w:val="nil"/>
              <w:left w:val="single" w:sz="8" w:space="0" w:color="auto"/>
              <w:bottom w:val="single" w:sz="4" w:space="0" w:color="auto"/>
              <w:right w:val="single" w:sz="4" w:space="0" w:color="auto"/>
            </w:tcBorders>
            <w:shd w:val="clear" w:color="auto" w:fill="auto"/>
            <w:noWrap/>
            <w:vAlign w:val="bottom"/>
            <w:hideMark/>
          </w:tcPr>
          <w:p w14:paraId="691F93B9" w14:textId="77777777" w:rsidR="00662DD5" w:rsidRPr="00662DD5" w:rsidRDefault="00662DD5" w:rsidP="00662DD5">
            <w:pPr>
              <w:widowControl/>
              <w:overflowPunct/>
              <w:autoSpaceDE/>
              <w:autoSpaceDN/>
              <w:adjustRightInd/>
              <w:textAlignment w:val="auto"/>
              <w:rPr>
                <w:color w:val="212121"/>
              </w:rPr>
            </w:pPr>
            <w:r w:rsidRPr="00662DD5">
              <w:rPr>
                <w:color w:val="212121"/>
              </w:rPr>
              <w:t>1,501-2,250 funded loans</w:t>
            </w:r>
          </w:p>
        </w:tc>
        <w:tc>
          <w:tcPr>
            <w:tcW w:w="2397" w:type="dxa"/>
            <w:tcBorders>
              <w:top w:val="nil"/>
              <w:left w:val="nil"/>
              <w:bottom w:val="single" w:sz="4" w:space="0" w:color="auto"/>
              <w:right w:val="single" w:sz="8" w:space="0" w:color="auto"/>
            </w:tcBorders>
            <w:shd w:val="clear" w:color="auto" w:fill="auto"/>
            <w:noWrap/>
            <w:vAlign w:val="bottom"/>
            <w:hideMark/>
          </w:tcPr>
          <w:p w14:paraId="7B72FEC3" w14:textId="77777777" w:rsidR="00662DD5" w:rsidRPr="00662DD5" w:rsidRDefault="00662DD5" w:rsidP="00662DD5">
            <w:pPr>
              <w:widowControl/>
              <w:overflowPunct/>
              <w:autoSpaceDE/>
              <w:autoSpaceDN/>
              <w:adjustRightInd/>
              <w:textAlignment w:val="auto"/>
              <w:rPr>
                <w:color w:val="212121"/>
                <w:sz w:val="18"/>
                <w:szCs w:val="18"/>
              </w:rPr>
            </w:pPr>
            <w:r w:rsidRPr="00662DD5">
              <w:rPr>
                <w:color w:val="212121"/>
                <w:sz w:val="18"/>
                <w:szCs w:val="18"/>
              </w:rPr>
              <w:t xml:space="preserve"> $                                   18 </w:t>
            </w:r>
          </w:p>
        </w:tc>
      </w:tr>
      <w:tr w:rsidR="00662DD5" w:rsidRPr="00662DD5" w14:paraId="2328B0A2" w14:textId="77777777" w:rsidTr="00662DD5">
        <w:trPr>
          <w:trHeight w:val="320"/>
        </w:trPr>
        <w:tc>
          <w:tcPr>
            <w:tcW w:w="2360" w:type="dxa"/>
            <w:tcBorders>
              <w:top w:val="nil"/>
              <w:left w:val="single" w:sz="8" w:space="0" w:color="auto"/>
              <w:bottom w:val="single" w:sz="4" w:space="0" w:color="auto"/>
              <w:right w:val="single" w:sz="4" w:space="0" w:color="auto"/>
            </w:tcBorders>
            <w:shd w:val="clear" w:color="auto" w:fill="auto"/>
            <w:noWrap/>
            <w:vAlign w:val="bottom"/>
            <w:hideMark/>
          </w:tcPr>
          <w:p w14:paraId="13FDCB7C" w14:textId="77777777" w:rsidR="00662DD5" w:rsidRPr="00662DD5" w:rsidRDefault="00662DD5" w:rsidP="00662DD5">
            <w:pPr>
              <w:widowControl/>
              <w:overflowPunct/>
              <w:autoSpaceDE/>
              <w:autoSpaceDN/>
              <w:adjustRightInd/>
              <w:textAlignment w:val="auto"/>
              <w:rPr>
                <w:color w:val="212121"/>
              </w:rPr>
            </w:pPr>
            <w:r w:rsidRPr="00662DD5">
              <w:rPr>
                <w:color w:val="212121"/>
              </w:rPr>
              <w:t>2,251 - 3,000 funded loans</w:t>
            </w:r>
          </w:p>
        </w:tc>
        <w:tc>
          <w:tcPr>
            <w:tcW w:w="2397" w:type="dxa"/>
            <w:tcBorders>
              <w:top w:val="nil"/>
              <w:left w:val="nil"/>
              <w:bottom w:val="single" w:sz="4" w:space="0" w:color="auto"/>
              <w:right w:val="single" w:sz="8" w:space="0" w:color="auto"/>
            </w:tcBorders>
            <w:shd w:val="clear" w:color="auto" w:fill="auto"/>
            <w:noWrap/>
            <w:vAlign w:val="bottom"/>
            <w:hideMark/>
          </w:tcPr>
          <w:p w14:paraId="0A741A7C" w14:textId="77777777" w:rsidR="00662DD5" w:rsidRPr="00662DD5" w:rsidRDefault="00662DD5" w:rsidP="00662DD5">
            <w:pPr>
              <w:widowControl/>
              <w:overflowPunct/>
              <w:autoSpaceDE/>
              <w:autoSpaceDN/>
              <w:adjustRightInd/>
              <w:textAlignment w:val="auto"/>
              <w:rPr>
                <w:color w:val="212121"/>
                <w:sz w:val="18"/>
                <w:szCs w:val="18"/>
              </w:rPr>
            </w:pPr>
            <w:r w:rsidRPr="00662DD5">
              <w:rPr>
                <w:color w:val="212121"/>
                <w:sz w:val="18"/>
                <w:szCs w:val="18"/>
              </w:rPr>
              <w:t xml:space="preserve"> $                                   17 </w:t>
            </w:r>
          </w:p>
        </w:tc>
      </w:tr>
      <w:tr w:rsidR="00662DD5" w:rsidRPr="00662DD5" w14:paraId="28CA3587" w14:textId="77777777" w:rsidTr="00662DD5">
        <w:trPr>
          <w:trHeight w:val="340"/>
        </w:trPr>
        <w:tc>
          <w:tcPr>
            <w:tcW w:w="2360" w:type="dxa"/>
            <w:tcBorders>
              <w:top w:val="nil"/>
              <w:left w:val="single" w:sz="8" w:space="0" w:color="auto"/>
              <w:bottom w:val="single" w:sz="8" w:space="0" w:color="auto"/>
              <w:right w:val="single" w:sz="4" w:space="0" w:color="auto"/>
            </w:tcBorders>
            <w:shd w:val="clear" w:color="auto" w:fill="auto"/>
            <w:noWrap/>
            <w:vAlign w:val="bottom"/>
            <w:hideMark/>
          </w:tcPr>
          <w:p w14:paraId="6B0D096C" w14:textId="77777777" w:rsidR="00662DD5" w:rsidRPr="00662DD5" w:rsidRDefault="00662DD5" w:rsidP="00662DD5">
            <w:pPr>
              <w:widowControl/>
              <w:overflowPunct/>
              <w:autoSpaceDE/>
              <w:autoSpaceDN/>
              <w:adjustRightInd/>
              <w:textAlignment w:val="auto"/>
              <w:rPr>
                <w:color w:val="212121"/>
              </w:rPr>
            </w:pPr>
            <w:r w:rsidRPr="00662DD5">
              <w:rPr>
                <w:color w:val="212121"/>
              </w:rPr>
              <w:t>Over 3,000 funded loans</w:t>
            </w:r>
          </w:p>
        </w:tc>
        <w:tc>
          <w:tcPr>
            <w:tcW w:w="2397" w:type="dxa"/>
            <w:tcBorders>
              <w:top w:val="nil"/>
              <w:left w:val="nil"/>
              <w:bottom w:val="single" w:sz="8" w:space="0" w:color="auto"/>
              <w:right w:val="single" w:sz="8" w:space="0" w:color="auto"/>
            </w:tcBorders>
            <w:shd w:val="clear" w:color="auto" w:fill="auto"/>
            <w:noWrap/>
            <w:vAlign w:val="bottom"/>
            <w:hideMark/>
          </w:tcPr>
          <w:p w14:paraId="6E2F5484" w14:textId="77777777" w:rsidR="00662DD5" w:rsidRPr="00662DD5" w:rsidRDefault="00662DD5" w:rsidP="00662DD5">
            <w:pPr>
              <w:widowControl/>
              <w:overflowPunct/>
              <w:autoSpaceDE/>
              <w:autoSpaceDN/>
              <w:adjustRightInd/>
              <w:jc w:val="center"/>
              <w:textAlignment w:val="auto"/>
              <w:rPr>
                <w:color w:val="212121"/>
                <w:sz w:val="18"/>
                <w:szCs w:val="18"/>
              </w:rPr>
            </w:pPr>
            <w:r w:rsidRPr="00662DD5">
              <w:rPr>
                <w:color w:val="212121"/>
                <w:sz w:val="18"/>
                <w:szCs w:val="18"/>
              </w:rPr>
              <w:t xml:space="preserve"> To be Discussed </w:t>
            </w:r>
          </w:p>
        </w:tc>
      </w:tr>
    </w:tbl>
    <w:p w14:paraId="6C50C46E" w14:textId="77777777" w:rsidR="00BB3D61" w:rsidRDefault="00BB3D61" w:rsidP="00BB3D61">
      <w:pPr>
        <w:shd w:val="clear" w:color="auto" w:fill="FFFFFF" w:themeFill="background1"/>
        <w:rPr>
          <w:b/>
          <w:sz w:val="21"/>
          <w:szCs w:val="21"/>
        </w:rPr>
      </w:pPr>
    </w:p>
    <w:p w14:paraId="0887A5DE" w14:textId="77777777" w:rsidR="000C1B4A" w:rsidRPr="000C1B4A" w:rsidRDefault="000C1B4A" w:rsidP="000C1B4A">
      <w:pPr>
        <w:pStyle w:val="ListParagraph"/>
        <w:numPr>
          <w:ilvl w:val="0"/>
          <w:numId w:val="15"/>
        </w:numPr>
        <w:shd w:val="clear" w:color="auto" w:fill="FFFFFF" w:themeFill="background1"/>
        <w:rPr>
          <w:b/>
          <w:sz w:val="21"/>
          <w:szCs w:val="21"/>
        </w:rPr>
      </w:pPr>
      <w:r w:rsidRPr="000C1B4A">
        <w:rPr>
          <w:b/>
          <w:sz w:val="21"/>
          <w:szCs w:val="21"/>
        </w:rPr>
        <w:t>Annual Reconciliation</w:t>
      </w:r>
    </w:p>
    <w:p w14:paraId="02292428" w14:textId="77777777" w:rsidR="00550A49" w:rsidRDefault="000C1B4A" w:rsidP="00550A49">
      <w:pPr>
        <w:pStyle w:val="ListParagraph"/>
        <w:shd w:val="clear" w:color="auto" w:fill="FFFFFF" w:themeFill="background1"/>
        <w:rPr>
          <w:bCs/>
          <w:sz w:val="21"/>
          <w:szCs w:val="21"/>
        </w:rPr>
      </w:pPr>
      <w:r w:rsidRPr="00550A49">
        <w:rPr>
          <w:bCs/>
          <w:sz w:val="21"/>
          <w:szCs w:val="21"/>
        </w:rPr>
        <w:t xml:space="preserve">At the end of the contract's first anniversary (i.e., on the 13th month), Tavant will conduct a reconciliation of the total number of loan applications processed through the </w:t>
      </w:r>
      <w:r w:rsidR="00550A49" w:rsidRPr="00550A49">
        <w:rPr>
          <w:bCs/>
          <w:sz w:val="21"/>
          <w:szCs w:val="21"/>
        </w:rPr>
        <w:t>Platform Services</w:t>
      </w:r>
      <w:r w:rsidRPr="00550A49">
        <w:rPr>
          <w:bCs/>
          <w:sz w:val="21"/>
          <w:szCs w:val="21"/>
        </w:rPr>
        <w:t>:</w:t>
      </w:r>
    </w:p>
    <w:p w14:paraId="5B7848E7" w14:textId="1481EB29" w:rsidR="00550A49" w:rsidRPr="00550A49" w:rsidRDefault="000C1B4A" w:rsidP="00550A49">
      <w:pPr>
        <w:pStyle w:val="Heading6"/>
        <w:numPr>
          <w:ilvl w:val="1"/>
          <w:numId w:val="20"/>
        </w:numPr>
        <w:rPr>
          <w:rFonts w:asciiTheme="majorBidi" w:hAnsiTheme="majorBidi" w:cstheme="majorBidi"/>
          <w:bCs/>
          <w:sz w:val="22"/>
          <w:szCs w:val="22"/>
        </w:rPr>
      </w:pPr>
      <w:r w:rsidRPr="00550A49">
        <w:rPr>
          <w:rFonts w:asciiTheme="majorBidi" w:hAnsiTheme="majorBidi" w:cstheme="majorBidi"/>
          <w:sz w:val="22"/>
          <w:szCs w:val="22"/>
        </w:rPr>
        <w:t xml:space="preserve">If the Customer processes fewer than </w:t>
      </w:r>
      <w:r w:rsidR="00A261E3">
        <w:rPr>
          <w:rFonts w:asciiTheme="majorBidi" w:hAnsiTheme="majorBidi" w:cstheme="majorBidi"/>
          <w:sz w:val="22"/>
          <w:szCs w:val="22"/>
        </w:rPr>
        <w:t>3</w:t>
      </w:r>
      <w:r w:rsidR="000C411F">
        <w:rPr>
          <w:rFonts w:asciiTheme="majorBidi" w:hAnsiTheme="majorBidi" w:cstheme="majorBidi"/>
          <w:sz w:val="22"/>
          <w:szCs w:val="22"/>
        </w:rPr>
        <w:t>,</w:t>
      </w:r>
      <w:r w:rsidR="00EC5D12">
        <w:rPr>
          <w:rFonts w:asciiTheme="majorBidi" w:hAnsiTheme="majorBidi" w:cstheme="majorBidi"/>
          <w:sz w:val="22"/>
          <w:szCs w:val="22"/>
        </w:rPr>
        <w:t>000</w:t>
      </w:r>
      <w:r w:rsidRPr="00550A49">
        <w:rPr>
          <w:rFonts w:asciiTheme="majorBidi" w:hAnsiTheme="majorBidi" w:cstheme="majorBidi"/>
          <w:sz w:val="22"/>
          <w:szCs w:val="22"/>
        </w:rPr>
        <w:t xml:space="preserve"> loans during the year, no adjustment to the invoicing will be required.</w:t>
      </w:r>
    </w:p>
    <w:p w14:paraId="28FE539A" w14:textId="2D4DEEE6" w:rsidR="00550A49" w:rsidRPr="00550A49" w:rsidRDefault="000C1B4A" w:rsidP="00550A49">
      <w:pPr>
        <w:pStyle w:val="Heading6"/>
        <w:numPr>
          <w:ilvl w:val="1"/>
          <w:numId w:val="20"/>
        </w:numPr>
        <w:rPr>
          <w:rFonts w:asciiTheme="majorBidi" w:hAnsiTheme="majorBidi" w:cstheme="majorBidi"/>
          <w:bCs/>
          <w:sz w:val="22"/>
          <w:szCs w:val="22"/>
        </w:rPr>
      </w:pPr>
      <w:r w:rsidRPr="00550A49">
        <w:rPr>
          <w:bCs/>
          <w:sz w:val="21"/>
          <w:szCs w:val="21"/>
        </w:rPr>
        <w:t xml:space="preserve">If the Customer processes between </w:t>
      </w:r>
      <w:r w:rsidR="000C411F">
        <w:rPr>
          <w:bCs/>
          <w:sz w:val="21"/>
          <w:szCs w:val="21"/>
        </w:rPr>
        <w:t>3</w:t>
      </w:r>
      <w:r w:rsidRPr="00550A49">
        <w:rPr>
          <w:bCs/>
          <w:sz w:val="21"/>
          <w:szCs w:val="21"/>
        </w:rPr>
        <w:t xml:space="preserve">,000 and </w:t>
      </w:r>
      <w:r w:rsidR="001B4109">
        <w:rPr>
          <w:bCs/>
          <w:sz w:val="21"/>
          <w:szCs w:val="21"/>
        </w:rPr>
        <w:t>6</w:t>
      </w:r>
      <w:r w:rsidR="005472AB">
        <w:rPr>
          <w:bCs/>
          <w:sz w:val="21"/>
          <w:szCs w:val="21"/>
        </w:rPr>
        <w:t>,5</w:t>
      </w:r>
      <w:r w:rsidR="000C411F">
        <w:rPr>
          <w:bCs/>
          <w:sz w:val="21"/>
          <w:szCs w:val="21"/>
        </w:rPr>
        <w:t>00</w:t>
      </w:r>
      <w:r w:rsidRPr="00550A49">
        <w:rPr>
          <w:bCs/>
          <w:sz w:val="21"/>
          <w:szCs w:val="21"/>
        </w:rPr>
        <w:t xml:space="preserve"> loans</w:t>
      </w:r>
      <w:r w:rsidR="001B4109">
        <w:rPr>
          <w:bCs/>
          <w:sz w:val="21"/>
          <w:szCs w:val="21"/>
        </w:rPr>
        <w:t xml:space="preserve"> annually</w:t>
      </w:r>
      <w:r w:rsidRPr="00550A49">
        <w:rPr>
          <w:bCs/>
          <w:sz w:val="21"/>
          <w:szCs w:val="21"/>
        </w:rPr>
        <w:t>, Tavant will invoice for the additional loan applications in the 13th month at the applicable pricing slab.</w:t>
      </w:r>
    </w:p>
    <w:p w14:paraId="718CB089" w14:textId="5EBA6618" w:rsidR="00BB3D61" w:rsidRPr="005472AB" w:rsidRDefault="000C1B4A" w:rsidP="005472AB">
      <w:pPr>
        <w:pStyle w:val="Heading6"/>
        <w:numPr>
          <w:ilvl w:val="1"/>
          <w:numId w:val="20"/>
        </w:numPr>
        <w:rPr>
          <w:rFonts w:asciiTheme="majorBidi" w:hAnsiTheme="majorBidi" w:cstheme="majorBidi"/>
          <w:bCs/>
          <w:sz w:val="22"/>
          <w:szCs w:val="22"/>
        </w:rPr>
      </w:pPr>
      <w:r w:rsidRPr="00550A49">
        <w:rPr>
          <w:bCs/>
          <w:sz w:val="21"/>
          <w:szCs w:val="21"/>
        </w:rPr>
        <w:t xml:space="preserve">If the Customer processes more than </w:t>
      </w:r>
      <w:r w:rsidR="001B4109">
        <w:rPr>
          <w:bCs/>
          <w:sz w:val="21"/>
          <w:szCs w:val="21"/>
        </w:rPr>
        <w:t>6</w:t>
      </w:r>
      <w:r w:rsidRPr="00550A49">
        <w:rPr>
          <w:bCs/>
          <w:sz w:val="21"/>
          <w:szCs w:val="21"/>
        </w:rPr>
        <w:t>,</w:t>
      </w:r>
      <w:r w:rsidR="00B227F5">
        <w:rPr>
          <w:bCs/>
          <w:sz w:val="21"/>
          <w:szCs w:val="21"/>
        </w:rPr>
        <w:t>001</w:t>
      </w:r>
      <w:r w:rsidRPr="00550A49">
        <w:rPr>
          <w:bCs/>
          <w:sz w:val="21"/>
          <w:szCs w:val="21"/>
        </w:rPr>
        <w:t xml:space="preserve">loans, the first </w:t>
      </w:r>
      <w:r w:rsidR="001B4109">
        <w:rPr>
          <w:bCs/>
          <w:sz w:val="21"/>
          <w:szCs w:val="21"/>
        </w:rPr>
        <w:t>6</w:t>
      </w:r>
      <w:r w:rsidRPr="00550A49">
        <w:rPr>
          <w:bCs/>
          <w:sz w:val="21"/>
          <w:szCs w:val="21"/>
        </w:rPr>
        <w:t>,</w:t>
      </w:r>
      <w:r w:rsidR="00B227F5">
        <w:rPr>
          <w:bCs/>
          <w:sz w:val="21"/>
          <w:szCs w:val="21"/>
        </w:rPr>
        <w:t>00</w:t>
      </w:r>
      <w:r w:rsidR="005472AB">
        <w:rPr>
          <w:bCs/>
          <w:sz w:val="21"/>
          <w:szCs w:val="21"/>
        </w:rPr>
        <w:t>0</w:t>
      </w:r>
      <w:r w:rsidRPr="00550A49">
        <w:rPr>
          <w:bCs/>
          <w:sz w:val="21"/>
          <w:szCs w:val="21"/>
        </w:rPr>
        <w:t xml:space="preserve"> loans will be invoiced at the standard rate applicable to the relevant slab. Any loans processed beyond </w:t>
      </w:r>
      <w:r w:rsidR="001B4109">
        <w:rPr>
          <w:bCs/>
          <w:sz w:val="21"/>
          <w:szCs w:val="21"/>
        </w:rPr>
        <w:t>6</w:t>
      </w:r>
      <w:r w:rsidRPr="00550A49">
        <w:rPr>
          <w:bCs/>
          <w:sz w:val="21"/>
          <w:szCs w:val="21"/>
        </w:rPr>
        <w:t>,</w:t>
      </w:r>
      <w:r w:rsidR="00B227F5">
        <w:rPr>
          <w:bCs/>
          <w:sz w:val="21"/>
          <w:szCs w:val="21"/>
        </w:rPr>
        <w:t>001</w:t>
      </w:r>
      <w:r w:rsidRPr="00550A49">
        <w:rPr>
          <w:bCs/>
          <w:sz w:val="21"/>
          <w:szCs w:val="21"/>
        </w:rPr>
        <w:t xml:space="preserve"> will be invoiced at the lower pricing slab, applicable only to the additional loans processed above the </w:t>
      </w:r>
      <w:r w:rsidR="001B4109">
        <w:rPr>
          <w:bCs/>
          <w:sz w:val="21"/>
          <w:szCs w:val="21"/>
        </w:rPr>
        <w:t>6</w:t>
      </w:r>
      <w:r w:rsidRPr="00550A49">
        <w:rPr>
          <w:bCs/>
          <w:sz w:val="21"/>
          <w:szCs w:val="21"/>
        </w:rPr>
        <w:t>,</w:t>
      </w:r>
      <w:r w:rsidR="00B227F5">
        <w:rPr>
          <w:bCs/>
          <w:sz w:val="21"/>
          <w:szCs w:val="21"/>
        </w:rPr>
        <w:t>000</w:t>
      </w:r>
      <w:r w:rsidRPr="00550A49">
        <w:rPr>
          <w:bCs/>
          <w:sz w:val="21"/>
          <w:szCs w:val="21"/>
        </w:rPr>
        <w:t xml:space="preserve"> </w:t>
      </w:r>
      <w:proofErr w:type="gramStart"/>
      <w:r w:rsidRPr="00550A49">
        <w:rPr>
          <w:bCs/>
          <w:sz w:val="21"/>
          <w:szCs w:val="21"/>
        </w:rPr>
        <w:t>threshold</w:t>
      </w:r>
      <w:proofErr w:type="gramEnd"/>
      <w:r w:rsidRPr="00550A49">
        <w:rPr>
          <w:bCs/>
          <w:sz w:val="21"/>
          <w:szCs w:val="21"/>
        </w:rPr>
        <w:t>.</w:t>
      </w:r>
    </w:p>
    <w:p w14:paraId="407692FF" w14:textId="2D451A33" w:rsidR="00843574" w:rsidRDefault="00843574" w:rsidP="00843574">
      <w:pPr>
        <w:pStyle w:val="BodyText20"/>
        <w:numPr>
          <w:ilvl w:val="0"/>
          <w:numId w:val="15"/>
        </w:numPr>
        <w:shd w:val="clear" w:color="auto" w:fill="FFFFFF" w:themeFill="background1"/>
        <w:spacing w:after="120"/>
      </w:pPr>
      <w:r>
        <w:t>Professional Services associated with the provision of Services will be $</w:t>
      </w:r>
      <w:r w:rsidR="008A4BDA">
        <w:t>1</w:t>
      </w:r>
      <w:r>
        <w:t xml:space="preserve">5,000 (implementation fees – one time) invoiced pursuant to a mutually agreed Statement of Work. </w:t>
      </w:r>
      <w:r w:rsidRPr="001F02B7">
        <w:rPr>
          <w:bCs/>
        </w:rPr>
        <w:t>Payment terms will be as per the Agreement, with the Customer having 30 days from the date of invoice to remit payment.</w:t>
      </w:r>
    </w:p>
    <w:p w14:paraId="6FF84DC5" w14:textId="77777777" w:rsidR="00D5655F" w:rsidRDefault="00D5655F" w:rsidP="00D5655F">
      <w:pPr>
        <w:pStyle w:val="BodyText20"/>
        <w:shd w:val="clear" w:color="auto" w:fill="FFFFFF" w:themeFill="background1"/>
        <w:spacing w:after="120"/>
        <w:ind w:left="1080" w:firstLine="0"/>
      </w:pPr>
    </w:p>
    <w:p w14:paraId="5D134208" w14:textId="77777777" w:rsidR="005472AB" w:rsidRPr="00BB3D61" w:rsidRDefault="005472AB" w:rsidP="00D5655F">
      <w:pPr>
        <w:pStyle w:val="BodyText20"/>
        <w:shd w:val="clear" w:color="auto" w:fill="FFFFFF" w:themeFill="background1"/>
        <w:spacing w:after="120"/>
        <w:ind w:left="1080" w:firstLine="0"/>
      </w:pPr>
    </w:p>
    <w:p w14:paraId="0853921F" w14:textId="77777777" w:rsidR="00BB3D61" w:rsidRPr="00F62E3F" w:rsidRDefault="00BB3D61" w:rsidP="00BB3D61">
      <w:pPr>
        <w:pStyle w:val="BodyText"/>
        <w:shd w:val="clear" w:color="auto" w:fill="FFFFFF" w:themeFill="background1"/>
        <w:rPr>
          <w:sz w:val="21"/>
          <w:szCs w:val="21"/>
        </w:rPr>
      </w:pPr>
    </w:p>
    <w:tbl>
      <w:tblPr>
        <w:tblW w:w="0" w:type="auto"/>
        <w:tblLook w:val="01E0" w:firstRow="1" w:lastRow="1" w:firstColumn="1" w:lastColumn="1" w:noHBand="0" w:noVBand="0"/>
      </w:tblPr>
      <w:tblGrid>
        <w:gridCol w:w="4766"/>
        <w:gridCol w:w="4594"/>
      </w:tblGrid>
      <w:tr w:rsidR="00BB3D61" w:rsidRPr="000B31A7" w14:paraId="588D1558" w14:textId="77777777" w:rsidTr="00702A5D">
        <w:tc>
          <w:tcPr>
            <w:tcW w:w="4878" w:type="dxa"/>
          </w:tcPr>
          <w:p w14:paraId="0919643D" w14:textId="77777777" w:rsidR="00BB3D61" w:rsidRPr="00F62E3F" w:rsidRDefault="00BB3D61" w:rsidP="00702A5D">
            <w:pPr>
              <w:pStyle w:val="BodyText"/>
              <w:shd w:val="clear" w:color="auto" w:fill="FFFFFF" w:themeFill="background1"/>
              <w:rPr>
                <w:b/>
                <w:sz w:val="21"/>
                <w:szCs w:val="21"/>
              </w:rPr>
            </w:pPr>
            <w:r>
              <w:rPr>
                <w:b/>
                <w:sz w:val="21"/>
                <w:szCs w:val="21"/>
              </w:rPr>
              <w:t>CUSTOMER</w:t>
            </w:r>
          </w:p>
          <w:p w14:paraId="2E273BBF" w14:textId="77777777" w:rsidR="00BB3D61" w:rsidRPr="00F62E3F" w:rsidRDefault="00BB3D61" w:rsidP="00702A5D">
            <w:pPr>
              <w:pStyle w:val="BodyText"/>
              <w:shd w:val="clear" w:color="auto" w:fill="FFFFFF" w:themeFill="background1"/>
              <w:rPr>
                <w:b/>
                <w:sz w:val="21"/>
                <w:szCs w:val="21"/>
              </w:rPr>
            </w:pPr>
          </w:p>
        </w:tc>
        <w:tc>
          <w:tcPr>
            <w:tcW w:w="4698" w:type="dxa"/>
          </w:tcPr>
          <w:p w14:paraId="322BE215" w14:textId="77777777" w:rsidR="00BB3D61" w:rsidRPr="00F62E3F" w:rsidRDefault="00BB3D61" w:rsidP="00702A5D">
            <w:pPr>
              <w:pStyle w:val="BodyText"/>
              <w:shd w:val="clear" w:color="auto" w:fill="FFFFFF" w:themeFill="background1"/>
              <w:rPr>
                <w:b/>
                <w:sz w:val="21"/>
                <w:szCs w:val="21"/>
              </w:rPr>
            </w:pPr>
            <w:r w:rsidRPr="00F62E3F">
              <w:rPr>
                <w:b/>
                <w:sz w:val="21"/>
                <w:szCs w:val="21"/>
              </w:rPr>
              <w:t>TAVANT</w:t>
            </w:r>
          </w:p>
        </w:tc>
      </w:tr>
      <w:tr w:rsidR="00BB3D61" w:rsidRPr="000B31A7" w14:paraId="6F371C5F" w14:textId="77777777" w:rsidTr="00702A5D">
        <w:tc>
          <w:tcPr>
            <w:tcW w:w="4878" w:type="dxa"/>
          </w:tcPr>
          <w:p w14:paraId="3778C961" w14:textId="77777777" w:rsidR="00BB3D61" w:rsidRPr="00F62E3F" w:rsidRDefault="00BB3D61" w:rsidP="00702A5D">
            <w:pPr>
              <w:shd w:val="clear" w:color="auto" w:fill="FFFFFF" w:themeFill="background1"/>
              <w:tabs>
                <w:tab w:val="right" w:pos="4454"/>
              </w:tabs>
              <w:rPr>
                <w:sz w:val="21"/>
                <w:szCs w:val="21"/>
              </w:rPr>
            </w:pPr>
            <w:r w:rsidRPr="00F62E3F">
              <w:rPr>
                <w:sz w:val="21"/>
                <w:szCs w:val="21"/>
              </w:rPr>
              <w:t xml:space="preserve">By: </w:t>
            </w:r>
            <w:r w:rsidRPr="00F62E3F">
              <w:rPr>
                <w:sz w:val="21"/>
                <w:szCs w:val="21"/>
                <w:u w:val="single"/>
              </w:rPr>
              <w:tab/>
            </w:r>
          </w:p>
        </w:tc>
        <w:tc>
          <w:tcPr>
            <w:tcW w:w="4698" w:type="dxa"/>
          </w:tcPr>
          <w:p w14:paraId="2FD2641B" w14:textId="77777777" w:rsidR="00BB3D61" w:rsidRPr="00F62E3F" w:rsidRDefault="00BB3D61" w:rsidP="00702A5D">
            <w:pPr>
              <w:shd w:val="clear" w:color="auto" w:fill="FFFFFF" w:themeFill="background1"/>
              <w:tabs>
                <w:tab w:val="right" w:pos="4314"/>
              </w:tabs>
              <w:rPr>
                <w:sz w:val="21"/>
                <w:szCs w:val="21"/>
                <w:u w:val="single"/>
              </w:rPr>
            </w:pPr>
            <w:r w:rsidRPr="00F62E3F">
              <w:rPr>
                <w:sz w:val="21"/>
                <w:szCs w:val="21"/>
              </w:rPr>
              <w:t xml:space="preserve">By: </w:t>
            </w:r>
            <w:r w:rsidRPr="00F62E3F">
              <w:rPr>
                <w:sz w:val="21"/>
                <w:szCs w:val="21"/>
                <w:u w:val="single"/>
              </w:rPr>
              <w:tab/>
            </w:r>
          </w:p>
          <w:p w14:paraId="35573FCB" w14:textId="77777777" w:rsidR="00BB3D61" w:rsidRPr="00F62E3F" w:rsidRDefault="00BB3D61" w:rsidP="00702A5D">
            <w:pPr>
              <w:shd w:val="clear" w:color="auto" w:fill="FFFFFF" w:themeFill="background1"/>
              <w:tabs>
                <w:tab w:val="right" w:pos="4314"/>
              </w:tabs>
              <w:rPr>
                <w:sz w:val="21"/>
                <w:szCs w:val="21"/>
              </w:rPr>
            </w:pPr>
          </w:p>
        </w:tc>
      </w:tr>
      <w:tr w:rsidR="00BB3D61" w:rsidRPr="000B31A7" w14:paraId="414E13E7" w14:textId="77777777" w:rsidTr="00702A5D">
        <w:tc>
          <w:tcPr>
            <w:tcW w:w="4878" w:type="dxa"/>
          </w:tcPr>
          <w:p w14:paraId="3048493F" w14:textId="1E27B805" w:rsidR="00BB3D61" w:rsidRPr="00F62E3F" w:rsidRDefault="00BB3D61" w:rsidP="00702A5D">
            <w:pPr>
              <w:shd w:val="clear" w:color="auto" w:fill="FFFFFF" w:themeFill="background1"/>
              <w:tabs>
                <w:tab w:val="right" w:pos="4454"/>
              </w:tabs>
              <w:rPr>
                <w:sz w:val="21"/>
                <w:szCs w:val="21"/>
              </w:rPr>
            </w:pPr>
            <w:r w:rsidRPr="00F62E3F">
              <w:rPr>
                <w:sz w:val="21"/>
                <w:szCs w:val="21"/>
              </w:rPr>
              <w:t xml:space="preserve">Name: </w:t>
            </w:r>
            <w:r w:rsidR="00662DD5">
              <w:rPr>
                <w:sz w:val="21"/>
                <w:szCs w:val="21"/>
              </w:rPr>
              <w:t xml:space="preserve"> Chuck Iverson</w:t>
            </w:r>
          </w:p>
        </w:tc>
        <w:tc>
          <w:tcPr>
            <w:tcW w:w="4698" w:type="dxa"/>
          </w:tcPr>
          <w:p w14:paraId="602EBC8B" w14:textId="77777777" w:rsidR="00BB3D61" w:rsidRPr="00F62E3F" w:rsidRDefault="00BB3D61" w:rsidP="00702A5D">
            <w:pPr>
              <w:shd w:val="clear" w:color="auto" w:fill="FFFFFF" w:themeFill="background1"/>
              <w:tabs>
                <w:tab w:val="right" w:pos="4302"/>
              </w:tabs>
              <w:rPr>
                <w:sz w:val="21"/>
                <w:szCs w:val="21"/>
                <w:u w:val="single"/>
              </w:rPr>
            </w:pPr>
            <w:r w:rsidRPr="00F62E3F">
              <w:rPr>
                <w:sz w:val="21"/>
                <w:szCs w:val="21"/>
              </w:rPr>
              <w:t>Name:</w:t>
            </w:r>
            <w:r w:rsidRPr="00F62E3F">
              <w:rPr>
                <w:sz w:val="21"/>
                <w:szCs w:val="21"/>
                <w:u w:val="single"/>
              </w:rPr>
              <w:t xml:space="preserve"> Sesha Devana </w:t>
            </w:r>
          </w:p>
          <w:p w14:paraId="7C040559" w14:textId="77777777" w:rsidR="00BB3D61" w:rsidRPr="00F62E3F" w:rsidRDefault="00BB3D61" w:rsidP="00702A5D">
            <w:pPr>
              <w:shd w:val="clear" w:color="auto" w:fill="FFFFFF" w:themeFill="background1"/>
              <w:tabs>
                <w:tab w:val="right" w:pos="4302"/>
              </w:tabs>
              <w:rPr>
                <w:sz w:val="21"/>
                <w:szCs w:val="21"/>
              </w:rPr>
            </w:pPr>
          </w:p>
        </w:tc>
      </w:tr>
      <w:tr w:rsidR="00BB3D61" w:rsidRPr="000B31A7" w14:paraId="3BAE5E0B" w14:textId="77777777" w:rsidTr="00702A5D">
        <w:tc>
          <w:tcPr>
            <w:tcW w:w="4878" w:type="dxa"/>
          </w:tcPr>
          <w:p w14:paraId="6B5E6666" w14:textId="3FF50999" w:rsidR="00BB3D61" w:rsidRPr="00F62E3F" w:rsidRDefault="00BB3D61" w:rsidP="00702A5D">
            <w:pPr>
              <w:shd w:val="clear" w:color="auto" w:fill="FFFFFF" w:themeFill="background1"/>
              <w:tabs>
                <w:tab w:val="right" w:pos="4454"/>
              </w:tabs>
              <w:rPr>
                <w:sz w:val="21"/>
                <w:szCs w:val="21"/>
              </w:rPr>
            </w:pPr>
            <w:r w:rsidRPr="00F62E3F">
              <w:rPr>
                <w:sz w:val="21"/>
                <w:szCs w:val="21"/>
              </w:rPr>
              <w:t>Title:</w:t>
            </w:r>
            <w:r w:rsidR="00662DD5">
              <w:rPr>
                <w:sz w:val="21"/>
                <w:szCs w:val="21"/>
              </w:rPr>
              <w:t xml:space="preserve"> President</w:t>
            </w:r>
          </w:p>
        </w:tc>
        <w:tc>
          <w:tcPr>
            <w:tcW w:w="4698" w:type="dxa"/>
          </w:tcPr>
          <w:p w14:paraId="1F8B3CF6" w14:textId="77777777" w:rsidR="00BB3D61" w:rsidRPr="00F62E3F" w:rsidRDefault="00BB3D61" w:rsidP="00702A5D">
            <w:pPr>
              <w:shd w:val="clear" w:color="auto" w:fill="FFFFFF" w:themeFill="background1"/>
              <w:tabs>
                <w:tab w:val="right" w:pos="4302"/>
              </w:tabs>
              <w:rPr>
                <w:sz w:val="21"/>
                <w:szCs w:val="21"/>
              </w:rPr>
            </w:pPr>
            <w:r w:rsidRPr="00F62E3F">
              <w:rPr>
                <w:sz w:val="21"/>
                <w:szCs w:val="21"/>
              </w:rPr>
              <w:t>Title:</w:t>
            </w:r>
            <w:r w:rsidRPr="00F62E3F">
              <w:rPr>
                <w:sz w:val="21"/>
                <w:szCs w:val="21"/>
                <w:u w:val="single"/>
              </w:rPr>
              <w:t xml:space="preserve"> CFO</w:t>
            </w:r>
          </w:p>
        </w:tc>
      </w:tr>
    </w:tbl>
    <w:p w14:paraId="0FCA94B7" w14:textId="77777777" w:rsidR="005472AB" w:rsidRDefault="005472AB" w:rsidP="00662DD5">
      <w:pPr>
        <w:widowControl/>
        <w:shd w:val="clear" w:color="auto" w:fill="FFFFFF" w:themeFill="background1"/>
        <w:overflowPunct/>
        <w:autoSpaceDE/>
        <w:autoSpaceDN/>
        <w:adjustRightInd/>
        <w:textAlignment w:val="auto"/>
        <w:rPr>
          <w:b/>
          <w:sz w:val="21"/>
          <w:szCs w:val="21"/>
        </w:rPr>
      </w:pPr>
    </w:p>
    <w:p w14:paraId="50F5A58D"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A026059"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E3E75AB"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3DD58E60"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28C4F927"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6A08A8B1"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C8E872E"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3CE4459B"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FB91DDD"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7FAC6474"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7E99F33"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C933605"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DD82757"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66320EAC"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AF3F840"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74F8144"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FC4AD37"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C1C71B0"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6890CAE"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172D96F"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3598F7B6"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39EAB9A4"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1816C02"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151AD14"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2AB5E5A2"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255786BB"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6E295722"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A9C5B71"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2C106C8"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732786C2"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473785CE"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CBEC564"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74319339"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2199DB5E"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4E6ABEAE"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625EE0EB"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7986327"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06CABF69"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31347A4C"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72513FAC"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1AD7F21E"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10787876"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5D11E855"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2411BEE1"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0DDF8772"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06FECAEF"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7C120593"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1DD83762"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20C4AC64"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5552C4B3"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17E2D069" w14:textId="77777777" w:rsidR="00A261E3" w:rsidRDefault="00A261E3" w:rsidP="0070526C">
      <w:pPr>
        <w:widowControl/>
        <w:shd w:val="clear" w:color="auto" w:fill="FFFFFF" w:themeFill="background1"/>
        <w:overflowPunct/>
        <w:autoSpaceDE/>
        <w:autoSpaceDN/>
        <w:adjustRightInd/>
        <w:ind w:left="3600" w:firstLine="720"/>
        <w:textAlignment w:val="auto"/>
        <w:rPr>
          <w:b/>
          <w:sz w:val="21"/>
          <w:szCs w:val="21"/>
        </w:rPr>
      </w:pPr>
    </w:p>
    <w:p w14:paraId="154FBDA1" w14:textId="77777777" w:rsidR="00A261E3" w:rsidRDefault="00A261E3" w:rsidP="0070526C">
      <w:pPr>
        <w:widowControl/>
        <w:shd w:val="clear" w:color="auto" w:fill="FFFFFF" w:themeFill="background1"/>
        <w:overflowPunct/>
        <w:autoSpaceDE/>
        <w:autoSpaceDN/>
        <w:adjustRightInd/>
        <w:ind w:left="3600" w:firstLine="720"/>
        <w:textAlignment w:val="auto"/>
        <w:rPr>
          <w:b/>
          <w:sz w:val="21"/>
          <w:szCs w:val="21"/>
        </w:rPr>
      </w:pPr>
    </w:p>
    <w:p w14:paraId="334AB9BE"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0E4A4CC0"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698AECD9" w14:textId="77777777" w:rsidR="00662DD5" w:rsidRDefault="00662DD5" w:rsidP="0070526C">
      <w:pPr>
        <w:widowControl/>
        <w:shd w:val="clear" w:color="auto" w:fill="FFFFFF" w:themeFill="background1"/>
        <w:overflowPunct/>
        <w:autoSpaceDE/>
        <w:autoSpaceDN/>
        <w:adjustRightInd/>
        <w:ind w:left="3600" w:firstLine="720"/>
        <w:textAlignment w:val="auto"/>
        <w:rPr>
          <w:b/>
          <w:sz w:val="21"/>
          <w:szCs w:val="21"/>
        </w:rPr>
      </w:pPr>
    </w:p>
    <w:p w14:paraId="7428C223"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2B0331F3"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7AE02786"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531CBD92" w14:textId="77777777" w:rsidR="005472AB" w:rsidRDefault="005472AB" w:rsidP="0070526C">
      <w:pPr>
        <w:widowControl/>
        <w:shd w:val="clear" w:color="auto" w:fill="FFFFFF" w:themeFill="background1"/>
        <w:overflowPunct/>
        <w:autoSpaceDE/>
        <w:autoSpaceDN/>
        <w:adjustRightInd/>
        <w:ind w:left="3600" w:firstLine="720"/>
        <w:textAlignment w:val="auto"/>
        <w:rPr>
          <w:b/>
          <w:sz w:val="21"/>
          <w:szCs w:val="21"/>
        </w:rPr>
      </w:pPr>
    </w:p>
    <w:p w14:paraId="4AE318CC" w14:textId="693C8DE7" w:rsidR="00B460DF" w:rsidRPr="00F62E3F" w:rsidRDefault="00B460DF" w:rsidP="0070526C">
      <w:pPr>
        <w:widowControl/>
        <w:shd w:val="clear" w:color="auto" w:fill="FFFFFF" w:themeFill="background1"/>
        <w:overflowPunct/>
        <w:autoSpaceDE/>
        <w:autoSpaceDN/>
        <w:adjustRightInd/>
        <w:ind w:left="3600" w:firstLine="720"/>
        <w:textAlignment w:val="auto"/>
        <w:rPr>
          <w:b/>
          <w:sz w:val="21"/>
          <w:szCs w:val="21"/>
        </w:rPr>
      </w:pPr>
      <w:r w:rsidRPr="00F62E3F">
        <w:rPr>
          <w:b/>
          <w:sz w:val="21"/>
          <w:szCs w:val="21"/>
        </w:rPr>
        <w:lastRenderedPageBreak/>
        <w:t>EXHIBIT B</w:t>
      </w:r>
    </w:p>
    <w:p w14:paraId="053B2DB1" w14:textId="77777777" w:rsidR="00B460DF" w:rsidRPr="00F62E3F" w:rsidRDefault="00B460DF" w:rsidP="000B31A7">
      <w:pPr>
        <w:widowControl/>
        <w:shd w:val="clear" w:color="auto" w:fill="FFFFFF" w:themeFill="background1"/>
        <w:overflowPunct/>
        <w:autoSpaceDE/>
        <w:autoSpaceDN/>
        <w:adjustRightInd/>
        <w:jc w:val="center"/>
        <w:textAlignment w:val="auto"/>
        <w:rPr>
          <w:b/>
          <w:sz w:val="21"/>
          <w:szCs w:val="21"/>
        </w:rPr>
      </w:pPr>
      <w:r w:rsidRPr="00F62E3F">
        <w:rPr>
          <w:b/>
          <w:sz w:val="21"/>
          <w:szCs w:val="21"/>
        </w:rPr>
        <w:t>SERVICE LEVEL AGREEMENT</w:t>
      </w:r>
    </w:p>
    <w:p w14:paraId="4A54A223" w14:textId="77777777" w:rsidR="000B359A" w:rsidRPr="00F62E3F" w:rsidRDefault="000B359A" w:rsidP="000B31A7">
      <w:pPr>
        <w:widowControl/>
        <w:shd w:val="clear" w:color="auto" w:fill="FFFFFF" w:themeFill="background1"/>
        <w:overflowPunct/>
        <w:autoSpaceDE/>
        <w:autoSpaceDN/>
        <w:adjustRightInd/>
        <w:jc w:val="center"/>
        <w:textAlignment w:val="auto"/>
        <w:rPr>
          <w:b/>
          <w:sz w:val="21"/>
          <w:szCs w:val="21"/>
        </w:rPr>
      </w:pPr>
    </w:p>
    <w:p w14:paraId="2BDCF374" w14:textId="0F77F96A" w:rsidR="00690AD6" w:rsidRPr="00F62E3F" w:rsidRDefault="00146CF8" w:rsidP="000B31A7">
      <w:pPr>
        <w:shd w:val="clear" w:color="auto" w:fill="FFFFFF" w:themeFill="background1"/>
        <w:jc w:val="both"/>
        <w:rPr>
          <w:sz w:val="21"/>
          <w:szCs w:val="21"/>
        </w:rPr>
      </w:pPr>
      <w:r w:rsidRPr="00F62E3F">
        <w:rPr>
          <w:sz w:val="21"/>
          <w:szCs w:val="21"/>
        </w:rPr>
        <w:t xml:space="preserve">This </w:t>
      </w:r>
      <w:r>
        <w:rPr>
          <w:sz w:val="21"/>
          <w:szCs w:val="21"/>
        </w:rPr>
        <w:t>Service Level Agreement</w:t>
      </w:r>
      <w:r w:rsidRPr="00F62E3F">
        <w:rPr>
          <w:sz w:val="21"/>
          <w:szCs w:val="21"/>
        </w:rPr>
        <w:t xml:space="preserve"> is entered into as </w:t>
      </w:r>
      <w:proofErr w:type="gramStart"/>
      <w:r w:rsidRPr="00F62E3F">
        <w:rPr>
          <w:sz w:val="21"/>
          <w:szCs w:val="21"/>
        </w:rPr>
        <w:t>of  _</w:t>
      </w:r>
      <w:proofErr w:type="gramEnd"/>
      <w:r w:rsidRPr="00F62E3F">
        <w:rPr>
          <w:sz w:val="21"/>
          <w:szCs w:val="21"/>
        </w:rPr>
        <w:t xml:space="preserve">______, between Tavant Technologies, Inc. </w:t>
      </w:r>
      <w:r>
        <w:rPr>
          <w:sz w:val="21"/>
          <w:szCs w:val="21"/>
        </w:rPr>
        <w:t xml:space="preserve">(‘Tavant’) </w:t>
      </w:r>
      <w:r w:rsidRPr="00F62E3F">
        <w:rPr>
          <w:sz w:val="21"/>
          <w:szCs w:val="21"/>
        </w:rPr>
        <w:t xml:space="preserve">and </w:t>
      </w:r>
      <w:r w:rsidR="0070526C">
        <w:rPr>
          <w:sz w:val="21"/>
          <w:szCs w:val="21"/>
        </w:rPr>
        <w:t xml:space="preserve">Mason McDuffie Mortgage </w:t>
      </w:r>
      <w:r>
        <w:rPr>
          <w:sz w:val="21"/>
          <w:szCs w:val="21"/>
        </w:rPr>
        <w:t>(</w:t>
      </w:r>
      <w:r w:rsidRPr="00F62E3F">
        <w:rPr>
          <w:sz w:val="21"/>
          <w:szCs w:val="21"/>
        </w:rPr>
        <w:t xml:space="preserve">the </w:t>
      </w:r>
      <w:r>
        <w:rPr>
          <w:sz w:val="21"/>
          <w:szCs w:val="21"/>
        </w:rPr>
        <w:t>‘C</w:t>
      </w:r>
      <w:r w:rsidRPr="00F62E3F">
        <w:rPr>
          <w:sz w:val="21"/>
          <w:szCs w:val="21"/>
        </w:rPr>
        <w:t>ustomer</w:t>
      </w:r>
      <w:r>
        <w:rPr>
          <w:sz w:val="21"/>
          <w:szCs w:val="21"/>
        </w:rPr>
        <w:t>)</w:t>
      </w:r>
      <w:r w:rsidRPr="00F62E3F">
        <w:rPr>
          <w:sz w:val="21"/>
          <w:szCs w:val="21"/>
        </w:rPr>
        <w:t xml:space="preserve"> and is subject to the </w:t>
      </w:r>
      <w:r w:rsidRPr="00F62E3F">
        <w:rPr>
          <w:bCs/>
          <w:sz w:val="21"/>
          <w:szCs w:val="21"/>
        </w:rPr>
        <w:t>Touchless LendingTM Platform Services Agreement (“Agreement”) dated ______between the Parties</w:t>
      </w:r>
      <w:r w:rsidR="0072386F" w:rsidRPr="00F62E3F">
        <w:rPr>
          <w:bCs/>
          <w:sz w:val="21"/>
          <w:szCs w:val="21"/>
        </w:rPr>
        <w:t xml:space="preserve">. </w:t>
      </w:r>
      <w:r w:rsidR="00690AD6" w:rsidRPr="0072386F">
        <w:rPr>
          <w:sz w:val="21"/>
          <w:szCs w:val="21"/>
        </w:rPr>
        <w:t xml:space="preserve"> This document communicates </w:t>
      </w:r>
      <w:r w:rsidR="00EC7D89" w:rsidRPr="0072386F">
        <w:rPr>
          <w:sz w:val="21"/>
          <w:szCs w:val="21"/>
        </w:rPr>
        <w:t xml:space="preserve">the </w:t>
      </w:r>
      <w:r w:rsidR="00690AD6" w:rsidRPr="0072386F">
        <w:rPr>
          <w:sz w:val="21"/>
          <w:szCs w:val="21"/>
        </w:rPr>
        <w:t>Production Support and Service Level Availability Policy (“SLA")</w:t>
      </w:r>
      <w:r w:rsidR="00EC7D89" w:rsidRPr="0072386F">
        <w:rPr>
          <w:sz w:val="21"/>
          <w:szCs w:val="21"/>
        </w:rPr>
        <w:t xml:space="preserve"> for the Platform Services as identified in the Order Schedule (Exhibit B)</w:t>
      </w:r>
      <w:r w:rsidR="00690AD6" w:rsidRPr="0072386F">
        <w:rPr>
          <w:sz w:val="21"/>
          <w:szCs w:val="21"/>
        </w:rPr>
        <w:t>.</w:t>
      </w:r>
      <w:r w:rsidR="00690AD6" w:rsidRPr="00F62E3F">
        <w:rPr>
          <w:sz w:val="21"/>
          <w:szCs w:val="21"/>
        </w:rPr>
        <w:t xml:space="preserve">  </w:t>
      </w:r>
    </w:p>
    <w:p w14:paraId="567481B4" w14:textId="4F1EDBAF" w:rsidR="00690AD6" w:rsidRPr="00F62E3F" w:rsidRDefault="00690AD6" w:rsidP="001901A9">
      <w:pPr>
        <w:pStyle w:val="Heading1"/>
        <w:keepNext/>
        <w:numPr>
          <w:ilvl w:val="0"/>
          <w:numId w:val="11"/>
        </w:numPr>
        <w:shd w:val="clear" w:color="auto" w:fill="FFFFFF" w:themeFill="background1"/>
        <w:overflowPunct/>
        <w:autoSpaceDE/>
        <w:autoSpaceDN/>
        <w:adjustRightInd/>
        <w:spacing w:before="360"/>
        <w:ind w:left="450" w:hanging="450"/>
        <w:jc w:val="both"/>
        <w:textAlignment w:val="auto"/>
        <w:rPr>
          <w:sz w:val="21"/>
          <w:szCs w:val="21"/>
          <w:u w:val="single"/>
        </w:rPr>
      </w:pPr>
      <w:bookmarkStart w:id="5" w:name="_Toc480790672"/>
      <w:r w:rsidRPr="00F62E3F">
        <w:rPr>
          <w:sz w:val="21"/>
          <w:szCs w:val="21"/>
          <w:u w:val="single"/>
        </w:rPr>
        <w:t xml:space="preserve">General </w:t>
      </w:r>
      <w:r w:rsidR="00B8294E" w:rsidRPr="00F62E3F">
        <w:rPr>
          <w:sz w:val="21"/>
          <w:szCs w:val="21"/>
          <w:u w:val="single"/>
        </w:rPr>
        <w:t>Definitions</w:t>
      </w:r>
      <w:r w:rsidRPr="00F62E3F">
        <w:rPr>
          <w:sz w:val="21"/>
          <w:szCs w:val="21"/>
          <w:u w:val="single"/>
        </w:rPr>
        <w:t xml:space="preserve"> &amp; Terms</w:t>
      </w:r>
      <w:bookmarkEnd w:id="5"/>
    </w:p>
    <w:p w14:paraId="4EA0CB0E" w14:textId="77777777" w:rsidR="00690AD6" w:rsidRPr="00F62E3F" w:rsidRDefault="00690AD6" w:rsidP="000B31A7">
      <w:pPr>
        <w:pStyle w:val="Heading2"/>
        <w:keepNext/>
        <w:shd w:val="clear" w:color="auto" w:fill="FFFFFF" w:themeFill="background1"/>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6" w:name="_Toc480790673"/>
      <w:r w:rsidRPr="00F62E3F">
        <w:rPr>
          <w:sz w:val="21"/>
          <w:szCs w:val="21"/>
          <w:u w:val="single"/>
        </w:rPr>
        <w:t>Definitions</w:t>
      </w:r>
      <w:bookmarkEnd w:id="6"/>
    </w:p>
    <w:p w14:paraId="099AAACF" w14:textId="0D49DB22" w:rsidR="00690AD6" w:rsidRPr="00F62E3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F62E3F">
        <w:rPr>
          <w:rFonts w:ascii="Times New Roman" w:hAnsi="Times New Roman" w:cs="Times New Roman"/>
          <w:b/>
          <w:sz w:val="21"/>
          <w:szCs w:val="21"/>
        </w:rPr>
        <w:t>“Downtime”</w:t>
      </w:r>
      <w:r w:rsidRPr="00F62E3F">
        <w:rPr>
          <w:rFonts w:ascii="Times New Roman" w:hAnsi="Times New Roman" w:cs="Times New Roman"/>
          <w:sz w:val="21"/>
          <w:szCs w:val="21"/>
        </w:rPr>
        <w:t xml:space="preserve"> is defined as any period of time when end users are unable to read or write any </w:t>
      </w:r>
      <w:r w:rsidR="00EC7D89">
        <w:rPr>
          <w:rFonts w:ascii="Times New Roman" w:hAnsi="Times New Roman" w:cs="Times New Roman"/>
          <w:sz w:val="21"/>
          <w:szCs w:val="21"/>
        </w:rPr>
        <w:t>Platform Services</w:t>
      </w:r>
      <w:r w:rsidR="00EC7D89" w:rsidRPr="00F62E3F">
        <w:rPr>
          <w:rFonts w:ascii="Times New Roman" w:hAnsi="Times New Roman" w:cs="Times New Roman"/>
          <w:sz w:val="21"/>
          <w:szCs w:val="21"/>
        </w:rPr>
        <w:t xml:space="preserve"> </w:t>
      </w:r>
      <w:r w:rsidRPr="00F62E3F">
        <w:rPr>
          <w:rFonts w:ascii="Times New Roman" w:hAnsi="Times New Roman" w:cs="Times New Roman"/>
          <w:sz w:val="21"/>
          <w:szCs w:val="21"/>
        </w:rPr>
        <w:t xml:space="preserve">data for which they have appropriate permission as Tavant determines from automated health monitoring and system logs.  </w:t>
      </w:r>
    </w:p>
    <w:p w14:paraId="0D978F0F" w14:textId="77777777" w:rsidR="00690AD6" w:rsidRPr="00F62E3F" w:rsidRDefault="00690AD6" w:rsidP="000B31A7">
      <w:pPr>
        <w:pStyle w:val="ProductList-Body"/>
        <w:shd w:val="clear" w:color="auto" w:fill="FFFFFF" w:themeFill="background1"/>
        <w:tabs>
          <w:tab w:val="clear" w:pos="360"/>
          <w:tab w:val="clear" w:pos="720"/>
          <w:tab w:val="clear" w:pos="1080"/>
        </w:tabs>
        <w:spacing w:after="40"/>
        <w:ind w:left="720"/>
        <w:jc w:val="both"/>
        <w:rPr>
          <w:rFonts w:ascii="Times New Roman" w:hAnsi="Times New Roman" w:cs="Times New Roman"/>
          <w:sz w:val="21"/>
          <w:szCs w:val="21"/>
        </w:rPr>
      </w:pPr>
    </w:p>
    <w:p w14:paraId="0A57ED59" w14:textId="77777777" w:rsidR="00690AD6" w:rsidRPr="00F62E3F" w:rsidRDefault="00690AD6" w:rsidP="000B31A7">
      <w:pPr>
        <w:pStyle w:val="ProductList-Body"/>
        <w:shd w:val="clear" w:color="auto" w:fill="FFFFFF" w:themeFill="background1"/>
        <w:tabs>
          <w:tab w:val="clear" w:pos="360"/>
          <w:tab w:val="clear" w:pos="720"/>
          <w:tab w:val="clear" w:pos="1080"/>
        </w:tabs>
        <w:spacing w:after="40"/>
        <w:ind w:left="720" w:firstLine="180"/>
        <w:jc w:val="both"/>
        <w:rPr>
          <w:rFonts w:ascii="Times New Roman" w:hAnsi="Times New Roman" w:cs="Times New Roman"/>
          <w:sz w:val="21"/>
          <w:szCs w:val="21"/>
        </w:rPr>
      </w:pPr>
      <w:r w:rsidRPr="00F62E3F">
        <w:rPr>
          <w:rFonts w:ascii="Times New Roman" w:hAnsi="Times New Roman" w:cs="Times New Roman"/>
          <w:sz w:val="21"/>
          <w:szCs w:val="21"/>
        </w:rPr>
        <w:t xml:space="preserve">Downtime </w:t>
      </w:r>
      <w:r w:rsidRPr="00F62E3F">
        <w:rPr>
          <w:rFonts w:ascii="Times New Roman" w:hAnsi="Times New Roman" w:cs="Times New Roman"/>
          <w:b/>
          <w:sz w:val="21"/>
          <w:szCs w:val="21"/>
        </w:rPr>
        <w:t>does not include</w:t>
      </w:r>
      <w:r w:rsidRPr="00F62E3F">
        <w:rPr>
          <w:rFonts w:ascii="Times New Roman" w:hAnsi="Times New Roman" w:cs="Times New Roman"/>
          <w:sz w:val="21"/>
          <w:szCs w:val="21"/>
        </w:rPr>
        <w:t xml:space="preserve"> </w:t>
      </w:r>
    </w:p>
    <w:p w14:paraId="6A3919F7" w14:textId="5132F4FD" w:rsidR="00690AD6" w:rsidRDefault="00690AD6"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sidRPr="00F62E3F">
        <w:rPr>
          <w:rFonts w:ascii="Times New Roman" w:hAnsi="Times New Roman" w:cs="Times New Roman"/>
          <w:sz w:val="21"/>
          <w:szCs w:val="21"/>
        </w:rPr>
        <w:t>Scheduled Downtime</w:t>
      </w:r>
    </w:p>
    <w:p w14:paraId="2AED7696" w14:textId="30A9FF7D" w:rsidR="009C3DC9" w:rsidRPr="00F62E3F" w:rsidRDefault="009C3DC9"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Pr>
          <w:rFonts w:ascii="Times New Roman" w:hAnsi="Times New Roman" w:cs="Times New Roman"/>
          <w:sz w:val="21"/>
          <w:szCs w:val="21"/>
        </w:rPr>
        <w:t>Scheduled Downtown time by third party software service provider</w:t>
      </w:r>
    </w:p>
    <w:p w14:paraId="2BA60022" w14:textId="1AA8AE0F" w:rsidR="00690AD6" w:rsidRPr="0072386F" w:rsidRDefault="00E66DF0"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sidRPr="0072386F">
        <w:rPr>
          <w:rFonts w:ascii="Times New Roman" w:hAnsi="Times New Roman" w:cs="Times New Roman"/>
          <w:sz w:val="21"/>
          <w:szCs w:val="21"/>
        </w:rPr>
        <w:t xml:space="preserve">Loan </w:t>
      </w:r>
      <w:r w:rsidR="0072386F" w:rsidRPr="000B31A7">
        <w:rPr>
          <w:rFonts w:ascii="Times New Roman" w:hAnsi="Times New Roman" w:cs="Times New Roman"/>
          <w:sz w:val="21"/>
          <w:szCs w:val="21"/>
        </w:rPr>
        <w:t>o</w:t>
      </w:r>
      <w:r w:rsidRPr="0072386F">
        <w:rPr>
          <w:rFonts w:ascii="Times New Roman" w:hAnsi="Times New Roman" w:cs="Times New Roman"/>
          <w:sz w:val="21"/>
          <w:szCs w:val="21"/>
        </w:rPr>
        <w:t xml:space="preserve">rigination </w:t>
      </w:r>
      <w:r w:rsidR="0072386F" w:rsidRPr="000B31A7">
        <w:rPr>
          <w:rFonts w:ascii="Times New Roman" w:hAnsi="Times New Roman" w:cs="Times New Roman"/>
          <w:sz w:val="21"/>
          <w:szCs w:val="21"/>
        </w:rPr>
        <w:t>s</w:t>
      </w:r>
      <w:r w:rsidRPr="0072386F">
        <w:rPr>
          <w:rFonts w:ascii="Times New Roman" w:hAnsi="Times New Roman" w:cs="Times New Roman"/>
          <w:sz w:val="21"/>
          <w:szCs w:val="21"/>
        </w:rPr>
        <w:t xml:space="preserve">ystem </w:t>
      </w:r>
      <w:r w:rsidR="0072386F" w:rsidRPr="000B31A7">
        <w:rPr>
          <w:rFonts w:ascii="Times New Roman" w:hAnsi="Times New Roman" w:cs="Times New Roman"/>
          <w:sz w:val="21"/>
          <w:szCs w:val="21"/>
        </w:rPr>
        <w:t>d</w:t>
      </w:r>
      <w:r w:rsidR="00690AD6" w:rsidRPr="0072386F">
        <w:rPr>
          <w:rFonts w:ascii="Times New Roman" w:hAnsi="Times New Roman" w:cs="Times New Roman"/>
          <w:sz w:val="21"/>
          <w:szCs w:val="21"/>
        </w:rPr>
        <w:t>owntime</w:t>
      </w:r>
    </w:p>
    <w:p w14:paraId="1A5FE54E" w14:textId="542A3BCE" w:rsidR="00690AD6" w:rsidRPr="0072386F" w:rsidRDefault="0005785B"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sidRPr="0072386F">
        <w:rPr>
          <w:rFonts w:ascii="Times New Roman" w:hAnsi="Times New Roman" w:cs="Times New Roman"/>
          <w:sz w:val="21"/>
          <w:szCs w:val="21"/>
        </w:rPr>
        <w:t>Third-</w:t>
      </w:r>
      <w:r w:rsidR="0072386F" w:rsidRPr="000B31A7">
        <w:rPr>
          <w:rFonts w:ascii="Times New Roman" w:hAnsi="Times New Roman" w:cs="Times New Roman"/>
          <w:sz w:val="21"/>
          <w:szCs w:val="21"/>
        </w:rPr>
        <w:t>p</w:t>
      </w:r>
      <w:r w:rsidRPr="0072386F">
        <w:rPr>
          <w:rFonts w:ascii="Times New Roman" w:hAnsi="Times New Roman" w:cs="Times New Roman"/>
          <w:sz w:val="21"/>
          <w:szCs w:val="21"/>
        </w:rPr>
        <w:t>arty Services’</w:t>
      </w:r>
      <w:r w:rsidR="00690AD6" w:rsidRPr="0072386F">
        <w:rPr>
          <w:rFonts w:ascii="Times New Roman" w:hAnsi="Times New Roman" w:cs="Times New Roman"/>
          <w:sz w:val="21"/>
          <w:szCs w:val="21"/>
        </w:rPr>
        <w:t xml:space="preserve"> API Interruptions</w:t>
      </w:r>
    </w:p>
    <w:p w14:paraId="7137BD26" w14:textId="1FADF40C" w:rsidR="00690AD6" w:rsidRPr="0072386F" w:rsidRDefault="00690AD6"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sidRPr="0072386F">
        <w:rPr>
          <w:rFonts w:ascii="Times New Roman" w:hAnsi="Times New Roman" w:cs="Times New Roman"/>
          <w:sz w:val="21"/>
          <w:szCs w:val="21"/>
        </w:rPr>
        <w:t xml:space="preserve">The inability to access the </w:t>
      </w:r>
      <w:r w:rsidR="003F3D30" w:rsidRPr="0072386F">
        <w:rPr>
          <w:rFonts w:ascii="Times New Roman" w:hAnsi="Times New Roman" w:cs="Times New Roman"/>
          <w:sz w:val="21"/>
          <w:szCs w:val="21"/>
        </w:rPr>
        <w:t>Platform Services</w:t>
      </w:r>
      <w:r w:rsidRPr="0072386F">
        <w:rPr>
          <w:rFonts w:ascii="Times New Roman" w:hAnsi="Times New Roman" w:cs="Times New Roman"/>
          <w:sz w:val="21"/>
          <w:szCs w:val="21"/>
        </w:rPr>
        <w:t xml:space="preserve"> due to Customer’s modifications of the </w:t>
      </w:r>
      <w:r w:rsidR="003F3D30" w:rsidRPr="0072386F">
        <w:rPr>
          <w:rFonts w:ascii="Times New Roman" w:hAnsi="Times New Roman" w:cs="Times New Roman"/>
          <w:sz w:val="21"/>
          <w:szCs w:val="21"/>
        </w:rPr>
        <w:t>services</w:t>
      </w:r>
      <w:r w:rsidR="003F3D30" w:rsidRPr="0072386F" w:rsidDel="003F3D30">
        <w:rPr>
          <w:rFonts w:ascii="Times New Roman" w:hAnsi="Times New Roman" w:cs="Times New Roman"/>
          <w:sz w:val="21"/>
          <w:szCs w:val="21"/>
        </w:rPr>
        <w:t xml:space="preserve"> </w:t>
      </w:r>
      <w:r w:rsidRPr="0072386F">
        <w:rPr>
          <w:rFonts w:ascii="Times New Roman" w:hAnsi="Times New Roman" w:cs="Times New Roman"/>
          <w:sz w:val="21"/>
          <w:szCs w:val="21"/>
        </w:rPr>
        <w:t xml:space="preserve">implementation or periods where the </w:t>
      </w:r>
      <w:r w:rsidR="0072386F" w:rsidRPr="000B31A7">
        <w:rPr>
          <w:rFonts w:ascii="Times New Roman" w:hAnsi="Times New Roman" w:cs="Times New Roman"/>
          <w:sz w:val="21"/>
          <w:szCs w:val="21"/>
        </w:rPr>
        <w:t>s</w:t>
      </w:r>
      <w:r w:rsidRPr="0072386F">
        <w:rPr>
          <w:rFonts w:ascii="Times New Roman" w:hAnsi="Times New Roman" w:cs="Times New Roman"/>
          <w:sz w:val="21"/>
          <w:szCs w:val="21"/>
        </w:rPr>
        <w:t xml:space="preserve">cale </w:t>
      </w:r>
      <w:r w:rsidR="0072386F" w:rsidRPr="000B31A7">
        <w:rPr>
          <w:rFonts w:ascii="Times New Roman" w:hAnsi="Times New Roman" w:cs="Times New Roman"/>
          <w:sz w:val="21"/>
          <w:szCs w:val="21"/>
        </w:rPr>
        <w:t>u</w:t>
      </w:r>
      <w:r w:rsidRPr="0072386F">
        <w:rPr>
          <w:rFonts w:ascii="Times New Roman" w:hAnsi="Times New Roman" w:cs="Times New Roman"/>
          <w:sz w:val="21"/>
          <w:szCs w:val="21"/>
        </w:rPr>
        <w:t>nit capacity is exceeded.</w:t>
      </w:r>
    </w:p>
    <w:p w14:paraId="02605BC3" w14:textId="700C1A04" w:rsidR="00690AD6" w:rsidRPr="0072386F" w:rsidRDefault="0072386F" w:rsidP="001901A9">
      <w:pPr>
        <w:pStyle w:val="ProductList-Body"/>
        <w:numPr>
          <w:ilvl w:val="1"/>
          <w:numId w:val="8"/>
        </w:numPr>
        <w:shd w:val="clear" w:color="auto" w:fill="FFFFFF" w:themeFill="background1"/>
        <w:tabs>
          <w:tab w:val="clear" w:pos="360"/>
          <w:tab w:val="clear" w:pos="720"/>
          <w:tab w:val="clear" w:pos="1080"/>
        </w:tabs>
        <w:spacing w:after="40"/>
        <w:ind w:left="1260" w:hanging="540"/>
        <w:jc w:val="both"/>
        <w:rPr>
          <w:rFonts w:ascii="Times New Roman" w:hAnsi="Times New Roman" w:cs="Times New Roman"/>
          <w:sz w:val="21"/>
          <w:szCs w:val="21"/>
        </w:rPr>
      </w:pPr>
      <w:r w:rsidRPr="0072386F">
        <w:rPr>
          <w:rFonts w:ascii="Times New Roman" w:hAnsi="Times New Roman" w:cs="Times New Roman"/>
          <w:sz w:val="21"/>
          <w:szCs w:val="21"/>
        </w:rPr>
        <w:t xml:space="preserve">Platform Services’ </w:t>
      </w:r>
      <w:r w:rsidR="00690AD6" w:rsidRPr="0072386F">
        <w:rPr>
          <w:rFonts w:ascii="Times New Roman" w:hAnsi="Times New Roman" w:cs="Times New Roman"/>
          <w:sz w:val="21"/>
          <w:szCs w:val="21"/>
        </w:rPr>
        <w:t>interruptions due to any other circumstance beyond our control</w:t>
      </w:r>
    </w:p>
    <w:p w14:paraId="45ACEC2E" w14:textId="77777777" w:rsidR="00690AD6" w:rsidRPr="0072386F" w:rsidRDefault="00690AD6" w:rsidP="000B31A7">
      <w:pPr>
        <w:pStyle w:val="ProductList-Body"/>
        <w:shd w:val="clear" w:color="auto" w:fill="FFFFFF" w:themeFill="background1"/>
        <w:tabs>
          <w:tab w:val="clear" w:pos="360"/>
        </w:tabs>
        <w:spacing w:after="40"/>
        <w:ind w:left="720"/>
        <w:jc w:val="both"/>
        <w:rPr>
          <w:rFonts w:ascii="Times New Roman" w:hAnsi="Times New Roman" w:cs="Times New Roman"/>
          <w:sz w:val="21"/>
          <w:szCs w:val="21"/>
        </w:rPr>
      </w:pPr>
    </w:p>
    <w:p w14:paraId="15ED7E3A" w14:textId="77777777" w:rsidR="00690AD6" w:rsidRPr="0072386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72386F">
        <w:rPr>
          <w:rFonts w:ascii="Times New Roman" w:hAnsi="Times New Roman" w:cs="Times New Roman"/>
          <w:b/>
          <w:sz w:val="21"/>
          <w:szCs w:val="21"/>
        </w:rPr>
        <w:t>“Incident”</w:t>
      </w:r>
      <w:r w:rsidRPr="0072386F">
        <w:rPr>
          <w:rFonts w:ascii="Times New Roman" w:hAnsi="Times New Roman" w:cs="Times New Roman"/>
          <w:sz w:val="21"/>
          <w:szCs w:val="21"/>
        </w:rPr>
        <w:t xml:space="preserve"> means (i) any single event, or (ii) any set of events, that result in Downtime.</w:t>
      </w:r>
    </w:p>
    <w:p w14:paraId="5310358F" w14:textId="1B4EF807" w:rsidR="00690AD6" w:rsidRPr="0072386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72386F">
        <w:rPr>
          <w:rFonts w:ascii="Times New Roman" w:hAnsi="Times New Roman" w:cs="Times New Roman"/>
          <w:b/>
          <w:sz w:val="21"/>
          <w:szCs w:val="21"/>
        </w:rPr>
        <w:t>“Scheduled Downtime”</w:t>
      </w:r>
      <w:r w:rsidRPr="0072386F">
        <w:rPr>
          <w:rFonts w:ascii="Times New Roman" w:hAnsi="Times New Roman" w:cs="Times New Roman"/>
          <w:sz w:val="21"/>
          <w:szCs w:val="21"/>
        </w:rPr>
        <w:t xml:space="preserve"> means periods of Downtime related to network, hardware, or </w:t>
      </w:r>
      <w:r w:rsidR="00EC7D89" w:rsidRPr="0072386F">
        <w:rPr>
          <w:rFonts w:ascii="Times New Roman" w:hAnsi="Times New Roman" w:cs="Times New Roman"/>
          <w:sz w:val="21"/>
          <w:szCs w:val="21"/>
        </w:rPr>
        <w:t xml:space="preserve">Platform Services </w:t>
      </w:r>
      <w:r w:rsidRPr="0072386F">
        <w:rPr>
          <w:rFonts w:ascii="Times New Roman" w:hAnsi="Times New Roman" w:cs="Times New Roman"/>
          <w:sz w:val="21"/>
          <w:szCs w:val="21"/>
        </w:rPr>
        <w:t>maintenance or upgrades.</w:t>
      </w:r>
    </w:p>
    <w:p w14:paraId="2FE39B86" w14:textId="1C251C58" w:rsidR="00690AD6" w:rsidRPr="0072386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72386F">
        <w:rPr>
          <w:rFonts w:ascii="Times New Roman" w:hAnsi="Times New Roman" w:cs="Times New Roman"/>
          <w:b/>
          <w:sz w:val="21"/>
          <w:szCs w:val="21"/>
        </w:rPr>
        <w:t>“Service Level”</w:t>
      </w:r>
      <w:r w:rsidRPr="0072386F">
        <w:rPr>
          <w:rFonts w:ascii="Times New Roman" w:hAnsi="Times New Roman" w:cs="Times New Roman"/>
          <w:sz w:val="21"/>
          <w:szCs w:val="21"/>
        </w:rPr>
        <w:t xml:space="preserve"> means the performance metric(s) set forth in this SLA that Tavant agrees to meet in the delivery of the </w:t>
      </w:r>
      <w:r w:rsidR="00EC7D89" w:rsidRPr="0072386F">
        <w:rPr>
          <w:rFonts w:ascii="Times New Roman" w:hAnsi="Times New Roman" w:cs="Times New Roman"/>
          <w:sz w:val="21"/>
          <w:szCs w:val="21"/>
        </w:rPr>
        <w:t xml:space="preserve">Platform </w:t>
      </w:r>
      <w:r w:rsidR="00AB5810" w:rsidRPr="0072386F">
        <w:rPr>
          <w:rFonts w:ascii="Times New Roman" w:hAnsi="Times New Roman" w:cs="Times New Roman"/>
          <w:sz w:val="21"/>
          <w:szCs w:val="21"/>
        </w:rPr>
        <w:t>Services</w:t>
      </w:r>
      <w:r w:rsidR="00AB5810" w:rsidRPr="0072386F" w:rsidDel="00EC7D89">
        <w:rPr>
          <w:rFonts w:ascii="Times New Roman" w:hAnsi="Times New Roman" w:cs="Times New Roman"/>
          <w:sz w:val="21"/>
          <w:szCs w:val="21"/>
        </w:rPr>
        <w:t>.</w:t>
      </w:r>
    </w:p>
    <w:p w14:paraId="49D21EB9" w14:textId="40CA3C4C" w:rsidR="00690AD6" w:rsidRPr="00F62E3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F62E3F">
        <w:rPr>
          <w:rFonts w:ascii="Times New Roman" w:hAnsi="Times New Roman" w:cs="Times New Roman"/>
          <w:b/>
          <w:sz w:val="21"/>
          <w:szCs w:val="21"/>
        </w:rPr>
        <w:t>“Support Window”</w:t>
      </w:r>
      <w:r w:rsidRPr="00F62E3F">
        <w:rPr>
          <w:rFonts w:ascii="Times New Roman" w:hAnsi="Times New Roman" w:cs="Times New Roman"/>
          <w:sz w:val="21"/>
          <w:szCs w:val="21"/>
        </w:rPr>
        <w:t xml:space="preserve"> refers to the period of time during which a </w:t>
      </w:r>
      <w:r w:rsidR="00EC7D89">
        <w:rPr>
          <w:rFonts w:ascii="Times New Roman" w:hAnsi="Times New Roman" w:cs="Times New Roman"/>
          <w:sz w:val="21"/>
          <w:szCs w:val="21"/>
        </w:rPr>
        <w:t>Platform Services</w:t>
      </w:r>
      <w:r w:rsidRPr="00F62E3F">
        <w:rPr>
          <w:rFonts w:ascii="Times New Roman" w:hAnsi="Times New Roman" w:cs="Times New Roman"/>
          <w:sz w:val="21"/>
          <w:szCs w:val="21"/>
        </w:rPr>
        <w:t xml:space="preserve"> feature or compatibility with a separate product or service is supported.</w:t>
      </w:r>
    </w:p>
    <w:p w14:paraId="1CF17E25" w14:textId="34417D6B" w:rsidR="00690AD6" w:rsidRPr="00F62E3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F62E3F">
        <w:rPr>
          <w:rFonts w:ascii="Times New Roman" w:hAnsi="Times New Roman" w:cs="Times New Roman"/>
          <w:b/>
          <w:sz w:val="21"/>
          <w:szCs w:val="21"/>
        </w:rPr>
        <w:t>“Emergency Maintenance”</w:t>
      </w:r>
      <w:r w:rsidRPr="00F62E3F">
        <w:rPr>
          <w:rFonts w:ascii="Times New Roman" w:hAnsi="Times New Roman" w:cs="Times New Roman"/>
          <w:sz w:val="21"/>
          <w:szCs w:val="21"/>
        </w:rPr>
        <w:t xml:space="preserve"> means downtime of the </w:t>
      </w:r>
      <w:r w:rsidR="00EC7D89">
        <w:rPr>
          <w:rFonts w:ascii="Times New Roman" w:hAnsi="Times New Roman" w:cs="Times New Roman"/>
          <w:sz w:val="21"/>
          <w:szCs w:val="21"/>
        </w:rPr>
        <w:t>Platform Services</w:t>
      </w:r>
      <w:r w:rsidR="00EC7D89" w:rsidRPr="00F62E3F" w:rsidDel="00EC7D89">
        <w:rPr>
          <w:rFonts w:ascii="Times New Roman" w:hAnsi="Times New Roman" w:cs="Times New Roman"/>
          <w:sz w:val="21"/>
          <w:szCs w:val="21"/>
        </w:rPr>
        <w:t xml:space="preserve"> </w:t>
      </w:r>
      <w:r w:rsidRPr="00F62E3F">
        <w:rPr>
          <w:rFonts w:ascii="Times New Roman" w:hAnsi="Times New Roman" w:cs="Times New Roman"/>
          <w:sz w:val="21"/>
          <w:szCs w:val="21"/>
        </w:rPr>
        <w:t xml:space="preserve">outside of Scheduled Maintenance Window hours that is required to complete the application of urgent patches or </w:t>
      </w:r>
      <w:r w:rsidR="00B8294E" w:rsidRPr="00F62E3F">
        <w:rPr>
          <w:rFonts w:ascii="Times New Roman" w:hAnsi="Times New Roman" w:cs="Times New Roman"/>
          <w:sz w:val="21"/>
          <w:szCs w:val="21"/>
        </w:rPr>
        <w:t>fixes or</w:t>
      </w:r>
      <w:r w:rsidRPr="00F62E3F">
        <w:rPr>
          <w:rFonts w:ascii="Times New Roman" w:hAnsi="Times New Roman" w:cs="Times New Roman"/>
          <w:sz w:val="21"/>
          <w:szCs w:val="21"/>
        </w:rPr>
        <w:t xml:space="preserve"> undertake other urgent maintenance activities. </w:t>
      </w:r>
    </w:p>
    <w:p w14:paraId="77810A3C" w14:textId="16A90CB8" w:rsidR="00690AD6" w:rsidRPr="00F62E3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F62E3F">
        <w:rPr>
          <w:rFonts w:ascii="Times New Roman" w:hAnsi="Times New Roman" w:cs="Times New Roman"/>
          <w:b/>
          <w:sz w:val="21"/>
          <w:szCs w:val="21"/>
        </w:rPr>
        <w:t>“Scheduled Maintenance Window”</w:t>
      </w:r>
      <w:r w:rsidRPr="00F62E3F">
        <w:rPr>
          <w:rFonts w:ascii="Times New Roman" w:hAnsi="Times New Roman" w:cs="Times New Roman"/>
          <w:sz w:val="21"/>
          <w:szCs w:val="21"/>
        </w:rPr>
        <w:t xml:space="preserve"> means the window during which scheduled maintenance of the </w:t>
      </w:r>
      <w:r w:rsidR="00EC7D89">
        <w:rPr>
          <w:rFonts w:ascii="Times New Roman" w:hAnsi="Times New Roman" w:cs="Times New Roman"/>
          <w:sz w:val="21"/>
          <w:szCs w:val="21"/>
        </w:rPr>
        <w:t xml:space="preserve">Platform </w:t>
      </w:r>
      <w:r w:rsidR="00AB5810">
        <w:rPr>
          <w:rFonts w:ascii="Times New Roman" w:hAnsi="Times New Roman" w:cs="Times New Roman"/>
          <w:sz w:val="21"/>
          <w:szCs w:val="21"/>
        </w:rPr>
        <w:t>Services</w:t>
      </w:r>
      <w:r w:rsidR="00AB5810" w:rsidRPr="00F62E3F" w:rsidDel="00EC7D89">
        <w:rPr>
          <w:rFonts w:ascii="Times New Roman" w:hAnsi="Times New Roman" w:cs="Times New Roman"/>
          <w:sz w:val="21"/>
          <w:szCs w:val="21"/>
        </w:rPr>
        <w:t xml:space="preserve"> </w:t>
      </w:r>
      <w:r w:rsidR="00AB5810" w:rsidRPr="00F62E3F">
        <w:rPr>
          <w:rFonts w:ascii="Times New Roman" w:hAnsi="Times New Roman" w:cs="Times New Roman"/>
          <w:sz w:val="21"/>
          <w:szCs w:val="21"/>
        </w:rPr>
        <w:t>may</w:t>
      </w:r>
      <w:r w:rsidRPr="00F62E3F">
        <w:rPr>
          <w:rFonts w:ascii="Times New Roman" w:hAnsi="Times New Roman" w:cs="Times New Roman"/>
          <w:sz w:val="21"/>
          <w:szCs w:val="21"/>
        </w:rPr>
        <w:t xml:space="preserve"> be performed.</w:t>
      </w:r>
    </w:p>
    <w:p w14:paraId="2C7293DD" w14:textId="27CF1721" w:rsidR="00690AD6" w:rsidRPr="00F62E3F" w:rsidRDefault="00690AD6" w:rsidP="001901A9">
      <w:pPr>
        <w:pStyle w:val="ProductList-Body"/>
        <w:numPr>
          <w:ilvl w:val="0"/>
          <w:numId w:val="7"/>
        </w:numPr>
        <w:shd w:val="clear" w:color="auto" w:fill="FFFFFF" w:themeFill="background1"/>
        <w:tabs>
          <w:tab w:val="clear" w:pos="360"/>
          <w:tab w:val="clear" w:pos="720"/>
          <w:tab w:val="clear" w:pos="1080"/>
        </w:tabs>
        <w:spacing w:after="40"/>
        <w:ind w:left="900" w:hanging="450"/>
        <w:jc w:val="both"/>
        <w:rPr>
          <w:rFonts w:ascii="Times New Roman" w:hAnsi="Times New Roman" w:cs="Times New Roman"/>
          <w:sz w:val="21"/>
          <w:szCs w:val="21"/>
        </w:rPr>
      </w:pPr>
      <w:r w:rsidRPr="00F62E3F">
        <w:rPr>
          <w:rFonts w:ascii="Times New Roman" w:hAnsi="Times New Roman" w:cs="Times New Roman"/>
          <w:b/>
          <w:sz w:val="21"/>
          <w:szCs w:val="21"/>
        </w:rPr>
        <w:t>“</w:t>
      </w:r>
      <w:r w:rsidR="00A67A9F">
        <w:rPr>
          <w:rFonts w:ascii="Times New Roman" w:hAnsi="Times New Roman" w:cs="Times New Roman"/>
          <w:b/>
          <w:sz w:val="21"/>
          <w:szCs w:val="21"/>
        </w:rPr>
        <w:t xml:space="preserve">Platform </w:t>
      </w:r>
      <w:r w:rsidRPr="00F62E3F">
        <w:rPr>
          <w:rFonts w:ascii="Times New Roman" w:hAnsi="Times New Roman" w:cs="Times New Roman"/>
          <w:b/>
          <w:sz w:val="21"/>
          <w:szCs w:val="21"/>
        </w:rPr>
        <w:t>Service</w:t>
      </w:r>
      <w:r w:rsidR="00A67A9F">
        <w:rPr>
          <w:rFonts w:ascii="Times New Roman" w:hAnsi="Times New Roman" w:cs="Times New Roman"/>
          <w:b/>
          <w:sz w:val="21"/>
          <w:szCs w:val="21"/>
        </w:rPr>
        <w:t>s</w:t>
      </w:r>
      <w:r w:rsidRPr="00F62E3F">
        <w:rPr>
          <w:rFonts w:ascii="Times New Roman" w:hAnsi="Times New Roman" w:cs="Times New Roman"/>
          <w:b/>
          <w:sz w:val="21"/>
          <w:szCs w:val="21"/>
        </w:rPr>
        <w:t xml:space="preserve"> Availability”</w:t>
      </w:r>
      <w:r w:rsidRPr="00F62E3F">
        <w:rPr>
          <w:rFonts w:ascii="Times New Roman" w:hAnsi="Times New Roman" w:cs="Times New Roman"/>
          <w:sz w:val="21"/>
          <w:szCs w:val="21"/>
        </w:rPr>
        <w:t xml:space="preserve"> means the percentage of total time during which the</w:t>
      </w:r>
      <w:r w:rsidR="00EC7D89" w:rsidRPr="00EC7D89">
        <w:rPr>
          <w:rFonts w:ascii="Times New Roman" w:hAnsi="Times New Roman" w:cs="Times New Roman"/>
          <w:sz w:val="21"/>
          <w:szCs w:val="21"/>
        </w:rPr>
        <w:t xml:space="preserve"> </w:t>
      </w:r>
      <w:r w:rsidR="00EC7D89">
        <w:rPr>
          <w:rFonts w:ascii="Times New Roman" w:hAnsi="Times New Roman" w:cs="Times New Roman"/>
          <w:sz w:val="21"/>
          <w:szCs w:val="21"/>
        </w:rPr>
        <w:t>Platform Services</w:t>
      </w:r>
      <w:r w:rsidRPr="00F62E3F">
        <w:rPr>
          <w:rFonts w:ascii="Times New Roman" w:hAnsi="Times New Roman" w:cs="Times New Roman"/>
          <w:sz w:val="21"/>
          <w:szCs w:val="21"/>
        </w:rPr>
        <w:t xml:space="preserve"> is available to Customer, excluding Scheduled Downtime and Emergency Maintenance</w:t>
      </w:r>
    </w:p>
    <w:p w14:paraId="429F46B3" w14:textId="77777777" w:rsidR="00690AD6" w:rsidRPr="00F62E3F" w:rsidRDefault="00690AD6" w:rsidP="000B31A7">
      <w:pPr>
        <w:pStyle w:val="ListParagraph"/>
        <w:shd w:val="clear" w:color="auto" w:fill="FFFFFF" w:themeFill="background1"/>
        <w:rPr>
          <w:sz w:val="21"/>
          <w:szCs w:val="21"/>
        </w:rPr>
      </w:pPr>
    </w:p>
    <w:p w14:paraId="3A592B84" w14:textId="1E546D8A" w:rsidR="00EC7D89" w:rsidRPr="00F62E3F" w:rsidRDefault="00EC7D89" w:rsidP="00EC7D89">
      <w:pPr>
        <w:shd w:val="clear" w:color="auto" w:fill="FFFFFF" w:themeFill="background1"/>
        <w:rPr>
          <w:sz w:val="21"/>
          <w:szCs w:val="21"/>
        </w:rPr>
      </w:pPr>
      <w:bookmarkStart w:id="7" w:name="_Toc480790674"/>
      <w:r w:rsidRPr="00F62E3F">
        <w:rPr>
          <w:sz w:val="21"/>
          <w:szCs w:val="21"/>
        </w:rPr>
        <w:t xml:space="preserve">All terms or </w:t>
      </w:r>
      <w:r w:rsidR="00B8294E" w:rsidRPr="00F62E3F">
        <w:rPr>
          <w:sz w:val="21"/>
          <w:szCs w:val="21"/>
        </w:rPr>
        <w:t>words not</w:t>
      </w:r>
      <w:r w:rsidRPr="00F62E3F">
        <w:rPr>
          <w:sz w:val="21"/>
          <w:szCs w:val="21"/>
        </w:rPr>
        <w:t xml:space="preserve"> </w:t>
      </w:r>
      <w:r w:rsidR="00B8294E" w:rsidRPr="00F62E3F">
        <w:rPr>
          <w:sz w:val="21"/>
          <w:szCs w:val="21"/>
        </w:rPr>
        <w:t>specifically</w:t>
      </w:r>
      <w:r w:rsidRPr="00F62E3F">
        <w:rPr>
          <w:sz w:val="21"/>
          <w:szCs w:val="21"/>
        </w:rPr>
        <w:t xml:space="preserve"> defined in this </w:t>
      </w:r>
      <w:r>
        <w:rPr>
          <w:sz w:val="21"/>
          <w:szCs w:val="21"/>
        </w:rPr>
        <w:t>Exhibit B</w:t>
      </w:r>
      <w:r w:rsidRPr="00F62E3F">
        <w:rPr>
          <w:sz w:val="21"/>
          <w:szCs w:val="21"/>
        </w:rPr>
        <w:t xml:space="preserve"> will </w:t>
      </w:r>
      <w:r w:rsidR="00B8294E" w:rsidRPr="00F62E3F">
        <w:rPr>
          <w:sz w:val="21"/>
          <w:szCs w:val="21"/>
        </w:rPr>
        <w:t>derive</w:t>
      </w:r>
      <w:r w:rsidRPr="00F62E3F">
        <w:rPr>
          <w:sz w:val="21"/>
          <w:szCs w:val="21"/>
        </w:rPr>
        <w:t xml:space="preserve"> its meaning from the Agreement.</w:t>
      </w:r>
    </w:p>
    <w:p w14:paraId="74AA6AB5" w14:textId="77777777" w:rsidR="00EC7D89" w:rsidRPr="000B31A7" w:rsidRDefault="00EC7D89" w:rsidP="000B31A7">
      <w:pPr>
        <w:pStyle w:val="Heading2"/>
        <w:keepNext/>
        <w:numPr>
          <w:ilvl w:val="0"/>
          <w:numId w:val="0"/>
        </w:numPr>
        <w:shd w:val="clear" w:color="auto" w:fill="FFFFFF" w:themeFill="background1"/>
        <w:tabs>
          <w:tab w:val="left" w:pos="0"/>
          <w:tab w:val="left" w:pos="144"/>
          <w:tab w:val="left" w:pos="432"/>
        </w:tabs>
        <w:overflowPunct/>
        <w:autoSpaceDE/>
        <w:autoSpaceDN/>
        <w:adjustRightInd/>
        <w:spacing w:before="240" w:after="60"/>
        <w:ind w:left="576"/>
        <w:textAlignment w:val="auto"/>
        <w:rPr>
          <w:sz w:val="21"/>
          <w:szCs w:val="21"/>
        </w:rPr>
      </w:pPr>
    </w:p>
    <w:p w14:paraId="4B735A1C" w14:textId="4F185CBC" w:rsidR="00690AD6" w:rsidRPr="00F62E3F" w:rsidRDefault="00690AD6" w:rsidP="000B31A7">
      <w:pPr>
        <w:pStyle w:val="Heading2"/>
        <w:keepNext/>
        <w:shd w:val="clear" w:color="auto" w:fill="FFFFFF" w:themeFill="background1"/>
        <w:tabs>
          <w:tab w:val="clear" w:pos="1620"/>
          <w:tab w:val="left" w:pos="0"/>
          <w:tab w:val="left" w:pos="144"/>
          <w:tab w:val="left" w:pos="432"/>
        </w:tabs>
        <w:overflowPunct/>
        <w:autoSpaceDE/>
        <w:autoSpaceDN/>
        <w:adjustRightInd/>
        <w:spacing w:before="240" w:after="60"/>
        <w:ind w:left="576" w:hanging="576"/>
        <w:textAlignment w:val="auto"/>
        <w:rPr>
          <w:sz w:val="21"/>
          <w:szCs w:val="21"/>
        </w:rPr>
      </w:pPr>
      <w:r w:rsidRPr="00F62E3F">
        <w:rPr>
          <w:sz w:val="21"/>
          <w:szCs w:val="21"/>
          <w:u w:val="single"/>
        </w:rPr>
        <w:t>Terms</w:t>
      </w:r>
      <w:bookmarkEnd w:id="7"/>
    </w:p>
    <w:p w14:paraId="2354CDAC" w14:textId="77777777" w:rsidR="00690AD6" w:rsidRPr="00F62E3F" w:rsidRDefault="00690AD6" w:rsidP="001901A9">
      <w:pPr>
        <w:pStyle w:val="Heading3"/>
        <w:keepNext/>
        <w:keepLines/>
        <w:numPr>
          <w:ilvl w:val="2"/>
          <w:numId w:val="12"/>
        </w:numPr>
        <w:shd w:val="clear" w:color="auto" w:fill="FFFFFF" w:themeFill="background1"/>
        <w:overflowPunct/>
        <w:autoSpaceDE/>
        <w:autoSpaceDN/>
        <w:adjustRightInd/>
        <w:spacing w:before="200" w:after="120" w:line="276" w:lineRule="auto"/>
        <w:jc w:val="both"/>
        <w:textAlignment w:val="auto"/>
        <w:rPr>
          <w:sz w:val="21"/>
          <w:szCs w:val="21"/>
        </w:rPr>
      </w:pPr>
      <w:bookmarkStart w:id="8" w:name="_Toc479193709"/>
      <w:r w:rsidRPr="00F62E3F">
        <w:rPr>
          <w:sz w:val="21"/>
          <w:szCs w:val="21"/>
          <w:u w:val="single"/>
        </w:rPr>
        <w:t>Claims</w:t>
      </w:r>
      <w:bookmarkEnd w:id="8"/>
    </w:p>
    <w:p w14:paraId="07630FBD" w14:textId="0A6A934C" w:rsidR="00690AD6" w:rsidRPr="00F62E3F" w:rsidRDefault="00690AD6" w:rsidP="000B31A7">
      <w:pPr>
        <w:shd w:val="clear" w:color="auto" w:fill="FFFFFF" w:themeFill="background1"/>
        <w:tabs>
          <w:tab w:val="left" w:pos="360"/>
          <w:tab w:val="left" w:pos="720"/>
          <w:tab w:val="left" w:pos="1080"/>
        </w:tabs>
        <w:ind w:left="720"/>
        <w:jc w:val="both"/>
        <w:rPr>
          <w:rFonts w:eastAsia="Calibri"/>
          <w:sz w:val="21"/>
          <w:szCs w:val="21"/>
        </w:rPr>
      </w:pPr>
      <w:r w:rsidRPr="00F62E3F">
        <w:rPr>
          <w:rFonts w:eastAsia="Calibri"/>
          <w:sz w:val="21"/>
          <w:szCs w:val="21"/>
        </w:rPr>
        <w:t>In order for Tavant to consider a claim, Customer must submit the claim to customer support at Tavant Technologies</w:t>
      </w:r>
      <w:r w:rsidR="00FB28F3">
        <w:rPr>
          <w:rFonts w:eastAsia="Calibri"/>
          <w:sz w:val="21"/>
          <w:szCs w:val="21"/>
        </w:rPr>
        <w:t xml:space="preserve"> Inc.</w:t>
      </w:r>
      <w:r w:rsidRPr="00F62E3F">
        <w:rPr>
          <w:rFonts w:eastAsia="Calibri"/>
          <w:sz w:val="21"/>
          <w:szCs w:val="21"/>
        </w:rPr>
        <w:t xml:space="preserve"> including all information necessary for Tavant to validate the claim, including but </w:t>
      </w:r>
      <w:r w:rsidRPr="00F62E3F">
        <w:rPr>
          <w:rFonts w:eastAsia="Calibri"/>
          <w:sz w:val="21"/>
          <w:szCs w:val="21"/>
        </w:rPr>
        <w:lastRenderedPageBreak/>
        <w:t>not limited to: (i) a detailed description of the Incident; (ii) information regarding the time and duration of the Downtime; (iii) the number and location(s) of affected users (if applicable); and (iv) descriptions of Customer’s attempts to resolve the Incident at the time of occurrence.</w:t>
      </w:r>
    </w:p>
    <w:p w14:paraId="7E5F6760" w14:textId="77777777" w:rsidR="00690AD6" w:rsidRPr="00F62E3F" w:rsidRDefault="00690AD6" w:rsidP="001901A9">
      <w:pPr>
        <w:pStyle w:val="Heading3"/>
        <w:keepNext/>
        <w:keepLines/>
        <w:numPr>
          <w:ilvl w:val="2"/>
          <w:numId w:val="12"/>
        </w:numPr>
        <w:shd w:val="clear" w:color="auto" w:fill="FFFFFF" w:themeFill="background1"/>
        <w:overflowPunct/>
        <w:autoSpaceDE/>
        <w:autoSpaceDN/>
        <w:adjustRightInd/>
        <w:spacing w:before="200" w:after="120" w:line="276" w:lineRule="auto"/>
        <w:jc w:val="both"/>
        <w:textAlignment w:val="auto"/>
        <w:rPr>
          <w:sz w:val="21"/>
          <w:szCs w:val="21"/>
          <w:u w:val="single"/>
        </w:rPr>
      </w:pPr>
      <w:bookmarkStart w:id="9" w:name="_Toc479193711"/>
      <w:r w:rsidRPr="00F62E3F">
        <w:rPr>
          <w:sz w:val="21"/>
          <w:szCs w:val="21"/>
          <w:u w:val="single"/>
        </w:rPr>
        <w:t>Limitations and Exclusions</w:t>
      </w:r>
      <w:bookmarkEnd w:id="9"/>
    </w:p>
    <w:p w14:paraId="2D0DC40A" w14:textId="77777777" w:rsidR="00690AD6" w:rsidRPr="0072386F" w:rsidRDefault="00690AD6" w:rsidP="000B31A7">
      <w:pPr>
        <w:pStyle w:val="ProductList-Body"/>
        <w:shd w:val="clear" w:color="auto" w:fill="FFFFFF" w:themeFill="background1"/>
        <w:ind w:left="720"/>
        <w:jc w:val="both"/>
        <w:rPr>
          <w:rFonts w:ascii="Times New Roman" w:hAnsi="Times New Roman" w:cs="Times New Roman"/>
          <w:sz w:val="21"/>
          <w:szCs w:val="21"/>
        </w:rPr>
      </w:pPr>
      <w:r w:rsidRPr="0072386F">
        <w:rPr>
          <w:rFonts w:ascii="Times New Roman" w:hAnsi="Times New Roman" w:cs="Times New Roman"/>
          <w:sz w:val="21"/>
          <w:szCs w:val="21"/>
        </w:rPr>
        <w:t>This SLA and any applicable Service Levels do not apply to any performance or availability issues:</w:t>
      </w:r>
    </w:p>
    <w:p w14:paraId="04267859" w14:textId="583C556A"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72386F">
        <w:rPr>
          <w:rFonts w:ascii="Times New Roman" w:hAnsi="Times New Roman" w:cs="Times New Roman"/>
          <w:sz w:val="21"/>
          <w:szCs w:val="21"/>
        </w:rPr>
        <w:t>Due to factors outside our reasonable control (for example, natural disaster, war, acts of terrorism, riots, government a</w:t>
      </w:r>
      <w:r w:rsidRPr="00F62E3F">
        <w:rPr>
          <w:rFonts w:ascii="Times New Roman" w:hAnsi="Times New Roman" w:cs="Times New Roman"/>
          <w:sz w:val="21"/>
          <w:szCs w:val="21"/>
        </w:rPr>
        <w:t>ction, or a network or device fa</w:t>
      </w:r>
      <w:r w:rsidR="0005785B" w:rsidRPr="00F62E3F">
        <w:rPr>
          <w:rFonts w:ascii="Times New Roman" w:hAnsi="Times New Roman" w:cs="Times New Roman"/>
          <w:sz w:val="21"/>
          <w:szCs w:val="21"/>
        </w:rPr>
        <w:t>ilure</w:t>
      </w:r>
      <w:r w:rsidRPr="00F62E3F">
        <w:rPr>
          <w:rFonts w:ascii="Times New Roman" w:hAnsi="Times New Roman" w:cs="Times New Roman"/>
          <w:sz w:val="21"/>
          <w:szCs w:val="21"/>
        </w:rPr>
        <w:t xml:space="preserve">, including at Customer’s site or between Customer’s site and </w:t>
      </w:r>
      <w:r w:rsidR="00CE4048" w:rsidRPr="000B31A7">
        <w:rPr>
          <w:rFonts w:ascii="Times New Roman" w:hAnsi="Times New Roman" w:cs="Times New Roman"/>
          <w:sz w:val="21"/>
          <w:szCs w:val="21"/>
        </w:rPr>
        <w:t>t</w:t>
      </w:r>
      <w:r w:rsidR="00CE4048" w:rsidRPr="00FF266B">
        <w:rPr>
          <w:rFonts w:ascii="Times New Roman" w:hAnsi="Times New Roman" w:cs="Times New Roman"/>
          <w:sz w:val="21"/>
          <w:szCs w:val="21"/>
        </w:rPr>
        <w:t>hird-party</w:t>
      </w:r>
      <w:r w:rsidR="00F409A8" w:rsidRPr="00FF266B">
        <w:rPr>
          <w:rFonts w:ascii="Times New Roman" w:hAnsi="Times New Roman" w:cs="Times New Roman"/>
          <w:sz w:val="21"/>
          <w:szCs w:val="21"/>
        </w:rPr>
        <w:t xml:space="preserve"> API’s</w:t>
      </w:r>
      <w:r w:rsidR="00B8294E" w:rsidRPr="00FF266B">
        <w:rPr>
          <w:rFonts w:ascii="Times New Roman" w:hAnsi="Times New Roman" w:cs="Times New Roman"/>
          <w:sz w:val="21"/>
          <w:szCs w:val="21"/>
        </w:rPr>
        <w:t>).</w:t>
      </w:r>
    </w:p>
    <w:p w14:paraId="52E39119" w14:textId="1814C538"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That result from the use of services, hardware, or software not provided by us, including, but not limited to, issues resulting from inadequate bandwidth or related to third-party software or </w:t>
      </w:r>
      <w:r w:rsidR="00B8294E" w:rsidRPr="00F62E3F">
        <w:rPr>
          <w:rFonts w:ascii="Times New Roman" w:hAnsi="Times New Roman" w:cs="Times New Roman"/>
          <w:sz w:val="21"/>
          <w:szCs w:val="21"/>
        </w:rPr>
        <w:t>services.</w:t>
      </w:r>
    </w:p>
    <w:p w14:paraId="7F4250B5" w14:textId="471984CA"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Caused by Customer’s use of </w:t>
      </w:r>
      <w:r w:rsidR="00A67A9F">
        <w:rPr>
          <w:rFonts w:ascii="Times New Roman" w:hAnsi="Times New Roman" w:cs="Times New Roman"/>
          <w:sz w:val="21"/>
          <w:szCs w:val="21"/>
        </w:rPr>
        <w:t>the</w:t>
      </w:r>
      <w:r w:rsidRPr="00F62E3F">
        <w:rPr>
          <w:rFonts w:ascii="Times New Roman" w:hAnsi="Times New Roman" w:cs="Times New Roman"/>
          <w:sz w:val="21"/>
          <w:szCs w:val="21"/>
        </w:rPr>
        <w:t xml:space="preserve"> </w:t>
      </w:r>
      <w:r w:rsidR="00A67A9F">
        <w:rPr>
          <w:rFonts w:ascii="Times New Roman" w:hAnsi="Times New Roman" w:cs="Times New Roman"/>
          <w:sz w:val="21"/>
          <w:szCs w:val="21"/>
        </w:rPr>
        <w:t>Platform Services</w:t>
      </w:r>
      <w:r w:rsidRPr="00F62E3F">
        <w:rPr>
          <w:rFonts w:ascii="Times New Roman" w:hAnsi="Times New Roman" w:cs="Times New Roman"/>
          <w:sz w:val="21"/>
          <w:szCs w:val="21"/>
        </w:rPr>
        <w:t xml:space="preserve"> after Tavant advised Customer to modify Customer’s use of the </w:t>
      </w:r>
      <w:r w:rsidR="00A67A9F">
        <w:rPr>
          <w:rFonts w:ascii="Times New Roman" w:hAnsi="Times New Roman" w:cs="Times New Roman"/>
          <w:sz w:val="21"/>
          <w:szCs w:val="21"/>
        </w:rPr>
        <w:t>Platform Services</w:t>
      </w:r>
      <w:r w:rsidRPr="00F62E3F">
        <w:rPr>
          <w:rFonts w:ascii="Times New Roman" w:hAnsi="Times New Roman" w:cs="Times New Roman"/>
          <w:sz w:val="21"/>
          <w:szCs w:val="21"/>
        </w:rPr>
        <w:t xml:space="preserve">, if Customer did not modify Customer’s use as </w:t>
      </w:r>
      <w:r w:rsidR="00B8294E" w:rsidRPr="00F62E3F">
        <w:rPr>
          <w:rFonts w:ascii="Times New Roman" w:hAnsi="Times New Roman" w:cs="Times New Roman"/>
          <w:sz w:val="21"/>
          <w:szCs w:val="21"/>
        </w:rPr>
        <w:t>advised.</w:t>
      </w:r>
    </w:p>
    <w:p w14:paraId="2E1F2DC9" w14:textId="0512CC2D"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During or with respect to preview, pre-release, beta or trial versions of </w:t>
      </w:r>
      <w:r w:rsidR="00A67A9F">
        <w:rPr>
          <w:rFonts w:ascii="Times New Roman" w:hAnsi="Times New Roman" w:cs="Times New Roman"/>
          <w:sz w:val="21"/>
          <w:szCs w:val="21"/>
        </w:rPr>
        <w:t>the Platform Services</w:t>
      </w:r>
      <w:r w:rsidRPr="00F62E3F">
        <w:rPr>
          <w:rFonts w:ascii="Times New Roman" w:hAnsi="Times New Roman" w:cs="Times New Roman"/>
          <w:sz w:val="21"/>
          <w:szCs w:val="21"/>
        </w:rPr>
        <w:t xml:space="preserve">, feature or software (as determined by us) or to purchases made using Microsoft subscription </w:t>
      </w:r>
      <w:r w:rsidR="00B8294E" w:rsidRPr="00F62E3F">
        <w:rPr>
          <w:rFonts w:ascii="Times New Roman" w:hAnsi="Times New Roman" w:cs="Times New Roman"/>
          <w:sz w:val="21"/>
          <w:szCs w:val="21"/>
        </w:rPr>
        <w:t>credits.</w:t>
      </w:r>
    </w:p>
    <w:p w14:paraId="7D2C3F93" w14:textId="3D2F9910"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That result from Customer’s unauthorized action or lack of action when required, or from Customer’s employees, agents, contractors, or vendors, or anyone gaining access to our network by means of Customer’s passwords or equipment, or otherwise resulting from Customer’s failure to follow appropriate security </w:t>
      </w:r>
      <w:r w:rsidR="00B8294E" w:rsidRPr="00F62E3F">
        <w:rPr>
          <w:rFonts w:ascii="Times New Roman" w:hAnsi="Times New Roman" w:cs="Times New Roman"/>
          <w:sz w:val="21"/>
          <w:szCs w:val="21"/>
        </w:rPr>
        <w:t>practices.</w:t>
      </w:r>
    </w:p>
    <w:p w14:paraId="258FD627" w14:textId="6687D722"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That result from Customer’s failure to adhere to any required configurations, use supported platforms, follow any policies for acceptable use, or Customer’s use of the </w:t>
      </w:r>
      <w:r w:rsidR="00A67A9F">
        <w:rPr>
          <w:rFonts w:ascii="Times New Roman" w:hAnsi="Times New Roman" w:cs="Times New Roman"/>
          <w:sz w:val="21"/>
          <w:szCs w:val="21"/>
        </w:rPr>
        <w:t>Platform Services</w:t>
      </w:r>
      <w:r w:rsidR="00A67A9F" w:rsidRPr="00F62E3F" w:rsidDel="00A67A9F">
        <w:rPr>
          <w:rFonts w:ascii="Times New Roman" w:hAnsi="Times New Roman" w:cs="Times New Roman"/>
          <w:sz w:val="21"/>
          <w:szCs w:val="21"/>
        </w:rPr>
        <w:t xml:space="preserve"> </w:t>
      </w:r>
      <w:r w:rsidRPr="00F62E3F">
        <w:rPr>
          <w:rFonts w:ascii="Times New Roman" w:hAnsi="Times New Roman" w:cs="Times New Roman"/>
          <w:sz w:val="21"/>
          <w:szCs w:val="21"/>
        </w:rPr>
        <w:t xml:space="preserve">in a manner inconsistent with the features and functionality of the </w:t>
      </w:r>
      <w:r w:rsidR="00A67A9F">
        <w:rPr>
          <w:rFonts w:ascii="Times New Roman" w:hAnsi="Times New Roman" w:cs="Times New Roman"/>
          <w:sz w:val="21"/>
          <w:szCs w:val="21"/>
        </w:rPr>
        <w:t>Platform Services</w:t>
      </w:r>
      <w:r w:rsidRPr="00F62E3F">
        <w:rPr>
          <w:rFonts w:ascii="Times New Roman" w:hAnsi="Times New Roman" w:cs="Times New Roman"/>
          <w:sz w:val="21"/>
          <w:szCs w:val="21"/>
        </w:rPr>
        <w:t xml:space="preserve"> (for example, attempts to perform operations that are not supported) or inconsistent with our published </w:t>
      </w:r>
      <w:r w:rsidR="00B8294E" w:rsidRPr="00F62E3F">
        <w:rPr>
          <w:rFonts w:ascii="Times New Roman" w:hAnsi="Times New Roman" w:cs="Times New Roman"/>
          <w:sz w:val="21"/>
          <w:szCs w:val="21"/>
        </w:rPr>
        <w:t>guidance.</w:t>
      </w:r>
    </w:p>
    <w:p w14:paraId="1A175170" w14:textId="04552E50"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That result from faulty input, instructions, or arguments (for example, requests with invalid parameters</w:t>
      </w:r>
      <w:r w:rsidR="00B8294E" w:rsidRPr="00F62E3F">
        <w:rPr>
          <w:rFonts w:ascii="Times New Roman" w:hAnsi="Times New Roman" w:cs="Times New Roman"/>
          <w:sz w:val="21"/>
          <w:szCs w:val="21"/>
        </w:rPr>
        <w:t>).</w:t>
      </w:r>
    </w:p>
    <w:p w14:paraId="0B9C032B" w14:textId="52DE694F"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That result from Customer’s attempts to perform operations that exceed prescribed quotas or that resulted from our throttling of suspected abusive </w:t>
      </w:r>
      <w:r w:rsidR="00B8294E" w:rsidRPr="00F62E3F">
        <w:rPr>
          <w:rFonts w:ascii="Times New Roman" w:hAnsi="Times New Roman" w:cs="Times New Roman"/>
          <w:sz w:val="21"/>
          <w:szCs w:val="21"/>
        </w:rPr>
        <w:t>behavior.</w:t>
      </w:r>
    </w:p>
    <w:p w14:paraId="7B32350D" w14:textId="397AE905" w:rsidR="00690AD6" w:rsidRPr="00F62E3F" w:rsidRDefault="00690AD6" w:rsidP="001901A9">
      <w:pPr>
        <w:pStyle w:val="ProductList-Body"/>
        <w:numPr>
          <w:ilvl w:val="0"/>
          <w:numId w:val="5"/>
        </w:numPr>
        <w:shd w:val="clear" w:color="auto" w:fill="FFFFFF" w:themeFill="background1"/>
        <w:tabs>
          <w:tab w:val="clear" w:pos="360"/>
          <w:tab w:val="clear" w:pos="720"/>
          <w:tab w:val="clear" w:pos="1080"/>
        </w:tabs>
        <w:ind w:left="1080"/>
        <w:jc w:val="both"/>
        <w:rPr>
          <w:rFonts w:ascii="Times New Roman" w:hAnsi="Times New Roman" w:cs="Times New Roman"/>
          <w:sz w:val="21"/>
          <w:szCs w:val="21"/>
        </w:rPr>
      </w:pPr>
      <w:r w:rsidRPr="00F62E3F">
        <w:rPr>
          <w:rFonts w:ascii="Times New Roman" w:hAnsi="Times New Roman" w:cs="Times New Roman"/>
          <w:sz w:val="21"/>
          <w:szCs w:val="21"/>
        </w:rPr>
        <w:t xml:space="preserve">Due to Customer’s use of </w:t>
      </w:r>
      <w:r w:rsidR="00A67A9F">
        <w:rPr>
          <w:rFonts w:ascii="Times New Roman" w:hAnsi="Times New Roman" w:cs="Times New Roman"/>
          <w:sz w:val="21"/>
          <w:szCs w:val="21"/>
        </w:rPr>
        <w:t>Platform Services</w:t>
      </w:r>
      <w:r w:rsidRPr="00F62E3F">
        <w:rPr>
          <w:rFonts w:ascii="Times New Roman" w:hAnsi="Times New Roman" w:cs="Times New Roman"/>
          <w:sz w:val="21"/>
          <w:szCs w:val="21"/>
        </w:rPr>
        <w:t xml:space="preserve"> features that are outside o</w:t>
      </w:r>
      <w:r w:rsidR="00765549" w:rsidRPr="00F62E3F">
        <w:rPr>
          <w:rFonts w:ascii="Times New Roman" w:hAnsi="Times New Roman" w:cs="Times New Roman"/>
          <w:sz w:val="21"/>
          <w:szCs w:val="21"/>
        </w:rPr>
        <w:t>f associated Support Windows</w:t>
      </w:r>
    </w:p>
    <w:p w14:paraId="502A28E9" w14:textId="77777777" w:rsidR="00690AD6" w:rsidRPr="00F62E3F" w:rsidRDefault="00690AD6" w:rsidP="000B31A7">
      <w:pPr>
        <w:pStyle w:val="ProductList-Body"/>
        <w:shd w:val="clear" w:color="auto" w:fill="FFFFFF" w:themeFill="background1"/>
        <w:jc w:val="both"/>
        <w:rPr>
          <w:rFonts w:ascii="Times New Roman" w:hAnsi="Times New Roman" w:cs="Times New Roman"/>
          <w:sz w:val="21"/>
          <w:szCs w:val="21"/>
        </w:rPr>
      </w:pPr>
      <w:bookmarkStart w:id="10" w:name="_Toc480790675"/>
    </w:p>
    <w:p w14:paraId="7C704FC7" w14:textId="77777777" w:rsidR="00690AD6" w:rsidRPr="00F62E3F" w:rsidRDefault="00690AD6" w:rsidP="000B31A7">
      <w:pPr>
        <w:pStyle w:val="Heading2"/>
        <w:keepNext/>
        <w:shd w:val="clear" w:color="auto" w:fill="FFFFFF" w:themeFill="background1"/>
        <w:tabs>
          <w:tab w:val="clear" w:pos="1620"/>
          <w:tab w:val="left" w:pos="0"/>
          <w:tab w:val="left" w:pos="144"/>
          <w:tab w:val="left" w:pos="432"/>
        </w:tabs>
        <w:overflowPunct/>
        <w:autoSpaceDE/>
        <w:autoSpaceDN/>
        <w:adjustRightInd/>
        <w:spacing w:before="240" w:after="60"/>
        <w:ind w:left="576" w:hanging="576"/>
        <w:jc w:val="both"/>
        <w:textAlignment w:val="auto"/>
        <w:rPr>
          <w:sz w:val="21"/>
          <w:szCs w:val="21"/>
          <w:u w:val="single"/>
        </w:rPr>
      </w:pPr>
      <w:r w:rsidRPr="00F62E3F">
        <w:rPr>
          <w:sz w:val="21"/>
          <w:szCs w:val="21"/>
          <w:u w:val="single"/>
        </w:rPr>
        <w:t>Uptime Service Level</w:t>
      </w:r>
    </w:p>
    <w:p w14:paraId="7BB17D06" w14:textId="77777777" w:rsidR="00690AD6" w:rsidRPr="00F62E3F" w:rsidRDefault="00690AD6" w:rsidP="000B31A7">
      <w:pPr>
        <w:pStyle w:val="ProductList-Body"/>
        <w:shd w:val="clear" w:color="auto" w:fill="FFFFFF" w:themeFill="background1"/>
        <w:ind w:left="450"/>
        <w:jc w:val="both"/>
        <w:rPr>
          <w:rFonts w:ascii="Times New Roman" w:hAnsi="Times New Roman" w:cs="Times New Roman"/>
          <w:sz w:val="21"/>
          <w:szCs w:val="21"/>
        </w:rPr>
      </w:pPr>
      <w:r w:rsidRPr="00F62E3F">
        <w:rPr>
          <w:rFonts w:ascii="Times New Roman" w:hAnsi="Times New Roman" w:cs="Times New Roman"/>
          <w:sz w:val="21"/>
          <w:szCs w:val="21"/>
        </w:rPr>
        <w:t>99.9% network and server uptime, this uptime percentage is a monthly figure, and is calculated by our monitoring systems, Exceptions to these could be</w:t>
      </w:r>
    </w:p>
    <w:p w14:paraId="63165992" w14:textId="77777777" w:rsidR="00690AD6" w:rsidRPr="00F62E3F" w:rsidRDefault="00690AD6" w:rsidP="001901A9">
      <w:pPr>
        <w:pStyle w:val="ProductList-Body"/>
        <w:numPr>
          <w:ilvl w:val="0"/>
          <w:numId w:val="10"/>
        </w:numPr>
        <w:shd w:val="clear" w:color="auto" w:fill="FFFFFF" w:themeFill="background1"/>
        <w:ind w:left="810"/>
        <w:jc w:val="both"/>
        <w:rPr>
          <w:rFonts w:ascii="Times New Roman" w:hAnsi="Times New Roman" w:cs="Times New Roman"/>
          <w:sz w:val="21"/>
          <w:szCs w:val="21"/>
        </w:rPr>
      </w:pPr>
      <w:r w:rsidRPr="00F62E3F">
        <w:rPr>
          <w:rFonts w:ascii="Times New Roman" w:hAnsi="Times New Roman" w:cs="Times New Roman"/>
          <w:sz w:val="21"/>
          <w:szCs w:val="21"/>
        </w:rPr>
        <w:t>Internet outage, DNS issues not within our direct control</w:t>
      </w:r>
    </w:p>
    <w:p w14:paraId="6B7722C2" w14:textId="3B4A3F2E" w:rsidR="00690AD6" w:rsidRPr="00F62E3F" w:rsidRDefault="00690AD6" w:rsidP="001901A9">
      <w:pPr>
        <w:pStyle w:val="ProductList-Body"/>
        <w:numPr>
          <w:ilvl w:val="0"/>
          <w:numId w:val="10"/>
        </w:numPr>
        <w:shd w:val="clear" w:color="auto" w:fill="FFFFFF" w:themeFill="background1"/>
        <w:ind w:left="810"/>
        <w:jc w:val="both"/>
        <w:rPr>
          <w:rFonts w:ascii="Times New Roman" w:hAnsi="Times New Roman" w:cs="Times New Roman"/>
          <w:sz w:val="21"/>
          <w:szCs w:val="21"/>
        </w:rPr>
      </w:pPr>
      <w:r w:rsidRPr="00F62E3F">
        <w:rPr>
          <w:rFonts w:ascii="Times New Roman" w:hAnsi="Times New Roman" w:cs="Times New Roman"/>
          <w:sz w:val="21"/>
          <w:szCs w:val="21"/>
        </w:rPr>
        <w:t xml:space="preserve">Scheduled </w:t>
      </w:r>
      <w:r w:rsidR="00A67A9F">
        <w:rPr>
          <w:rFonts w:ascii="Times New Roman" w:hAnsi="Times New Roman" w:cs="Times New Roman"/>
          <w:sz w:val="21"/>
          <w:szCs w:val="21"/>
        </w:rPr>
        <w:t>D</w:t>
      </w:r>
      <w:r w:rsidRPr="00F62E3F">
        <w:rPr>
          <w:rFonts w:ascii="Times New Roman" w:hAnsi="Times New Roman" w:cs="Times New Roman"/>
          <w:sz w:val="21"/>
          <w:szCs w:val="21"/>
        </w:rPr>
        <w:t>owntimes and planned outages</w:t>
      </w:r>
    </w:p>
    <w:p w14:paraId="547D5BD2" w14:textId="77777777" w:rsidR="00690AD6" w:rsidRPr="00F62E3F" w:rsidRDefault="00690AD6"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r w:rsidRPr="00F62E3F">
        <w:rPr>
          <w:sz w:val="21"/>
          <w:szCs w:val="21"/>
          <w:u w:val="single"/>
        </w:rPr>
        <w:t>Service Availability</w:t>
      </w:r>
      <w:bookmarkEnd w:id="10"/>
    </w:p>
    <w:p w14:paraId="68385E21" w14:textId="4EB8AF75" w:rsidR="00690AD6" w:rsidRPr="00F62E3F" w:rsidRDefault="00A67A9F" w:rsidP="000B31A7">
      <w:pPr>
        <w:shd w:val="clear" w:color="auto" w:fill="FFFFFF" w:themeFill="background1"/>
        <w:ind w:left="450"/>
        <w:jc w:val="both"/>
        <w:rPr>
          <w:b/>
          <w:sz w:val="21"/>
          <w:szCs w:val="21"/>
        </w:rPr>
      </w:pPr>
      <w:r>
        <w:rPr>
          <w:sz w:val="21"/>
          <w:szCs w:val="21"/>
        </w:rPr>
        <w:t>Platform Services</w:t>
      </w:r>
      <w:r w:rsidR="00690AD6" w:rsidRPr="00F62E3F">
        <w:rPr>
          <w:sz w:val="21"/>
          <w:szCs w:val="21"/>
        </w:rPr>
        <w:t xml:space="preserve"> Availability commitment for a given calendar month is </w:t>
      </w:r>
      <w:r w:rsidR="00690AD6" w:rsidRPr="00F62E3F">
        <w:rPr>
          <w:b/>
          <w:sz w:val="21"/>
          <w:szCs w:val="21"/>
        </w:rPr>
        <w:t xml:space="preserve">99.9%. </w:t>
      </w:r>
    </w:p>
    <w:p w14:paraId="558005D5" w14:textId="42A2F15E" w:rsidR="00690AD6" w:rsidRPr="00F62E3F" w:rsidRDefault="00690AD6"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11" w:name="_Toc480790676"/>
      <w:r w:rsidRPr="00F62E3F">
        <w:rPr>
          <w:sz w:val="21"/>
          <w:szCs w:val="21"/>
          <w:u w:val="single"/>
        </w:rPr>
        <w:t>Scheduled Maintenance Window</w:t>
      </w:r>
      <w:bookmarkEnd w:id="11"/>
    </w:p>
    <w:p w14:paraId="2B6CA129" w14:textId="73434D56" w:rsidR="00690AD6" w:rsidRPr="00F62E3F" w:rsidRDefault="00690AD6" w:rsidP="000B31A7">
      <w:pPr>
        <w:shd w:val="clear" w:color="auto" w:fill="FFFFFF" w:themeFill="background1"/>
        <w:spacing w:after="160" w:line="259" w:lineRule="auto"/>
        <w:ind w:left="450"/>
        <w:contextualSpacing/>
        <w:jc w:val="both"/>
        <w:rPr>
          <w:sz w:val="21"/>
          <w:szCs w:val="21"/>
        </w:rPr>
      </w:pPr>
      <w:r w:rsidRPr="00F62E3F">
        <w:rPr>
          <w:sz w:val="21"/>
          <w:szCs w:val="21"/>
        </w:rPr>
        <w:t xml:space="preserve">The Scheduled Maintenance Window is between the hours of 10:00 p.m. and 2:00 a.m. Pacific Time on a Saturday. In the event Tavant expects the Scheduled Maintenance Window activity to result in the </w:t>
      </w:r>
      <w:r w:rsidR="00A67A9F">
        <w:rPr>
          <w:sz w:val="21"/>
          <w:szCs w:val="21"/>
        </w:rPr>
        <w:t>Platform Services</w:t>
      </w:r>
      <w:r w:rsidRPr="00F62E3F">
        <w:rPr>
          <w:sz w:val="21"/>
          <w:szCs w:val="21"/>
        </w:rPr>
        <w:t xml:space="preserve"> being unavailable to Customer, Tavant will provide Customer with a minimum of five (5) business days advance notification. </w:t>
      </w:r>
    </w:p>
    <w:p w14:paraId="016F6123" w14:textId="77777777" w:rsidR="00690AD6" w:rsidRPr="00F62E3F" w:rsidRDefault="00690AD6"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12" w:name="_Toc480790677"/>
      <w:r w:rsidRPr="00F62E3F">
        <w:rPr>
          <w:sz w:val="21"/>
          <w:szCs w:val="21"/>
          <w:u w:val="single"/>
        </w:rPr>
        <w:t xml:space="preserve">Emergency </w:t>
      </w:r>
      <w:bookmarkEnd w:id="12"/>
      <w:r w:rsidRPr="00F62E3F">
        <w:rPr>
          <w:sz w:val="21"/>
          <w:szCs w:val="21"/>
          <w:u w:val="single"/>
        </w:rPr>
        <w:t>Maintenance</w:t>
      </w:r>
    </w:p>
    <w:p w14:paraId="28EE3AE2" w14:textId="069CB644" w:rsidR="00690AD6" w:rsidRPr="00F62E3F" w:rsidRDefault="00690AD6" w:rsidP="000B31A7">
      <w:pPr>
        <w:shd w:val="clear" w:color="auto" w:fill="FFFFFF" w:themeFill="background1"/>
        <w:ind w:left="450"/>
        <w:jc w:val="both"/>
        <w:rPr>
          <w:sz w:val="21"/>
          <w:szCs w:val="21"/>
        </w:rPr>
      </w:pPr>
      <w:r w:rsidRPr="00F62E3F">
        <w:rPr>
          <w:sz w:val="21"/>
          <w:szCs w:val="21"/>
        </w:rPr>
        <w:t xml:space="preserve">If Emergency Maintenance is required, Tavant will promptly contact Customer and provide the expected </w:t>
      </w:r>
      <w:r w:rsidRPr="00F62E3F">
        <w:rPr>
          <w:sz w:val="21"/>
          <w:szCs w:val="21"/>
        </w:rPr>
        <w:lastRenderedPageBreak/>
        <w:t xml:space="preserve">start time and the expected duration of the Emergency Maintenance, and if Tavant expects the </w:t>
      </w:r>
      <w:r w:rsidR="00A67A9F">
        <w:rPr>
          <w:sz w:val="21"/>
          <w:szCs w:val="21"/>
        </w:rPr>
        <w:t>Platform Services</w:t>
      </w:r>
      <w:r w:rsidRPr="00F62E3F">
        <w:rPr>
          <w:sz w:val="21"/>
          <w:szCs w:val="21"/>
        </w:rPr>
        <w:t xml:space="preserve"> to be completely unavailable during the Emergency Maintenance.</w:t>
      </w:r>
    </w:p>
    <w:p w14:paraId="5655A84C" w14:textId="45090972" w:rsidR="00690AD6" w:rsidRPr="00F62E3F" w:rsidRDefault="00FF266B"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13" w:name="_Toc480790678"/>
      <w:r w:rsidRPr="00FF266B">
        <w:rPr>
          <w:sz w:val="21"/>
          <w:szCs w:val="21"/>
          <w:u w:val="single"/>
        </w:rPr>
        <w:t>Touchless LendingTM Platform Services</w:t>
      </w:r>
      <w:r w:rsidR="00690AD6" w:rsidRPr="00F62E3F">
        <w:rPr>
          <w:sz w:val="21"/>
          <w:szCs w:val="21"/>
          <w:u w:val="single"/>
        </w:rPr>
        <w:t xml:space="preserve"> Update Process and Notifications</w:t>
      </w:r>
      <w:bookmarkEnd w:id="13"/>
    </w:p>
    <w:p w14:paraId="2F2659CB" w14:textId="0BAA2D52" w:rsidR="00690AD6" w:rsidRPr="00F62E3F" w:rsidRDefault="00690AD6" w:rsidP="000B31A7">
      <w:pPr>
        <w:shd w:val="clear" w:color="auto" w:fill="FFFFFF" w:themeFill="background1"/>
        <w:ind w:left="450"/>
        <w:jc w:val="both"/>
        <w:rPr>
          <w:sz w:val="21"/>
          <w:szCs w:val="21"/>
        </w:rPr>
      </w:pPr>
      <w:r w:rsidRPr="00F62E3F">
        <w:rPr>
          <w:sz w:val="21"/>
          <w:szCs w:val="21"/>
        </w:rPr>
        <w:t xml:space="preserve">Periodically, Tavant introduces new features and functionality in a new version of the </w:t>
      </w:r>
      <w:r w:rsidR="00FF266B" w:rsidRPr="00FF266B">
        <w:rPr>
          <w:sz w:val="21"/>
          <w:szCs w:val="21"/>
        </w:rPr>
        <w:t>Touchless LendingTM Platform Services</w:t>
      </w:r>
      <w:r w:rsidRPr="00F62E3F">
        <w:rPr>
          <w:sz w:val="21"/>
          <w:szCs w:val="21"/>
        </w:rPr>
        <w:t xml:space="preserve"> with enhanced functionality across all or substantially all, </w:t>
      </w:r>
      <w:r w:rsidR="00F409A8" w:rsidRPr="00F62E3F">
        <w:rPr>
          <w:sz w:val="21"/>
          <w:szCs w:val="21"/>
        </w:rPr>
        <w:t>Touchless Lending</w:t>
      </w:r>
      <w:r w:rsidRPr="00F62E3F">
        <w:rPr>
          <w:sz w:val="21"/>
          <w:szCs w:val="21"/>
        </w:rPr>
        <w:t xml:space="preserve"> modules</w:t>
      </w:r>
      <w:r w:rsidR="00FF266B">
        <w:rPr>
          <w:sz w:val="21"/>
          <w:szCs w:val="21"/>
        </w:rPr>
        <w:t xml:space="preserve"> or components</w:t>
      </w:r>
      <w:r w:rsidRPr="00F62E3F">
        <w:rPr>
          <w:sz w:val="21"/>
          <w:szCs w:val="21"/>
        </w:rPr>
        <w:t xml:space="preserve"> ("Update"). Prior to an Update, </w:t>
      </w:r>
      <w:r w:rsidR="00FF266B">
        <w:rPr>
          <w:sz w:val="21"/>
          <w:szCs w:val="21"/>
        </w:rPr>
        <w:t>p</w:t>
      </w:r>
      <w:r w:rsidRPr="00F62E3F">
        <w:rPr>
          <w:sz w:val="21"/>
          <w:szCs w:val="21"/>
        </w:rPr>
        <w:t xml:space="preserve">roduction customers will be provided with an Update sandbox for testing. Updates will take approximately twenty-four (24) hours to complete which will require the Service to be taken down for some or all of that time. Updates will be performed during a weekend following any Scheduled Maintenance. Customers shall provide a named Update Contact, to schedule and manage Customer through its Update process. </w:t>
      </w:r>
    </w:p>
    <w:p w14:paraId="6D4F8B5F" w14:textId="77777777" w:rsidR="009F4529" w:rsidRPr="00F62E3F" w:rsidRDefault="009F4529" w:rsidP="000B31A7">
      <w:pPr>
        <w:shd w:val="clear" w:color="auto" w:fill="FFFFFF" w:themeFill="background1"/>
        <w:ind w:left="450"/>
        <w:jc w:val="both"/>
        <w:rPr>
          <w:sz w:val="21"/>
          <w:szCs w:val="21"/>
        </w:rPr>
      </w:pPr>
    </w:p>
    <w:p w14:paraId="1FA2B86B" w14:textId="1A994988" w:rsidR="00690AD6" w:rsidRPr="00F62E3F" w:rsidRDefault="00FF266B" w:rsidP="000B31A7">
      <w:pPr>
        <w:shd w:val="clear" w:color="auto" w:fill="FFFFFF" w:themeFill="background1"/>
        <w:ind w:left="450"/>
        <w:jc w:val="both"/>
        <w:rPr>
          <w:sz w:val="21"/>
          <w:szCs w:val="21"/>
        </w:rPr>
      </w:pPr>
      <w:r w:rsidRPr="00FF266B">
        <w:rPr>
          <w:sz w:val="21"/>
          <w:szCs w:val="21"/>
        </w:rPr>
        <w:t xml:space="preserve">Touchless LendingTM Platform </w:t>
      </w:r>
      <w:proofErr w:type="gramStart"/>
      <w:r w:rsidRPr="00FF266B">
        <w:rPr>
          <w:sz w:val="21"/>
          <w:szCs w:val="21"/>
        </w:rPr>
        <w:t>Services</w:t>
      </w:r>
      <w:r w:rsidRPr="00FF266B" w:rsidDel="00FF266B">
        <w:rPr>
          <w:sz w:val="21"/>
          <w:szCs w:val="21"/>
        </w:rPr>
        <w:t xml:space="preserve"> </w:t>
      </w:r>
      <w:r w:rsidR="00690AD6" w:rsidRPr="00F62E3F">
        <w:rPr>
          <w:sz w:val="21"/>
          <w:szCs w:val="21"/>
        </w:rPr>
        <w:t xml:space="preserve"> currently</w:t>
      </w:r>
      <w:proofErr w:type="gramEnd"/>
      <w:r w:rsidR="00690AD6" w:rsidRPr="00F62E3F">
        <w:rPr>
          <w:sz w:val="21"/>
          <w:szCs w:val="21"/>
        </w:rPr>
        <w:t xml:space="preserve"> Updates the Service 12 times per year but the number of Updates may be increased or decreased by Tavant. Tavant shall provide notification of and information about Updates beginning at least thirty (30) days prior to providing new Updates in Customer's Update sandbox environment.</w:t>
      </w:r>
    </w:p>
    <w:p w14:paraId="4089B2EB" w14:textId="77777777" w:rsidR="00690AD6" w:rsidRPr="00F62E3F" w:rsidRDefault="00690AD6"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14" w:name="_Toc480790681"/>
      <w:r w:rsidRPr="00F62E3F">
        <w:rPr>
          <w:sz w:val="21"/>
          <w:szCs w:val="21"/>
          <w:u w:val="single"/>
        </w:rPr>
        <w:t>Severity Level Determination</w:t>
      </w:r>
      <w:bookmarkEnd w:id="14"/>
    </w:p>
    <w:p w14:paraId="7DA1B73C" w14:textId="07BA6823" w:rsidR="00690AD6" w:rsidRPr="00F62E3F" w:rsidRDefault="00690AD6" w:rsidP="000B31A7">
      <w:pPr>
        <w:shd w:val="clear" w:color="auto" w:fill="FFFFFF" w:themeFill="background1"/>
        <w:ind w:left="450"/>
        <w:jc w:val="both"/>
        <w:rPr>
          <w:sz w:val="21"/>
          <w:szCs w:val="21"/>
        </w:rPr>
      </w:pPr>
      <w:r w:rsidRPr="00F62E3F">
        <w:rPr>
          <w:sz w:val="21"/>
          <w:szCs w:val="21"/>
        </w:rPr>
        <w:t xml:space="preserve">Customer shall reasonably self-diagnose each support issue and recommend to Tavant an appropriate Severity Level designation. Tavant shall validate Customer's Severity Level </w:t>
      </w:r>
      <w:r w:rsidR="00B8294E" w:rsidRPr="00F62E3F">
        <w:rPr>
          <w:sz w:val="21"/>
          <w:szCs w:val="21"/>
        </w:rPr>
        <w:t>designation or</w:t>
      </w:r>
      <w:r w:rsidRPr="00F62E3F">
        <w:rPr>
          <w:sz w:val="21"/>
          <w:szCs w:val="21"/>
        </w:rPr>
        <w:t xml:space="preserve"> notify Customer of a proposed change in the Severity Level designation to a higher or lower level with justification for the proposal. In the event of a conflict regarding the appropriate Severity Level designation, each party shall promptly escalate such conflict to its management team for resolution through consultation between the </w:t>
      </w:r>
      <w:r w:rsidR="00B8294E" w:rsidRPr="00F62E3F">
        <w:rPr>
          <w:sz w:val="21"/>
          <w:szCs w:val="21"/>
        </w:rPr>
        <w:t>party’s</w:t>
      </w:r>
      <w:r w:rsidRPr="00F62E3F">
        <w:rPr>
          <w:sz w:val="21"/>
          <w:szCs w:val="21"/>
        </w:rPr>
        <w:t xml:space="preserve"> management, during which time the parties shall continue to handle the support issue in accordance with the Tavant Severity Level designation. In the rare case a conflict requires a management discussion, both parties shall be available within one hour of the escalation.</w:t>
      </w:r>
    </w:p>
    <w:p w14:paraId="3FFF7F25" w14:textId="77777777" w:rsidR="00690AD6" w:rsidRPr="00F62E3F" w:rsidRDefault="00690AD6"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15" w:name="_Toc479193720"/>
      <w:bookmarkStart w:id="16" w:name="_Toc480790682"/>
      <w:r w:rsidRPr="00F62E3F">
        <w:rPr>
          <w:sz w:val="21"/>
          <w:szCs w:val="21"/>
          <w:u w:val="single"/>
        </w:rPr>
        <w:t>Support and Help Desk</w:t>
      </w:r>
      <w:bookmarkEnd w:id="15"/>
      <w:bookmarkEnd w:id="16"/>
    </w:p>
    <w:p w14:paraId="47BD7C24" w14:textId="77777777" w:rsidR="00690AD6" w:rsidRPr="00F62E3F" w:rsidRDefault="00690AD6" w:rsidP="000B31A7">
      <w:pPr>
        <w:pStyle w:val="Heading2"/>
        <w:keepNext/>
        <w:shd w:val="clear" w:color="auto" w:fill="FFFFFF" w:themeFill="background1"/>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17" w:name="_Toc479193721"/>
      <w:bookmarkStart w:id="18" w:name="_Toc480790683"/>
      <w:r w:rsidRPr="00F62E3F">
        <w:rPr>
          <w:sz w:val="21"/>
          <w:szCs w:val="21"/>
          <w:u w:val="single"/>
        </w:rPr>
        <w:t>Customer Support</w:t>
      </w:r>
      <w:bookmarkEnd w:id="17"/>
      <w:bookmarkEnd w:id="18"/>
    </w:p>
    <w:p w14:paraId="4B5058C7" w14:textId="43927BEE" w:rsidR="00690AD6" w:rsidRPr="00F62E3F" w:rsidRDefault="00690AD6" w:rsidP="000B31A7">
      <w:pPr>
        <w:pStyle w:val="BodyText2"/>
        <w:shd w:val="clear" w:color="auto" w:fill="FFFFFF" w:themeFill="background1"/>
        <w:ind w:left="450" w:right="720"/>
        <w:rPr>
          <w:sz w:val="21"/>
          <w:szCs w:val="21"/>
        </w:rPr>
      </w:pPr>
      <w:r w:rsidRPr="00F62E3F">
        <w:rPr>
          <w:sz w:val="21"/>
          <w:szCs w:val="21"/>
        </w:rPr>
        <w:t xml:space="preserve">Tavant shall maintain an organization and process to provide Customer support to </w:t>
      </w:r>
      <w:r w:rsidR="00FF266B">
        <w:rPr>
          <w:sz w:val="21"/>
          <w:szCs w:val="21"/>
        </w:rPr>
        <w:t>l</w:t>
      </w:r>
      <w:r w:rsidRPr="00F62E3F">
        <w:rPr>
          <w:sz w:val="21"/>
          <w:szCs w:val="21"/>
        </w:rPr>
        <w:t xml:space="preserve">icensee for the </w:t>
      </w:r>
      <w:r w:rsidR="00FF266B">
        <w:rPr>
          <w:sz w:val="21"/>
          <w:szCs w:val="21"/>
        </w:rPr>
        <w:t>Platform Services</w:t>
      </w:r>
      <w:r w:rsidRPr="00F62E3F">
        <w:rPr>
          <w:sz w:val="21"/>
          <w:szCs w:val="21"/>
        </w:rPr>
        <w:t xml:space="preserve">.  </w:t>
      </w:r>
    </w:p>
    <w:p w14:paraId="646AB31E" w14:textId="77777777" w:rsidR="00690AD6" w:rsidRPr="00F62E3F" w:rsidRDefault="00690AD6" w:rsidP="000B31A7">
      <w:pPr>
        <w:pStyle w:val="BodyText2"/>
        <w:shd w:val="clear" w:color="auto" w:fill="FFFFFF" w:themeFill="background1"/>
        <w:ind w:left="450" w:right="720"/>
        <w:rPr>
          <w:sz w:val="21"/>
          <w:szCs w:val="21"/>
        </w:rPr>
      </w:pPr>
      <w:r w:rsidRPr="00F62E3F">
        <w:rPr>
          <w:sz w:val="21"/>
          <w:szCs w:val="21"/>
        </w:rPr>
        <w:t xml:space="preserve"> </w:t>
      </w:r>
    </w:p>
    <w:p w14:paraId="6C666428" w14:textId="77777777" w:rsidR="00690AD6" w:rsidRPr="00F62E3F" w:rsidRDefault="00690AD6" w:rsidP="000B31A7">
      <w:pPr>
        <w:shd w:val="clear" w:color="auto" w:fill="FFFFFF" w:themeFill="background1"/>
        <w:ind w:left="450"/>
        <w:rPr>
          <w:sz w:val="21"/>
          <w:szCs w:val="21"/>
        </w:rPr>
      </w:pPr>
      <w:r w:rsidRPr="00F62E3F">
        <w:rPr>
          <w:sz w:val="21"/>
          <w:szCs w:val="21"/>
        </w:rPr>
        <w:t xml:space="preserve">“Customer Support” means </w:t>
      </w:r>
    </w:p>
    <w:p w14:paraId="2F1D3FB4" w14:textId="77777777" w:rsidR="00690AD6" w:rsidRPr="00F62E3F" w:rsidRDefault="00690AD6" w:rsidP="001901A9">
      <w:pPr>
        <w:pStyle w:val="ListParagraph"/>
        <w:widowControl/>
        <w:numPr>
          <w:ilvl w:val="0"/>
          <w:numId w:val="9"/>
        </w:numPr>
        <w:shd w:val="clear" w:color="auto" w:fill="FFFFFF" w:themeFill="background1"/>
        <w:overflowPunct/>
        <w:autoSpaceDE/>
        <w:autoSpaceDN/>
        <w:adjustRightInd/>
        <w:spacing w:line="280" w:lineRule="exact"/>
        <w:ind w:left="810"/>
        <w:contextualSpacing w:val="0"/>
        <w:jc w:val="both"/>
        <w:textAlignment w:val="auto"/>
        <w:rPr>
          <w:sz w:val="21"/>
          <w:szCs w:val="21"/>
        </w:rPr>
      </w:pPr>
      <w:r w:rsidRPr="00F62E3F">
        <w:rPr>
          <w:sz w:val="21"/>
          <w:szCs w:val="21"/>
        </w:rPr>
        <w:t xml:space="preserve">telephone, and/or e-mail access to a customer support professional for consultation on use of the Software, assistance in error isolation and correction, coordination and management of requests for system and service requests </w:t>
      </w:r>
    </w:p>
    <w:p w14:paraId="1021A8E5" w14:textId="77777777" w:rsidR="00690AD6" w:rsidRPr="00F62E3F" w:rsidRDefault="00690AD6" w:rsidP="001901A9">
      <w:pPr>
        <w:pStyle w:val="ListParagraph"/>
        <w:widowControl/>
        <w:numPr>
          <w:ilvl w:val="0"/>
          <w:numId w:val="9"/>
        </w:numPr>
        <w:shd w:val="clear" w:color="auto" w:fill="FFFFFF" w:themeFill="background1"/>
        <w:overflowPunct/>
        <w:autoSpaceDE/>
        <w:autoSpaceDN/>
        <w:adjustRightInd/>
        <w:spacing w:line="280" w:lineRule="exact"/>
        <w:ind w:left="810"/>
        <w:contextualSpacing w:val="0"/>
        <w:jc w:val="both"/>
        <w:textAlignment w:val="auto"/>
        <w:rPr>
          <w:sz w:val="21"/>
          <w:szCs w:val="21"/>
        </w:rPr>
      </w:pPr>
      <w:r w:rsidRPr="00F62E3F">
        <w:rPr>
          <w:sz w:val="21"/>
          <w:szCs w:val="21"/>
        </w:rPr>
        <w:t>a monthly report via email from the ticket tracking system that will outline status on all open discrepancy requests and service requests</w:t>
      </w:r>
    </w:p>
    <w:p w14:paraId="76591E1F" w14:textId="77777777" w:rsidR="00690AD6" w:rsidRPr="00F62E3F" w:rsidRDefault="00690AD6" w:rsidP="000B31A7">
      <w:pPr>
        <w:pStyle w:val="ListParagraph"/>
        <w:shd w:val="clear" w:color="auto" w:fill="FFFFFF" w:themeFill="background1"/>
        <w:ind w:left="0"/>
        <w:rPr>
          <w:sz w:val="21"/>
          <w:szCs w:val="21"/>
        </w:rPr>
      </w:pPr>
    </w:p>
    <w:p w14:paraId="53E58FA9" w14:textId="77777777" w:rsidR="00690AD6" w:rsidRPr="00F62E3F" w:rsidRDefault="00690AD6" w:rsidP="000B31A7">
      <w:pPr>
        <w:pStyle w:val="Heading2"/>
        <w:keepNext/>
        <w:shd w:val="clear" w:color="auto" w:fill="FFFFFF" w:themeFill="background1"/>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19" w:name="_Toc479193722"/>
      <w:bookmarkStart w:id="20" w:name="_Toc480790684"/>
      <w:r w:rsidRPr="00F62E3F">
        <w:rPr>
          <w:sz w:val="21"/>
          <w:szCs w:val="21"/>
          <w:u w:val="single"/>
        </w:rPr>
        <w:t>Support contact</w:t>
      </w:r>
      <w:bookmarkEnd w:id="19"/>
      <w:bookmarkEnd w:id="20"/>
    </w:p>
    <w:p w14:paraId="28C51EBD" w14:textId="556E4623" w:rsidR="00690AD6" w:rsidRPr="00F62E3F" w:rsidRDefault="00690AD6" w:rsidP="001901A9">
      <w:pPr>
        <w:pStyle w:val="ListParagraph"/>
        <w:widowControl/>
        <w:numPr>
          <w:ilvl w:val="0"/>
          <w:numId w:val="6"/>
        </w:numPr>
        <w:shd w:val="clear" w:color="auto" w:fill="FFFFFF" w:themeFill="background1"/>
        <w:overflowPunct/>
        <w:autoSpaceDE/>
        <w:autoSpaceDN/>
        <w:adjustRightInd/>
        <w:ind w:left="810" w:hanging="270"/>
        <w:jc w:val="both"/>
        <w:textAlignment w:val="auto"/>
        <w:rPr>
          <w:sz w:val="21"/>
          <w:szCs w:val="21"/>
        </w:rPr>
      </w:pPr>
      <w:r w:rsidRPr="00F62E3F">
        <w:rPr>
          <w:rFonts w:eastAsia="MS Mincho"/>
          <w:color w:val="000000"/>
          <w:kern w:val="24"/>
          <w:sz w:val="21"/>
          <w:szCs w:val="21"/>
        </w:rPr>
        <w:t xml:space="preserve">Customers can receive Tavant’s Standard Technical Support during the business hours by calling: </w:t>
      </w:r>
      <w:r w:rsidRPr="00F62E3F">
        <w:rPr>
          <w:rFonts w:eastAsia="MS Mincho"/>
          <w:b/>
          <w:bCs/>
          <w:color w:val="000000"/>
          <w:kern w:val="24"/>
          <w:sz w:val="21"/>
          <w:szCs w:val="21"/>
        </w:rPr>
        <w:t xml:space="preserve">US toll free </w:t>
      </w:r>
      <w:r w:rsidRPr="00386A7D">
        <w:rPr>
          <w:rFonts w:eastAsia="MS Mincho"/>
          <w:b/>
          <w:bCs/>
          <w:color w:val="000000"/>
          <w:kern w:val="24"/>
          <w:sz w:val="21"/>
          <w:szCs w:val="21"/>
        </w:rPr>
        <w:t>at 1-8</w:t>
      </w:r>
      <w:r w:rsidR="00253A0B" w:rsidRPr="00386A7D">
        <w:rPr>
          <w:rFonts w:eastAsia="MS Mincho"/>
          <w:b/>
          <w:bCs/>
          <w:color w:val="000000"/>
          <w:kern w:val="24"/>
          <w:sz w:val="21"/>
          <w:szCs w:val="21"/>
        </w:rPr>
        <w:t>88-</w:t>
      </w:r>
      <w:r w:rsidR="00253A0B">
        <w:rPr>
          <w:rFonts w:eastAsia="MS Mincho"/>
          <w:b/>
          <w:bCs/>
          <w:color w:val="000000"/>
          <w:kern w:val="24"/>
          <w:sz w:val="21"/>
          <w:szCs w:val="21"/>
        </w:rPr>
        <w:t>846-6675</w:t>
      </w:r>
      <w:r w:rsidRPr="00F62E3F">
        <w:rPr>
          <w:rFonts w:eastAsia="MS Mincho"/>
          <w:color w:val="000000"/>
          <w:kern w:val="24"/>
          <w:sz w:val="21"/>
          <w:szCs w:val="21"/>
        </w:rPr>
        <w:t>.</w:t>
      </w:r>
    </w:p>
    <w:p w14:paraId="2D38F20F" w14:textId="77777777" w:rsidR="00690AD6" w:rsidRPr="00F62E3F" w:rsidRDefault="00690AD6" w:rsidP="001901A9">
      <w:pPr>
        <w:pStyle w:val="ListParagraph"/>
        <w:widowControl/>
        <w:numPr>
          <w:ilvl w:val="0"/>
          <w:numId w:val="6"/>
        </w:numPr>
        <w:shd w:val="clear" w:color="auto" w:fill="FFFFFF" w:themeFill="background1"/>
        <w:overflowPunct/>
        <w:autoSpaceDE/>
        <w:autoSpaceDN/>
        <w:adjustRightInd/>
        <w:ind w:left="810" w:hanging="270"/>
        <w:jc w:val="both"/>
        <w:textAlignment w:val="auto"/>
        <w:rPr>
          <w:sz w:val="21"/>
          <w:szCs w:val="21"/>
        </w:rPr>
      </w:pPr>
      <w:r w:rsidRPr="00F62E3F">
        <w:rPr>
          <w:rFonts w:eastAsia="MS Mincho"/>
          <w:color w:val="000000"/>
          <w:kern w:val="24"/>
          <w:sz w:val="21"/>
          <w:szCs w:val="21"/>
        </w:rPr>
        <w:t>Support Times:</w:t>
      </w:r>
    </w:p>
    <w:p w14:paraId="7CAAE22B" w14:textId="77777777" w:rsidR="00690AD6" w:rsidRPr="00F62E3F" w:rsidRDefault="00690AD6" w:rsidP="000B31A7">
      <w:pPr>
        <w:pStyle w:val="ListParagraph"/>
        <w:shd w:val="clear" w:color="auto" w:fill="FFFFFF" w:themeFill="background1"/>
        <w:ind w:left="810"/>
        <w:jc w:val="both"/>
        <w:rPr>
          <w:sz w:val="21"/>
          <w:szCs w:val="21"/>
        </w:rPr>
      </w:pPr>
      <w:r w:rsidRPr="00F62E3F">
        <w:rPr>
          <w:rFonts w:eastAsia="MS Mincho"/>
          <w:color w:val="000000"/>
          <w:kern w:val="24"/>
          <w:sz w:val="21"/>
          <w:szCs w:val="21"/>
        </w:rPr>
        <w:t>Monday through Friday, 8:00 AM Eastern Time. through 6:00 PM Pacific Time, excluding the following holidays: New Year's Day; Memorial Day; Independence Day; Labor Day; Thanksgiving D</w:t>
      </w:r>
      <w:r w:rsidR="009F4529" w:rsidRPr="00F62E3F">
        <w:rPr>
          <w:rFonts w:eastAsia="MS Mincho"/>
          <w:color w:val="000000"/>
          <w:kern w:val="24"/>
          <w:sz w:val="21"/>
          <w:szCs w:val="21"/>
        </w:rPr>
        <w:t xml:space="preserve">ay; Day after Thanksgiving; </w:t>
      </w:r>
      <w:r w:rsidRPr="00F62E3F">
        <w:rPr>
          <w:rFonts w:eastAsia="MS Mincho"/>
          <w:color w:val="000000"/>
          <w:kern w:val="24"/>
          <w:sz w:val="21"/>
          <w:szCs w:val="21"/>
        </w:rPr>
        <w:t xml:space="preserve">Christmas </w:t>
      </w:r>
      <w:r w:rsidR="009F4529" w:rsidRPr="00F62E3F">
        <w:rPr>
          <w:rFonts w:eastAsia="MS Mincho"/>
          <w:color w:val="000000"/>
          <w:kern w:val="24"/>
          <w:sz w:val="21"/>
          <w:szCs w:val="21"/>
        </w:rPr>
        <w:t>Day and Day after Christmas Day</w:t>
      </w:r>
    </w:p>
    <w:p w14:paraId="42B378B8" w14:textId="77777777" w:rsidR="00690AD6" w:rsidRPr="00F62E3F" w:rsidRDefault="00690AD6" w:rsidP="001901A9">
      <w:pPr>
        <w:pStyle w:val="ListParagraph"/>
        <w:widowControl/>
        <w:numPr>
          <w:ilvl w:val="0"/>
          <w:numId w:val="6"/>
        </w:numPr>
        <w:shd w:val="clear" w:color="auto" w:fill="FFFFFF" w:themeFill="background1"/>
        <w:overflowPunct/>
        <w:autoSpaceDE/>
        <w:autoSpaceDN/>
        <w:adjustRightInd/>
        <w:ind w:left="810" w:hanging="270"/>
        <w:jc w:val="both"/>
        <w:textAlignment w:val="auto"/>
        <w:rPr>
          <w:sz w:val="21"/>
          <w:szCs w:val="21"/>
        </w:rPr>
      </w:pPr>
      <w:r w:rsidRPr="00F62E3F">
        <w:rPr>
          <w:rFonts w:eastAsia="MS Mincho"/>
          <w:color w:val="000000"/>
          <w:kern w:val="24"/>
          <w:sz w:val="21"/>
          <w:szCs w:val="21"/>
        </w:rPr>
        <w:lastRenderedPageBreak/>
        <w:t xml:space="preserve">E-mail and Web Case Support: </w:t>
      </w:r>
    </w:p>
    <w:p w14:paraId="7A2AF04D" w14:textId="326B605C" w:rsidR="00690AD6" w:rsidRPr="00F62E3F" w:rsidRDefault="00690AD6" w:rsidP="000B31A7">
      <w:pPr>
        <w:pStyle w:val="ListParagraph"/>
        <w:shd w:val="clear" w:color="auto" w:fill="FFFFFF" w:themeFill="background1"/>
        <w:ind w:left="810"/>
        <w:jc w:val="both"/>
        <w:rPr>
          <w:sz w:val="21"/>
          <w:szCs w:val="21"/>
        </w:rPr>
      </w:pPr>
      <w:r w:rsidRPr="00F62E3F">
        <w:rPr>
          <w:rFonts w:eastAsia="MS Mincho"/>
          <w:color w:val="000000"/>
          <w:kern w:val="24"/>
          <w:sz w:val="21"/>
          <w:szCs w:val="21"/>
        </w:rPr>
        <w:t xml:space="preserve">E-mail and web case support is provided by sending an email to: </w:t>
      </w:r>
      <w:hyperlink r:id="rId8" w:history="1">
        <w:r w:rsidR="00253A0B" w:rsidRPr="00253A0B">
          <w:rPr>
            <w:rStyle w:val="Hyperlink"/>
            <w:rFonts w:ascii="Times New Roman" w:eastAsia="MS Mincho" w:hAnsi="Times New Roman"/>
            <w:kern w:val="24"/>
            <w:sz w:val="21"/>
            <w:szCs w:val="21"/>
          </w:rPr>
          <w:t>Finxsupport@tavant.com</w:t>
        </w:r>
      </w:hyperlink>
      <w:r w:rsidRPr="00253A0B">
        <w:rPr>
          <w:rStyle w:val="Hyperlink"/>
          <w:rFonts w:ascii="Times New Roman" w:eastAsia="MS Mincho" w:hAnsi="Times New Roman"/>
        </w:rPr>
        <w:t>.</w:t>
      </w:r>
      <w:r w:rsidRPr="00F62E3F">
        <w:rPr>
          <w:rFonts w:eastAsia="MS Mincho"/>
          <w:color w:val="000000"/>
          <w:kern w:val="24"/>
          <w:sz w:val="21"/>
          <w:szCs w:val="21"/>
        </w:rPr>
        <w:t xml:space="preserve"> </w:t>
      </w:r>
    </w:p>
    <w:p w14:paraId="5C51A26C" w14:textId="70D55BB3" w:rsidR="00690AD6" w:rsidRPr="00F62E3F" w:rsidRDefault="00690AD6" w:rsidP="001901A9">
      <w:pPr>
        <w:pStyle w:val="ListParagraph"/>
        <w:widowControl/>
        <w:numPr>
          <w:ilvl w:val="0"/>
          <w:numId w:val="6"/>
        </w:numPr>
        <w:shd w:val="clear" w:color="auto" w:fill="FFFFFF" w:themeFill="background1"/>
        <w:overflowPunct/>
        <w:autoSpaceDE/>
        <w:autoSpaceDN/>
        <w:adjustRightInd/>
        <w:ind w:left="810" w:hanging="270"/>
        <w:jc w:val="both"/>
        <w:textAlignment w:val="auto"/>
        <w:rPr>
          <w:sz w:val="21"/>
          <w:szCs w:val="21"/>
        </w:rPr>
      </w:pPr>
      <w:r w:rsidRPr="00F62E3F">
        <w:rPr>
          <w:rFonts w:eastAsia="MS Mincho"/>
          <w:color w:val="000000"/>
          <w:kern w:val="24"/>
          <w:sz w:val="21"/>
          <w:szCs w:val="21"/>
        </w:rPr>
        <w:t xml:space="preserve">Support ticket site: </w:t>
      </w:r>
      <w:hyperlink r:id="rId9" w:history="1">
        <w:r w:rsidR="00F409A8" w:rsidRPr="00F62E3F">
          <w:rPr>
            <w:rStyle w:val="Hyperlink"/>
            <w:rFonts w:ascii="Times New Roman" w:eastAsia="MS Mincho" w:hAnsi="Times New Roman"/>
            <w:kern w:val="24"/>
            <w:sz w:val="21"/>
            <w:szCs w:val="21"/>
          </w:rPr>
          <w:t>https://support.tavant.com</w:t>
        </w:r>
      </w:hyperlink>
    </w:p>
    <w:p w14:paraId="42D0EB2A" w14:textId="77777777" w:rsidR="00690AD6" w:rsidRPr="00F62E3F" w:rsidRDefault="00690AD6" w:rsidP="000B31A7">
      <w:pPr>
        <w:pStyle w:val="ListParagraph"/>
        <w:shd w:val="clear" w:color="auto" w:fill="FFFFFF" w:themeFill="background1"/>
        <w:ind w:left="1440"/>
        <w:jc w:val="both"/>
        <w:rPr>
          <w:rFonts w:eastAsia="MS Mincho"/>
          <w:color w:val="000000"/>
          <w:kern w:val="24"/>
          <w:sz w:val="21"/>
          <w:szCs w:val="21"/>
        </w:rPr>
      </w:pPr>
      <w:r w:rsidRPr="00F62E3F">
        <w:rPr>
          <w:rFonts w:eastAsia="MS Mincho"/>
          <w:i/>
          <w:color w:val="000000"/>
          <w:kern w:val="24"/>
          <w:sz w:val="21"/>
          <w:szCs w:val="21"/>
        </w:rPr>
        <w:t>Need Customer POC email address to create support account</w:t>
      </w:r>
    </w:p>
    <w:p w14:paraId="63DA939B" w14:textId="77777777" w:rsidR="00690AD6" w:rsidRPr="00F62E3F" w:rsidRDefault="00690AD6" w:rsidP="001901A9">
      <w:pPr>
        <w:pStyle w:val="ListParagraph"/>
        <w:widowControl/>
        <w:numPr>
          <w:ilvl w:val="0"/>
          <w:numId w:val="6"/>
        </w:numPr>
        <w:shd w:val="clear" w:color="auto" w:fill="FFFFFF" w:themeFill="background1"/>
        <w:overflowPunct/>
        <w:autoSpaceDE/>
        <w:autoSpaceDN/>
        <w:adjustRightInd/>
        <w:ind w:left="810" w:hanging="270"/>
        <w:jc w:val="both"/>
        <w:textAlignment w:val="auto"/>
        <w:rPr>
          <w:rFonts w:eastAsia="MS Mincho"/>
          <w:color w:val="000000"/>
          <w:kern w:val="24"/>
          <w:sz w:val="21"/>
          <w:szCs w:val="21"/>
        </w:rPr>
      </w:pPr>
      <w:r w:rsidRPr="00F62E3F">
        <w:rPr>
          <w:rFonts w:eastAsia="MS Mincho"/>
          <w:color w:val="000000"/>
          <w:kern w:val="24"/>
          <w:sz w:val="21"/>
          <w:szCs w:val="21"/>
        </w:rPr>
        <w:t>Emergency After Hours Support:</w:t>
      </w:r>
    </w:p>
    <w:p w14:paraId="535D89FC" w14:textId="77777777" w:rsidR="00690AD6" w:rsidRPr="00F62E3F" w:rsidRDefault="00690AD6" w:rsidP="000B31A7">
      <w:pPr>
        <w:shd w:val="clear" w:color="auto" w:fill="FFFFFF" w:themeFill="background1"/>
        <w:ind w:left="1440"/>
        <w:jc w:val="both"/>
        <w:rPr>
          <w:rFonts w:eastAsia="MS Mincho"/>
          <w:color w:val="000000"/>
          <w:kern w:val="24"/>
          <w:sz w:val="21"/>
          <w:szCs w:val="21"/>
        </w:rPr>
      </w:pPr>
      <w:r w:rsidRPr="00F62E3F">
        <w:rPr>
          <w:rFonts w:eastAsia="MS Mincho"/>
          <w:color w:val="000000"/>
          <w:kern w:val="24"/>
          <w:sz w:val="21"/>
          <w:szCs w:val="21"/>
        </w:rPr>
        <w:t xml:space="preserve"> Tavant shall supply 24/7 technical emergency phone support 365 days a year. </w:t>
      </w:r>
    </w:p>
    <w:p w14:paraId="468358DF" w14:textId="77777777" w:rsidR="0030636C" w:rsidRPr="00F62E3F" w:rsidRDefault="0030636C"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21" w:name="_Toc480790686"/>
      <w:r w:rsidRPr="00F62E3F">
        <w:rPr>
          <w:sz w:val="21"/>
          <w:szCs w:val="21"/>
          <w:u w:val="single"/>
        </w:rPr>
        <w:t>Tavant Support Scope</w:t>
      </w:r>
      <w:bookmarkEnd w:id="21"/>
    </w:p>
    <w:p w14:paraId="37F53210" w14:textId="10C442A1" w:rsidR="0030636C" w:rsidRPr="00F62E3F" w:rsidRDefault="0030636C" w:rsidP="000B31A7">
      <w:pPr>
        <w:shd w:val="clear" w:color="auto" w:fill="FFFFFF" w:themeFill="background1"/>
        <w:ind w:left="450"/>
        <w:jc w:val="both"/>
        <w:rPr>
          <w:sz w:val="21"/>
          <w:szCs w:val="21"/>
        </w:rPr>
      </w:pPr>
      <w:r w:rsidRPr="00F62E3F">
        <w:rPr>
          <w:sz w:val="21"/>
          <w:szCs w:val="21"/>
        </w:rPr>
        <w:t xml:space="preserve">Tavant will support functionality that is developed by Tavant and under its direct control. For all other functionality, and/or issues or errors in the </w:t>
      </w:r>
      <w:r w:rsidR="00FF266B" w:rsidRPr="00FF266B">
        <w:rPr>
          <w:sz w:val="21"/>
          <w:szCs w:val="21"/>
        </w:rPr>
        <w:t xml:space="preserve">Platform </w:t>
      </w:r>
      <w:proofErr w:type="gramStart"/>
      <w:r w:rsidR="00FF266B" w:rsidRPr="00FF266B">
        <w:rPr>
          <w:sz w:val="21"/>
          <w:szCs w:val="21"/>
        </w:rPr>
        <w:t>Services</w:t>
      </w:r>
      <w:r w:rsidR="00FF266B" w:rsidRPr="00FF266B" w:rsidDel="00FF266B">
        <w:rPr>
          <w:sz w:val="21"/>
          <w:szCs w:val="21"/>
        </w:rPr>
        <w:t xml:space="preserve"> </w:t>
      </w:r>
      <w:r w:rsidRPr="00F62E3F">
        <w:rPr>
          <w:sz w:val="21"/>
          <w:szCs w:val="21"/>
        </w:rPr>
        <w:t xml:space="preserve"> caused</w:t>
      </w:r>
      <w:proofErr w:type="gramEnd"/>
      <w:r w:rsidRPr="00F62E3F">
        <w:rPr>
          <w:sz w:val="21"/>
          <w:szCs w:val="21"/>
        </w:rPr>
        <w:t xml:space="preserve"> by issues, errors and/or changes in third party vendor services, Tavant may assist Customer and its </w:t>
      </w:r>
      <w:r w:rsidR="00B8294E" w:rsidRPr="00F62E3F">
        <w:rPr>
          <w:sz w:val="21"/>
          <w:szCs w:val="21"/>
        </w:rPr>
        <w:t>third-party</w:t>
      </w:r>
      <w:r w:rsidRPr="00F62E3F">
        <w:rPr>
          <w:sz w:val="21"/>
          <w:szCs w:val="21"/>
        </w:rPr>
        <w:t xml:space="preserve"> providers in diagnosing and resolving issues or </w:t>
      </w:r>
      <w:proofErr w:type="gramStart"/>
      <w:r w:rsidRPr="00F62E3F">
        <w:rPr>
          <w:sz w:val="21"/>
          <w:szCs w:val="21"/>
        </w:rPr>
        <w:t>errors</w:t>
      </w:r>
      <w:proofErr w:type="gramEnd"/>
      <w:r w:rsidRPr="00F62E3F">
        <w:rPr>
          <w:sz w:val="21"/>
          <w:szCs w:val="21"/>
        </w:rPr>
        <w:t xml:space="preserve"> but Customer acknowledges that these matters are outside of Tavant’s support obligations. Service Level failures attributable to (i) Customer’s acts or omissions; and (ii) force majeure events shall be excused.</w:t>
      </w:r>
    </w:p>
    <w:p w14:paraId="548E5B7D" w14:textId="77777777" w:rsidR="0030636C" w:rsidRPr="00F62E3F" w:rsidRDefault="0030636C" w:rsidP="000B31A7">
      <w:pPr>
        <w:pStyle w:val="Heading1"/>
        <w:keepNext/>
        <w:shd w:val="clear" w:color="auto" w:fill="FFFFFF" w:themeFill="background1"/>
        <w:tabs>
          <w:tab w:val="clear" w:pos="720"/>
        </w:tabs>
        <w:overflowPunct/>
        <w:autoSpaceDE/>
        <w:autoSpaceDN/>
        <w:adjustRightInd/>
        <w:spacing w:before="360"/>
        <w:ind w:left="432" w:hanging="432"/>
        <w:jc w:val="both"/>
        <w:textAlignment w:val="auto"/>
        <w:rPr>
          <w:sz w:val="21"/>
          <w:szCs w:val="21"/>
          <w:u w:val="single"/>
        </w:rPr>
      </w:pPr>
      <w:bookmarkStart w:id="22" w:name="_Toc480790685"/>
      <w:r w:rsidRPr="00F62E3F">
        <w:rPr>
          <w:sz w:val="21"/>
          <w:szCs w:val="21"/>
          <w:u w:val="single"/>
        </w:rPr>
        <w:t>Support Issue Production Severity Levels - Response and Escalation</w:t>
      </w:r>
      <w:bookmarkEnd w:id="22"/>
    </w:p>
    <w:p w14:paraId="7458B5C8" w14:textId="102CD23E" w:rsidR="0030636C" w:rsidRPr="00F62E3F" w:rsidRDefault="0030636C" w:rsidP="000B31A7">
      <w:pPr>
        <w:shd w:val="clear" w:color="auto" w:fill="FFFFFF" w:themeFill="background1"/>
        <w:ind w:left="450"/>
        <w:jc w:val="both"/>
        <w:rPr>
          <w:sz w:val="21"/>
          <w:szCs w:val="21"/>
        </w:rPr>
      </w:pPr>
      <w:r w:rsidRPr="00F62E3F">
        <w:rPr>
          <w:sz w:val="21"/>
          <w:szCs w:val="21"/>
        </w:rPr>
        <w:t xml:space="preserve">Response Time is the period from the time the </w:t>
      </w:r>
      <w:r w:rsidR="00FF266B">
        <w:rPr>
          <w:sz w:val="21"/>
          <w:szCs w:val="21"/>
        </w:rPr>
        <w:t>p</w:t>
      </w:r>
      <w:r w:rsidRPr="00F62E3F">
        <w:rPr>
          <w:sz w:val="21"/>
          <w:szCs w:val="21"/>
        </w:rPr>
        <w:t>roduction case was logged in the Customer Center until Tavant responds to Customer and/or escalation within Tavant, if appropriate. Response times do not mean resolution times, and because of the widely varying nature of issues, it is not possible to provide specific resolution commitments.</w:t>
      </w:r>
    </w:p>
    <w:p w14:paraId="6BD259BA" w14:textId="77777777" w:rsidR="00690AD6" w:rsidRDefault="00690AD6" w:rsidP="00BE5CFB">
      <w:pPr>
        <w:shd w:val="clear" w:color="auto" w:fill="FFFFFF" w:themeFill="background1"/>
        <w:rPr>
          <w:sz w:val="21"/>
          <w:szCs w:val="21"/>
        </w:rPr>
      </w:pPr>
    </w:p>
    <w:p w14:paraId="38CD8D8A" w14:textId="77777777" w:rsidR="00690AD6" w:rsidRPr="00F62E3F" w:rsidRDefault="00690AD6" w:rsidP="000B31A7">
      <w:pPr>
        <w:shd w:val="clear" w:color="auto" w:fill="FFFFFF" w:themeFill="background1"/>
        <w:rPr>
          <w:sz w:val="21"/>
          <w:szCs w:val="21"/>
        </w:rPr>
      </w:pPr>
    </w:p>
    <w:tbl>
      <w:tblPr>
        <w:tblW w:w="103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
        <w:gridCol w:w="1554"/>
        <w:gridCol w:w="1554"/>
        <w:gridCol w:w="1850"/>
        <w:gridCol w:w="2369"/>
        <w:gridCol w:w="2073"/>
      </w:tblGrid>
      <w:tr w:rsidR="00690AD6" w:rsidRPr="000B31A7" w14:paraId="64956F2C" w14:textId="77777777" w:rsidTr="00607BD8">
        <w:trPr>
          <w:trHeight w:val="477"/>
        </w:trPr>
        <w:tc>
          <w:tcPr>
            <w:tcW w:w="962" w:type="dxa"/>
            <w:tcBorders>
              <w:top w:val="single" w:sz="4" w:space="0" w:color="auto"/>
              <w:left w:val="single" w:sz="4" w:space="0" w:color="auto"/>
              <w:bottom w:val="single" w:sz="4" w:space="0" w:color="auto"/>
              <w:right w:val="single" w:sz="4" w:space="0" w:color="auto"/>
            </w:tcBorders>
            <w:shd w:val="clear" w:color="auto" w:fill="C0C0C0"/>
          </w:tcPr>
          <w:p w14:paraId="40BBC04C" w14:textId="77777777" w:rsidR="00690AD6" w:rsidRPr="00F62E3F" w:rsidRDefault="00690AD6" w:rsidP="000B31A7">
            <w:pPr>
              <w:pStyle w:val="BodyText"/>
              <w:shd w:val="clear" w:color="auto" w:fill="FFFFFF" w:themeFill="background1"/>
              <w:rPr>
                <w:b/>
                <w:sz w:val="21"/>
                <w:szCs w:val="21"/>
              </w:rPr>
            </w:pPr>
            <w:r w:rsidRPr="00F62E3F">
              <w:rPr>
                <w:b/>
                <w:sz w:val="21"/>
                <w:szCs w:val="21"/>
              </w:rPr>
              <w:t>Severity</w:t>
            </w:r>
          </w:p>
        </w:tc>
        <w:tc>
          <w:tcPr>
            <w:tcW w:w="1554" w:type="dxa"/>
            <w:tcBorders>
              <w:top w:val="single" w:sz="4" w:space="0" w:color="auto"/>
              <w:left w:val="single" w:sz="4" w:space="0" w:color="auto"/>
              <w:bottom w:val="single" w:sz="4" w:space="0" w:color="auto"/>
              <w:right w:val="single" w:sz="4" w:space="0" w:color="auto"/>
            </w:tcBorders>
            <w:shd w:val="clear" w:color="auto" w:fill="C0C0C0"/>
          </w:tcPr>
          <w:p w14:paraId="7DCD034A" w14:textId="77777777" w:rsidR="00690AD6" w:rsidRPr="00F62E3F" w:rsidRDefault="00690AD6" w:rsidP="000B31A7">
            <w:pPr>
              <w:pStyle w:val="BodyText"/>
              <w:shd w:val="clear" w:color="auto" w:fill="FFFFFF" w:themeFill="background1"/>
              <w:rPr>
                <w:b/>
                <w:sz w:val="21"/>
                <w:szCs w:val="21"/>
              </w:rPr>
            </w:pPr>
            <w:r w:rsidRPr="00F62E3F">
              <w:rPr>
                <w:b/>
                <w:sz w:val="21"/>
                <w:szCs w:val="21"/>
              </w:rPr>
              <w:t>Description</w:t>
            </w:r>
          </w:p>
        </w:tc>
        <w:tc>
          <w:tcPr>
            <w:tcW w:w="1554" w:type="dxa"/>
            <w:tcBorders>
              <w:top w:val="single" w:sz="4" w:space="0" w:color="auto"/>
              <w:left w:val="single" w:sz="4" w:space="0" w:color="auto"/>
              <w:bottom w:val="single" w:sz="4" w:space="0" w:color="auto"/>
              <w:right w:val="single" w:sz="4" w:space="0" w:color="auto"/>
            </w:tcBorders>
            <w:shd w:val="clear" w:color="auto" w:fill="C0C0C0"/>
          </w:tcPr>
          <w:p w14:paraId="3D042C5D" w14:textId="77777777" w:rsidR="00690AD6" w:rsidRPr="00F62E3F" w:rsidRDefault="00690AD6" w:rsidP="000B31A7">
            <w:pPr>
              <w:pStyle w:val="BodyText"/>
              <w:shd w:val="clear" w:color="auto" w:fill="FFFFFF" w:themeFill="background1"/>
              <w:ind w:left="-18"/>
              <w:rPr>
                <w:b/>
                <w:sz w:val="21"/>
                <w:szCs w:val="21"/>
              </w:rPr>
            </w:pPr>
            <w:r w:rsidRPr="00F62E3F">
              <w:rPr>
                <w:b/>
                <w:sz w:val="21"/>
                <w:szCs w:val="21"/>
              </w:rPr>
              <w:t>Response Time</w:t>
            </w:r>
          </w:p>
        </w:tc>
        <w:tc>
          <w:tcPr>
            <w:tcW w:w="1850" w:type="dxa"/>
            <w:tcBorders>
              <w:top w:val="single" w:sz="4" w:space="0" w:color="auto"/>
              <w:left w:val="single" w:sz="4" w:space="0" w:color="auto"/>
              <w:bottom w:val="single" w:sz="4" w:space="0" w:color="auto"/>
              <w:right w:val="single" w:sz="4" w:space="0" w:color="auto"/>
            </w:tcBorders>
            <w:shd w:val="clear" w:color="auto" w:fill="C0C0C0"/>
          </w:tcPr>
          <w:p w14:paraId="6426B6A3" w14:textId="77777777" w:rsidR="00690AD6" w:rsidRPr="00F62E3F" w:rsidRDefault="00690AD6" w:rsidP="000B31A7">
            <w:pPr>
              <w:pStyle w:val="BodyText"/>
              <w:shd w:val="clear" w:color="auto" w:fill="FFFFFF" w:themeFill="background1"/>
              <w:rPr>
                <w:b/>
                <w:sz w:val="21"/>
                <w:szCs w:val="21"/>
              </w:rPr>
            </w:pPr>
            <w:r w:rsidRPr="00F62E3F">
              <w:rPr>
                <w:b/>
                <w:sz w:val="21"/>
                <w:szCs w:val="21"/>
              </w:rPr>
              <w:t>Resolution</w:t>
            </w:r>
          </w:p>
        </w:tc>
        <w:tc>
          <w:tcPr>
            <w:tcW w:w="2369" w:type="dxa"/>
            <w:tcBorders>
              <w:top w:val="single" w:sz="4" w:space="0" w:color="auto"/>
              <w:left w:val="single" w:sz="4" w:space="0" w:color="auto"/>
              <w:bottom w:val="single" w:sz="4" w:space="0" w:color="auto"/>
              <w:right w:val="single" w:sz="4" w:space="0" w:color="auto"/>
            </w:tcBorders>
            <w:shd w:val="clear" w:color="auto" w:fill="C0C0C0"/>
          </w:tcPr>
          <w:p w14:paraId="3C3976AA" w14:textId="77777777" w:rsidR="00690AD6" w:rsidRPr="00F62E3F" w:rsidRDefault="00690AD6" w:rsidP="000B31A7">
            <w:pPr>
              <w:pStyle w:val="BodyText"/>
              <w:shd w:val="clear" w:color="auto" w:fill="FFFFFF" w:themeFill="background1"/>
              <w:rPr>
                <w:b/>
                <w:sz w:val="21"/>
                <w:szCs w:val="21"/>
              </w:rPr>
            </w:pPr>
            <w:r w:rsidRPr="00F62E3F">
              <w:rPr>
                <w:b/>
                <w:sz w:val="21"/>
                <w:szCs w:val="21"/>
              </w:rPr>
              <w:t>Escalation</w:t>
            </w:r>
          </w:p>
        </w:tc>
        <w:tc>
          <w:tcPr>
            <w:tcW w:w="2073" w:type="dxa"/>
            <w:tcBorders>
              <w:top w:val="single" w:sz="4" w:space="0" w:color="auto"/>
              <w:left w:val="single" w:sz="4" w:space="0" w:color="auto"/>
              <w:bottom w:val="single" w:sz="4" w:space="0" w:color="auto"/>
              <w:right w:val="single" w:sz="4" w:space="0" w:color="auto"/>
            </w:tcBorders>
            <w:shd w:val="clear" w:color="auto" w:fill="C0C0C0"/>
          </w:tcPr>
          <w:p w14:paraId="038A1D5F" w14:textId="77777777" w:rsidR="00690AD6" w:rsidRPr="00F62E3F" w:rsidRDefault="00690AD6" w:rsidP="000B31A7">
            <w:pPr>
              <w:pStyle w:val="BodyText"/>
              <w:shd w:val="clear" w:color="auto" w:fill="FFFFFF" w:themeFill="background1"/>
              <w:rPr>
                <w:b/>
                <w:sz w:val="21"/>
                <w:szCs w:val="21"/>
              </w:rPr>
            </w:pPr>
            <w:r w:rsidRPr="00F62E3F">
              <w:rPr>
                <w:b/>
                <w:sz w:val="21"/>
                <w:szCs w:val="21"/>
              </w:rPr>
              <w:t>Customer Response Commitment</w:t>
            </w:r>
          </w:p>
        </w:tc>
      </w:tr>
      <w:tr w:rsidR="00690AD6" w:rsidRPr="000B31A7" w14:paraId="46966A54" w14:textId="77777777" w:rsidTr="00607BD8">
        <w:trPr>
          <w:trHeight w:val="2150"/>
        </w:trPr>
        <w:tc>
          <w:tcPr>
            <w:tcW w:w="962" w:type="dxa"/>
            <w:tcBorders>
              <w:top w:val="single" w:sz="4" w:space="0" w:color="auto"/>
              <w:left w:val="single" w:sz="4" w:space="0" w:color="auto"/>
              <w:bottom w:val="single" w:sz="4" w:space="0" w:color="auto"/>
              <w:right w:val="single" w:sz="4" w:space="0" w:color="auto"/>
            </w:tcBorders>
          </w:tcPr>
          <w:p w14:paraId="53D6C486" w14:textId="77777777" w:rsidR="00690AD6" w:rsidRPr="00F62E3F" w:rsidRDefault="00690AD6" w:rsidP="000B31A7">
            <w:pPr>
              <w:pStyle w:val="BodyText"/>
              <w:shd w:val="clear" w:color="auto" w:fill="FFFFFF" w:themeFill="background1"/>
              <w:rPr>
                <w:b/>
                <w:sz w:val="21"/>
                <w:szCs w:val="21"/>
              </w:rPr>
            </w:pPr>
            <w:r w:rsidRPr="00F62E3F">
              <w:rPr>
                <w:b/>
                <w:sz w:val="21"/>
                <w:szCs w:val="21"/>
              </w:rPr>
              <w:t>Severity 1</w:t>
            </w:r>
          </w:p>
        </w:tc>
        <w:tc>
          <w:tcPr>
            <w:tcW w:w="1554" w:type="dxa"/>
            <w:tcBorders>
              <w:top w:val="single" w:sz="4" w:space="0" w:color="auto"/>
              <w:left w:val="single" w:sz="4" w:space="0" w:color="auto"/>
              <w:bottom w:val="single" w:sz="4" w:space="0" w:color="auto"/>
              <w:right w:val="single" w:sz="4" w:space="0" w:color="auto"/>
            </w:tcBorders>
          </w:tcPr>
          <w:p w14:paraId="713E24D7" w14:textId="228A5962" w:rsidR="00690AD6" w:rsidRPr="00F62E3F" w:rsidRDefault="00F409A8" w:rsidP="000B31A7">
            <w:pPr>
              <w:pStyle w:val="BodyText"/>
              <w:shd w:val="clear" w:color="auto" w:fill="FFFFFF" w:themeFill="background1"/>
              <w:rPr>
                <w:sz w:val="21"/>
                <w:szCs w:val="21"/>
              </w:rPr>
            </w:pPr>
            <w:r w:rsidRPr="00F62E3F">
              <w:rPr>
                <w:sz w:val="21"/>
                <w:szCs w:val="21"/>
              </w:rPr>
              <w:t>Platform Service</w:t>
            </w:r>
            <w:r w:rsidR="00FF266B">
              <w:rPr>
                <w:sz w:val="21"/>
                <w:szCs w:val="21"/>
              </w:rPr>
              <w:t>s</w:t>
            </w:r>
            <w:r w:rsidR="00690AD6" w:rsidRPr="00F62E3F">
              <w:rPr>
                <w:sz w:val="21"/>
                <w:szCs w:val="21"/>
              </w:rPr>
              <w:t xml:space="preserve"> </w:t>
            </w:r>
            <w:r w:rsidR="00FF266B">
              <w:rPr>
                <w:sz w:val="21"/>
                <w:szCs w:val="21"/>
              </w:rPr>
              <w:t>are</w:t>
            </w:r>
            <w:r w:rsidR="00FF266B" w:rsidRPr="00F62E3F">
              <w:rPr>
                <w:sz w:val="21"/>
                <w:szCs w:val="21"/>
              </w:rPr>
              <w:t xml:space="preserve"> </w:t>
            </w:r>
            <w:r w:rsidR="00690AD6" w:rsidRPr="00F62E3F">
              <w:rPr>
                <w:sz w:val="21"/>
                <w:szCs w:val="21"/>
              </w:rPr>
              <w:t xml:space="preserve">unavailable for all </w:t>
            </w:r>
            <w:proofErr w:type="gramStart"/>
            <w:r w:rsidR="00690AD6" w:rsidRPr="00F62E3F">
              <w:rPr>
                <w:sz w:val="21"/>
                <w:szCs w:val="21"/>
              </w:rPr>
              <w:t>users</w:t>
            </w:r>
            <w:proofErr w:type="gramEnd"/>
            <w:r w:rsidR="00690AD6" w:rsidRPr="00F62E3F">
              <w:rPr>
                <w:sz w:val="21"/>
                <w:szCs w:val="21"/>
              </w:rPr>
              <w:t xml:space="preserve"> or a </w:t>
            </w:r>
            <w:r w:rsidRPr="00F62E3F">
              <w:rPr>
                <w:sz w:val="21"/>
                <w:szCs w:val="21"/>
              </w:rPr>
              <w:t>Platform Service</w:t>
            </w:r>
            <w:r w:rsidR="00690AD6" w:rsidRPr="00F62E3F">
              <w:rPr>
                <w:sz w:val="21"/>
                <w:szCs w:val="21"/>
              </w:rPr>
              <w:t xml:space="preserve"> issue prevents loan transaction</w:t>
            </w:r>
          </w:p>
        </w:tc>
        <w:tc>
          <w:tcPr>
            <w:tcW w:w="1554" w:type="dxa"/>
            <w:tcBorders>
              <w:top w:val="single" w:sz="4" w:space="0" w:color="auto"/>
              <w:left w:val="single" w:sz="4" w:space="0" w:color="auto"/>
              <w:bottom w:val="single" w:sz="4" w:space="0" w:color="auto"/>
              <w:right w:val="single" w:sz="4" w:space="0" w:color="auto"/>
            </w:tcBorders>
          </w:tcPr>
          <w:p w14:paraId="781835FA"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within one (1) hour of receipt of case</w:t>
            </w:r>
          </w:p>
        </w:tc>
        <w:tc>
          <w:tcPr>
            <w:tcW w:w="1850" w:type="dxa"/>
            <w:tcBorders>
              <w:top w:val="single" w:sz="4" w:space="0" w:color="auto"/>
              <w:left w:val="single" w:sz="4" w:space="0" w:color="auto"/>
              <w:bottom w:val="single" w:sz="4" w:space="0" w:color="auto"/>
              <w:right w:val="single" w:sz="4" w:space="0" w:color="auto"/>
            </w:tcBorders>
          </w:tcPr>
          <w:p w14:paraId="53DBAAFC"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work to resolve the problem until the Service is returned to normal operation. Customer will be notified of status changes.</w:t>
            </w:r>
          </w:p>
        </w:tc>
        <w:tc>
          <w:tcPr>
            <w:tcW w:w="2369" w:type="dxa"/>
            <w:tcBorders>
              <w:top w:val="single" w:sz="4" w:space="0" w:color="auto"/>
              <w:left w:val="single" w:sz="4" w:space="0" w:color="auto"/>
              <w:bottom w:val="single" w:sz="4" w:space="0" w:color="auto"/>
              <w:right w:val="single" w:sz="4" w:space="0" w:color="auto"/>
            </w:tcBorders>
          </w:tcPr>
          <w:p w14:paraId="2D3B666E" w14:textId="77777777" w:rsidR="00690AD6" w:rsidRPr="00F62E3F" w:rsidRDefault="00690AD6" w:rsidP="000B31A7">
            <w:pPr>
              <w:pStyle w:val="BodyText"/>
              <w:shd w:val="clear" w:color="auto" w:fill="FFFFFF" w:themeFill="background1"/>
              <w:rPr>
                <w:sz w:val="21"/>
                <w:szCs w:val="21"/>
              </w:rPr>
            </w:pPr>
            <w:r w:rsidRPr="00F62E3F">
              <w:rPr>
                <w:sz w:val="21"/>
                <w:szCs w:val="21"/>
              </w:rPr>
              <w:t>If the problem has not been resolved within one (1) hour, Tavant will escalate the problem to the appropriate Tavant organization. The escalated problem will have higher priority than ongoing support, development or operations initiatives</w:t>
            </w:r>
          </w:p>
        </w:tc>
        <w:tc>
          <w:tcPr>
            <w:tcW w:w="2073" w:type="dxa"/>
            <w:tcBorders>
              <w:top w:val="single" w:sz="4" w:space="0" w:color="auto"/>
              <w:left w:val="single" w:sz="4" w:space="0" w:color="auto"/>
              <w:bottom w:val="single" w:sz="4" w:space="0" w:color="auto"/>
              <w:right w:val="single" w:sz="4" w:space="0" w:color="auto"/>
            </w:tcBorders>
          </w:tcPr>
          <w:p w14:paraId="5AD55E7B" w14:textId="77777777" w:rsidR="00690AD6" w:rsidRPr="00F62E3F" w:rsidRDefault="00690AD6" w:rsidP="000B31A7">
            <w:pPr>
              <w:pStyle w:val="BodyText"/>
              <w:shd w:val="clear" w:color="auto" w:fill="FFFFFF" w:themeFill="background1"/>
              <w:rPr>
                <w:sz w:val="21"/>
                <w:szCs w:val="21"/>
              </w:rPr>
            </w:pPr>
            <w:r w:rsidRPr="00F62E3F">
              <w:rPr>
                <w:sz w:val="21"/>
                <w:szCs w:val="21"/>
              </w:rPr>
              <w:t>Customer shall remain reasonably accessible by phone for troubleshooting from the time a Severity 1 issue is logged until such time as it is resolved</w:t>
            </w:r>
          </w:p>
        </w:tc>
      </w:tr>
      <w:tr w:rsidR="00690AD6" w:rsidRPr="000B31A7" w14:paraId="6EBAC5AB" w14:textId="77777777" w:rsidTr="00607BD8">
        <w:trPr>
          <w:trHeight w:val="2403"/>
        </w:trPr>
        <w:tc>
          <w:tcPr>
            <w:tcW w:w="962" w:type="dxa"/>
            <w:tcBorders>
              <w:top w:val="single" w:sz="4" w:space="0" w:color="auto"/>
              <w:left w:val="single" w:sz="4" w:space="0" w:color="auto"/>
              <w:bottom w:val="single" w:sz="4" w:space="0" w:color="auto"/>
              <w:right w:val="single" w:sz="4" w:space="0" w:color="auto"/>
            </w:tcBorders>
          </w:tcPr>
          <w:p w14:paraId="1379E399" w14:textId="77777777" w:rsidR="00690AD6" w:rsidRPr="00F62E3F" w:rsidRDefault="00690AD6" w:rsidP="000B31A7">
            <w:pPr>
              <w:pStyle w:val="BodyText"/>
              <w:shd w:val="clear" w:color="auto" w:fill="FFFFFF" w:themeFill="background1"/>
              <w:rPr>
                <w:b/>
                <w:sz w:val="21"/>
                <w:szCs w:val="21"/>
              </w:rPr>
            </w:pPr>
            <w:r w:rsidRPr="00F62E3F">
              <w:rPr>
                <w:b/>
                <w:sz w:val="21"/>
                <w:szCs w:val="21"/>
              </w:rPr>
              <w:t>Severity 2</w:t>
            </w:r>
          </w:p>
        </w:tc>
        <w:tc>
          <w:tcPr>
            <w:tcW w:w="1554" w:type="dxa"/>
            <w:tcBorders>
              <w:top w:val="single" w:sz="4" w:space="0" w:color="auto"/>
              <w:left w:val="single" w:sz="4" w:space="0" w:color="auto"/>
              <w:bottom w:val="single" w:sz="4" w:space="0" w:color="auto"/>
              <w:right w:val="single" w:sz="4" w:space="0" w:color="auto"/>
            </w:tcBorders>
          </w:tcPr>
          <w:p w14:paraId="461D1835" w14:textId="190EF8B8" w:rsidR="00690AD6" w:rsidRPr="00F62E3F" w:rsidRDefault="00F409A8" w:rsidP="000B31A7">
            <w:pPr>
              <w:pStyle w:val="BodyText"/>
              <w:shd w:val="clear" w:color="auto" w:fill="FFFFFF" w:themeFill="background1"/>
              <w:rPr>
                <w:sz w:val="21"/>
                <w:szCs w:val="21"/>
              </w:rPr>
            </w:pPr>
            <w:r w:rsidRPr="00F62E3F">
              <w:rPr>
                <w:sz w:val="21"/>
                <w:szCs w:val="21"/>
              </w:rPr>
              <w:t>Platform Service</w:t>
            </w:r>
            <w:r w:rsidR="00FF266B">
              <w:rPr>
                <w:sz w:val="21"/>
                <w:szCs w:val="21"/>
              </w:rPr>
              <w:t>s</w:t>
            </w:r>
            <w:r w:rsidR="00690AD6" w:rsidRPr="00F62E3F">
              <w:rPr>
                <w:sz w:val="21"/>
                <w:szCs w:val="21"/>
              </w:rPr>
              <w:t xml:space="preserve"> contains a bug that prevents Customer from executing one or</w:t>
            </w:r>
          </w:p>
          <w:p w14:paraId="653688DC" w14:textId="77777777" w:rsidR="00690AD6" w:rsidRPr="00F62E3F" w:rsidRDefault="00690AD6" w:rsidP="000B31A7">
            <w:pPr>
              <w:pStyle w:val="BodyText"/>
              <w:shd w:val="clear" w:color="auto" w:fill="FFFFFF" w:themeFill="background1"/>
              <w:rPr>
                <w:sz w:val="21"/>
                <w:szCs w:val="21"/>
              </w:rPr>
            </w:pPr>
            <w:r w:rsidRPr="00F62E3F">
              <w:rPr>
                <w:sz w:val="21"/>
                <w:szCs w:val="21"/>
              </w:rPr>
              <w:t>more critical business processes with a significant impact and no workaround exists.</w:t>
            </w:r>
          </w:p>
        </w:tc>
        <w:tc>
          <w:tcPr>
            <w:tcW w:w="1554" w:type="dxa"/>
            <w:tcBorders>
              <w:top w:val="single" w:sz="4" w:space="0" w:color="auto"/>
              <w:left w:val="single" w:sz="4" w:space="0" w:color="auto"/>
              <w:bottom w:val="single" w:sz="4" w:space="0" w:color="auto"/>
              <w:right w:val="single" w:sz="4" w:space="0" w:color="auto"/>
            </w:tcBorders>
          </w:tcPr>
          <w:p w14:paraId="782D576E"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within one (1) hour of receipt of case.</w:t>
            </w:r>
          </w:p>
        </w:tc>
        <w:tc>
          <w:tcPr>
            <w:tcW w:w="1850" w:type="dxa"/>
            <w:tcBorders>
              <w:top w:val="single" w:sz="4" w:space="0" w:color="auto"/>
              <w:left w:val="single" w:sz="4" w:space="0" w:color="auto"/>
              <w:bottom w:val="single" w:sz="4" w:space="0" w:color="auto"/>
              <w:right w:val="single" w:sz="4" w:space="0" w:color="auto"/>
            </w:tcBorders>
          </w:tcPr>
          <w:p w14:paraId="7E800C4C"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work to resolve the problem until the Service is returned to normal operation. Customer will be notified of status changes.</w:t>
            </w:r>
          </w:p>
        </w:tc>
        <w:tc>
          <w:tcPr>
            <w:tcW w:w="2369" w:type="dxa"/>
            <w:tcBorders>
              <w:top w:val="single" w:sz="4" w:space="0" w:color="auto"/>
              <w:left w:val="single" w:sz="4" w:space="0" w:color="auto"/>
              <w:bottom w:val="single" w:sz="4" w:space="0" w:color="auto"/>
              <w:right w:val="single" w:sz="4" w:space="0" w:color="auto"/>
            </w:tcBorders>
          </w:tcPr>
          <w:p w14:paraId="1164AAD6" w14:textId="77777777" w:rsidR="00690AD6" w:rsidRPr="00F62E3F" w:rsidRDefault="00690AD6" w:rsidP="000B31A7">
            <w:pPr>
              <w:pStyle w:val="BodyText"/>
              <w:shd w:val="clear" w:color="auto" w:fill="FFFFFF" w:themeFill="background1"/>
              <w:rPr>
                <w:sz w:val="21"/>
                <w:szCs w:val="21"/>
              </w:rPr>
            </w:pPr>
            <w:r w:rsidRPr="00F62E3F">
              <w:rPr>
                <w:sz w:val="21"/>
                <w:szCs w:val="21"/>
              </w:rPr>
              <w:t>If the problem has not been resolved within four (4) hours, Customer may request that Tavant escalate the problem to the appropriate Tavant organization where the escalated problem will have higher priority than ongoing development or operations initiatives.</w:t>
            </w:r>
          </w:p>
        </w:tc>
        <w:tc>
          <w:tcPr>
            <w:tcW w:w="2073" w:type="dxa"/>
            <w:tcBorders>
              <w:top w:val="single" w:sz="4" w:space="0" w:color="auto"/>
              <w:left w:val="single" w:sz="4" w:space="0" w:color="auto"/>
              <w:bottom w:val="single" w:sz="4" w:space="0" w:color="auto"/>
              <w:right w:val="single" w:sz="4" w:space="0" w:color="auto"/>
            </w:tcBorders>
          </w:tcPr>
          <w:p w14:paraId="5DFA8485" w14:textId="77777777" w:rsidR="00690AD6" w:rsidRPr="00F62E3F" w:rsidRDefault="00690AD6" w:rsidP="000B31A7">
            <w:pPr>
              <w:pStyle w:val="BodyText"/>
              <w:shd w:val="clear" w:color="auto" w:fill="FFFFFF" w:themeFill="background1"/>
              <w:rPr>
                <w:sz w:val="21"/>
                <w:szCs w:val="21"/>
              </w:rPr>
            </w:pPr>
            <w:r w:rsidRPr="00F62E3F">
              <w:rPr>
                <w:sz w:val="21"/>
                <w:szCs w:val="21"/>
              </w:rPr>
              <w:t>Customer shall remain reasonably accessible by phone for troubleshooting from the time a Severity 2 issue is logged until such time as it is resolved</w:t>
            </w:r>
          </w:p>
        </w:tc>
      </w:tr>
      <w:tr w:rsidR="00690AD6" w:rsidRPr="000B31A7" w14:paraId="4EEFFD43" w14:textId="77777777" w:rsidTr="00607BD8">
        <w:trPr>
          <w:trHeight w:val="1672"/>
        </w:trPr>
        <w:tc>
          <w:tcPr>
            <w:tcW w:w="962" w:type="dxa"/>
            <w:tcBorders>
              <w:top w:val="single" w:sz="4" w:space="0" w:color="auto"/>
              <w:left w:val="single" w:sz="4" w:space="0" w:color="auto"/>
              <w:bottom w:val="single" w:sz="4" w:space="0" w:color="auto"/>
              <w:right w:val="single" w:sz="4" w:space="0" w:color="auto"/>
            </w:tcBorders>
          </w:tcPr>
          <w:p w14:paraId="0E3E2BC8" w14:textId="77777777" w:rsidR="00690AD6" w:rsidRPr="00F62E3F" w:rsidRDefault="00690AD6" w:rsidP="000B31A7">
            <w:pPr>
              <w:pStyle w:val="BodyText"/>
              <w:shd w:val="clear" w:color="auto" w:fill="FFFFFF" w:themeFill="background1"/>
              <w:rPr>
                <w:b/>
                <w:sz w:val="21"/>
                <w:szCs w:val="21"/>
              </w:rPr>
            </w:pPr>
            <w:r w:rsidRPr="00F62E3F">
              <w:rPr>
                <w:b/>
                <w:sz w:val="21"/>
                <w:szCs w:val="21"/>
              </w:rPr>
              <w:lastRenderedPageBreak/>
              <w:t>Severity 3</w:t>
            </w:r>
          </w:p>
        </w:tc>
        <w:tc>
          <w:tcPr>
            <w:tcW w:w="1554" w:type="dxa"/>
            <w:tcBorders>
              <w:top w:val="single" w:sz="4" w:space="0" w:color="auto"/>
              <w:left w:val="single" w:sz="4" w:space="0" w:color="auto"/>
              <w:bottom w:val="single" w:sz="4" w:space="0" w:color="auto"/>
              <w:right w:val="single" w:sz="4" w:space="0" w:color="auto"/>
            </w:tcBorders>
          </w:tcPr>
          <w:p w14:paraId="02225879" w14:textId="3093DBAB" w:rsidR="00690AD6" w:rsidRPr="00F62E3F" w:rsidRDefault="00F409A8" w:rsidP="000B31A7">
            <w:pPr>
              <w:pStyle w:val="BodyText"/>
              <w:shd w:val="clear" w:color="auto" w:fill="FFFFFF" w:themeFill="background1"/>
              <w:rPr>
                <w:sz w:val="21"/>
                <w:szCs w:val="21"/>
              </w:rPr>
            </w:pPr>
            <w:r w:rsidRPr="00F62E3F">
              <w:rPr>
                <w:sz w:val="21"/>
                <w:szCs w:val="21"/>
              </w:rPr>
              <w:t>Platform Service</w:t>
            </w:r>
            <w:r w:rsidR="00FF266B">
              <w:rPr>
                <w:sz w:val="21"/>
                <w:szCs w:val="21"/>
              </w:rPr>
              <w:t>s</w:t>
            </w:r>
            <w:r w:rsidR="00690AD6" w:rsidRPr="00F62E3F">
              <w:rPr>
                <w:sz w:val="21"/>
                <w:szCs w:val="21"/>
              </w:rPr>
              <w:t xml:space="preserve"> contains a bug that </w:t>
            </w:r>
            <w:r w:rsidR="00B8294E" w:rsidRPr="00F62E3F">
              <w:rPr>
                <w:sz w:val="21"/>
                <w:szCs w:val="21"/>
              </w:rPr>
              <w:t>prevents</w:t>
            </w:r>
            <w:r w:rsidR="00690AD6" w:rsidRPr="00F62E3F">
              <w:rPr>
                <w:sz w:val="21"/>
                <w:szCs w:val="21"/>
              </w:rPr>
              <w:t xml:space="preserve"> Customer from executing one or more important business processes. A workaround exists but is not optimal.</w:t>
            </w:r>
          </w:p>
        </w:tc>
        <w:tc>
          <w:tcPr>
            <w:tcW w:w="1554" w:type="dxa"/>
            <w:tcBorders>
              <w:top w:val="single" w:sz="4" w:space="0" w:color="auto"/>
              <w:left w:val="single" w:sz="4" w:space="0" w:color="auto"/>
              <w:bottom w:val="single" w:sz="4" w:space="0" w:color="auto"/>
              <w:right w:val="single" w:sz="4" w:space="0" w:color="auto"/>
            </w:tcBorders>
          </w:tcPr>
          <w:p w14:paraId="7AA8D200"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within four (4) hours of receipt of case</w:t>
            </w:r>
          </w:p>
        </w:tc>
        <w:tc>
          <w:tcPr>
            <w:tcW w:w="1850" w:type="dxa"/>
            <w:tcBorders>
              <w:top w:val="single" w:sz="4" w:space="0" w:color="auto"/>
              <w:left w:val="single" w:sz="4" w:space="0" w:color="auto"/>
              <w:bottom w:val="single" w:sz="4" w:space="0" w:color="auto"/>
              <w:right w:val="single" w:sz="4" w:space="0" w:color="auto"/>
            </w:tcBorders>
          </w:tcPr>
          <w:p w14:paraId="398D451C" w14:textId="77777777" w:rsidR="00690AD6" w:rsidRPr="00F62E3F" w:rsidRDefault="00690AD6" w:rsidP="000B31A7">
            <w:pPr>
              <w:pStyle w:val="BodyText"/>
              <w:shd w:val="clear" w:color="auto" w:fill="FFFFFF" w:themeFill="background1"/>
              <w:rPr>
                <w:sz w:val="21"/>
                <w:szCs w:val="21"/>
              </w:rPr>
            </w:pPr>
            <w:r w:rsidRPr="00F62E3F">
              <w:rPr>
                <w:sz w:val="21"/>
                <w:szCs w:val="21"/>
              </w:rPr>
              <w:t xml:space="preserve">If resolution requires a </w:t>
            </w:r>
            <w:proofErr w:type="spellStart"/>
            <w:r w:rsidRPr="00F62E3F">
              <w:rPr>
                <w:sz w:val="21"/>
                <w:szCs w:val="21"/>
              </w:rPr>
              <w:t>FinConnnect</w:t>
            </w:r>
            <w:proofErr w:type="spellEnd"/>
            <w:r w:rsidRPr="00F62E3F">
              <w:rPr>
                <w:sz w:val="21"/>
                <w:szCs w:val="21"/>
              </w:rPr>
              <w:t xml:space="preserve"> bug fix, Tavant will add the bug fix to its development queue for future Update and suggest potential workaround until the problem is resolved in a future Update. Customer will be notified of status changes.</w:t>
            </w:r>
          </w:p>
        </w:tc>
        <w:tc>
          <w:tcPr>
            <w:tcW w:w="2369" w:type="dxa"/>
            <w:tcBorders>
              <w:top w:val="single" w:sz="4" w:space="0" w:color="auto"/>
              <w:left w:val="single" w:sz="4" w:space="0" w:color="auto"/>
              <w:bottom w:val="single" w:sz="4" w:space="0" w:color="auto"/>
              <w:right w:val="single" w:sz="4" w:space="0" w:color="auto"/>
            </w:tcBorders>
          </w:tcPr>
          <w:p w14:paraId="7BA11E5B" w14:textId="77777777" w:rsidR="00690AD6" w:rsidRPr="00F62E3F" w:rsidRDefault="00690AD6" w:rsidP="000B31A7">
            <w:pPr>
              <w:pStyle w:val="BodyText"/>
              <w:shd w:val="clear" w:color="auto" w:fill="FFFFFF" w:themeFill="background1"/>
              <w:rPr>
                <w:sz w:val="21"/>
                <w:szCs w:val="21"/>
              </w:rPr>
            </w:pPr>
            <w:r w:rsidRPr="00F62E3F">
              <w:rPr>
                <w:sz w:val="21"/>
                <w:szCs w:val="21"/>
              </w:rPr>
              <w:t>If the problem has not been resolved within one (1) week, Customer may request that Tavant escalate the problem to the appropriate Tavant organization where the escalated problem will have higher priority than ongoing development or operations initiatives.</w:t>
            </w:r>
          </w:p>
        </w:tc>
        <w:tc>
          <w:tcPr>
            <w:tcW w:w="2073" w:type="dxa"/>
            <w:tcBorders>
              <w:top w:val="single" w:sz="4" w:space="0" w:color="auto"/>
              <w:left w:val="single" w:sz="4" w:space="0" w:color="auto"/>
              <w:bottom w:val="single" w:sz="4" w:space="0" w:color="auto"/>
              <w:right w:val="single" w:sz="4" w:space="0" w:color="auto"/>
            </w:tcBorders>
          </w:tcPr>
          <w:p w14:paraId="6F168B6E" w14:textId="77777777" w:rsidR="00690AD6" w:rsidRPr="00F62E3F" w:rsidRDefault="00690AD6" w:rsidP="000B31A7">
            <w:pPr>
              <w:pStyle w:val="BodyText"/>
              <w:shd w:val="clear" w:color="auto" w:fill="FFFFFF" w:themeFill="background1"/>
              <w:rPr>
                <w:sz w:val="21"/>
                <w:szCs w:val="21"/>
              </w:rPr>
            </w:pPr>
            <w:r w:rsidRPr="00F62E3F">
              <w:rPr>
                <w:sz w:val="21"/>
                <w:szCs w:val="21"/>
              </w:rPr>
              <w:t>Customer will respond to Tavant requests for additional information and implement recommended solutions in a timely manner</w:t>
            </w:r>
          </w:p>
        </w:tc>
      </w:tr>
      <w:tr w:rsidR="00690AD6" w:rsidRPr="000B31A7" w14:paraId="61ED67DA" w14:textId="77777777" w:rsidTr="00607BD8">
        <w:trPr>
          <w:trHeight w:val="143"/>
        </w:trPr>
        <w:tc>
          <w:tcPr>
            <w:tcW w:w="962" w:type="dxa"/>
            <w:tcBorders>
              <w:top w:val="single" w:sz="4" w:space="0" w:color="auto"/>
              <w:left w:val="single" w:sz="4" w:space="0" w:color="auto"/>
              <w:bottom w:val="single" w:sz="4" w:space="0" w:color="auto"/>
              <w:right w:val="single" w:sz="4" w:space="0" w:color="auto"/>
            </w:tcBorders>
          </w:tcPr>
          <w:p w14:paraId="67D3C862" w14:textId="77777777" w:rsidR="00690AD6" w:rsidRPr="00F62E3F" w:rsidRDefault="00690AD6" w:rsidP="000B31A7">
            <w:pPr>
              <w:pStyle w:val="BodyText"/>
              <w:shd w:val="clear" w:color="auto" w:fill="FFFFFF" w:themeFill="background1"/>
              <w:rPr>
                <w:b/>
                <w:sz w:val="21"/>
                <w:szCs w:val="21"/>
              </w:rPr>
            </w:pPr>
            <w:r w:rsidRPr="00F62E3F">
              <w:rPr>
                <w:b/>
                <w:sz w:val="21"/>
                <w:szCs w:val="21"/>
              </w:rPr>
              <w:t>Severity 4</w:t>
            </w:r>
          </w:p>
        </w:tc>
        <w:tc>
          <w:tcPr>
            <w:tcW w:w="1554" w:type="dxa"/>
            <w:tcBorders>
              <w:top w:val="single" w:sz="4" w:space="0" w:color="auto"/>
              <w:left w:val="single" w:sz="4" w:space="0" w:color="auto"/>
              <w:bottom w:val="single" w:sz="4" w:space="0" w:color="auto"/>
              <w:right w:val="single" w:sz="4" w:space="0" w:color="auto"/>
            </w:tcBorders>
          </w:tcPr>
          <w:p w14:paraId="42BB37A9" w14:textId="335F0B82" w:rsidR="00690AD6" w:rsidRPr="00F62E3F" w:rsidRDefault="00F409A8" w:rsidP="000B31A7">
            <w:pPr>
              <w:pStyle w:val="BodyText"/>
              <w:shd w:val="clear" w:color="auto" w:fill="FFFFFF" w:themeFill="background1"/>
              <w:rPr>
                <w:sz w:val="21"/>
                <w:szCs w:val="21"/>
              </w:rPr>
            </w:pPr>
            <w:r w:rsidRPr="00F62E3F">
              <w:rPr>
                <w:sz w:val="21"/>
                <w:szCs w:val="21"/>
              </w:rPr>
              <w:t>Platform Service</w:t>
            </w:r>
            <w:r w:rsidR="00FF266B">
              <w:rPr>
                <w:sz w:val="21"/>
                <w:szCs w:val="21"/>
              </w:rPr>
              <w:t>s</w:t>
            </w:r>
            <w:r w:rsidR="00690AD6" w:rsidRPr="00F62E3F">
              <w:rPr>
                <w:sz w:val="21"/>
                <w:szCs w:val="21"/>
              </w:rPr>
              <w:t xml:space="preserve"> contains an issue that may disrupt important business processes where a workaround is </w:t>
            </w:r>
            <w:r w:rsidR="00B8294E" w:rsidRPr="00F62E3F">
              <w:rPr>
                <w:sz w:val="21"/>
                <w:szCs w:val="21"/>
              </w:rPr>
              <w:t>available,</w:t>
            </w:r>
            <w:r w:rsidR="00690AD6" w:rsidRPr="00F62E3F">
              <w:rPr>
                <w:sz w:val="21"/>
                <w:szCs w:val="21"/>
              </w:rPr>
              <w:t xml:space="preserve"> or functionality is not imperative to Customer's business operations.</w:t>
            </w:r>
          </w:p>
        </w:tc>
        <w:tc>
          <w:tcPr>
            <w:tcW w:w="1554" w:type="dxa"/>
            <w:tcBorders>
              <w:top w:val="single" w:sz="4" w:space="0" w:color="auto"/>
              <w:left w:val="single" w:sz="4" w:space="0" w:color="auto"/>
              <w:bottom w:val="single" w:sz="4" w:space="0" w:color="auto"/>
              <w:right w:val="single" w:sz="4" w:space="0" w:color="auto"/>
            </w:tcBorders>
          </w:tcPr>
          <w:p w14:paraId="235322FE"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within twenty-four (24) hours of receipt of case</w:t>
            </w:r>
          </w:p>
        </w:tc>
        <w:tc>
          <w:tcPr>
            <w:tcW w:w="1850" w:type="dxa"/>
            <w:tcBorders>
              <w:top w:val="single" w:sz="4" w:space="0" w:color="auto"/>
              <w:left w:val="single" w:sz="4" w:space="0" w:color="auto"/>
              <w:bottom w:val="single" w:sz="4" w:space="0" w:color="auto"/>
              <w:right w:val="single" w:sz="4" w:space="0" w:color="auto"/>
            </w:tcBorders>
          </w:tcPr>
          <w:p w14:paraId="47722085" w14:textId="77777777" w:rsidR="00690AD6" w:rsidRPr="00F62E3F" w:rsidRDefault="00690AD6" w:rsidP="000B31A7">
            <w:pPr>
              <w:pStyle w:val="BodyText"/>
              <w:shd w:val="clear" w:color="auto" w:fill="FFFFFF" w:themeFill="background1"/>
              <w:rPr>
                <w:sz w:val="21"/>
                <w:szCs w:val="21"/>
              </w:rPr>
            </w:pPr>
            <w:r w:rsidRPr="00F62E3F">
              <w:rPr>
                <w:sz w:val="21"/>
                <w:szCs w:val="21"/>
              </w:rPr>
              <w:t xml:space="preserve">If resolution requires a </w:t>
            </w:r>
            <w:r w:rsidR="0030636C" w:rsidRPr="00F62E3F">
              <w:rPr>
                <w:sz w:val="21"/>
                <w:szCs w:val="21"/>
              </w:rPr>
              <w:t>FinDecision</w:t>
            </w:r>
            <w:r w:rsidRPr="00F62E3F">
              <w:rPr>
                <w:sz w:val="21"/>
                <w:szCs w:val="21"/>
              </w:rPr>
              <w:t xml:space="preserve"> bug fix, Tavant will add the bug fix to its development queue for future Update and suggest potential workaround until the problem is resolved in a future Update. Customer will be notified of status changes</w:t>
            </w:r>
          </w:p>
        </w:tc>
        <w:tc>
          <w:tcPr>
            <w:tcW w:w="2369" w:type="dxa"/>
            <w:tcBorders>
              <w:top w:val="single" w:sz="4" w:space="0" w:color="auto"/>
              <w:left w:val="single" w:sz="4" w:space="0" w:color="auto"/>
              <w:bottom w:val="single" w:sz="4" w:space="0" w:color="auto"/>
              <w:right w:val="single" w:sz="4" w:space="0" w:color="auto"/>
            </w:tcBorders>
          </w:tcPr>
          <w:p w14:paraId="00567BA4" w14:textId="77777777" w:rsidR="00690AD6" w:rsidRPr="00F62E3F" w:rsidRDefault="00690AD6" w:rsidP="000B31A7">
            <w:pPr>
              <w:pStyle w:val="BodyText"/>
              <w:shd w:val="clear" w:color="auto" w:fill="FFFFFF" w:themeFill="background1"/>
              <w:rPr>
                <w:sz w:val="21"/>
                <w:szCs w:val="21"/>
              </w:rPr>
            </w:pPr>
            <w:r w:rsidRPr="00F62E3F">
              <w:rPr>
                <w:sz w:val="21"/>
                <w:szCs w:val="21"/>
              </w:rPr>
              <w:t>None</w:t>
            </w:r>
          </w:p>
        </w:tc>
        <w:tc>
          <w:tcPr>
            <w:tcW w:w="2073" w:type="dxa"/>
            <w:tcBorders>
              <w:top w:val="single" w:sz="4" w:space="0" w:color="auto"/>
              <w:left w:val="single" w:sz="4" w:space="0" w:color="auto"/>
              <w:bottom w:val="single" w:sz="4" w:space="0" w:color="auto"/>
              <w:right w:val="single" w:sz="4" w:space="0" w:color="auto"/>
            </w:tcBorders>
          </w:tcPr>
          <w:p w14:paraId="10D1F695" w14:textId="77777777" w:rsidR="00690AD6" w:rsidRPr="00F62E3F" w:rsidRDefault="00690AD6" w:rsidP="000B31A7">
            <w:pPr>
              <w:pStyle w:val="BodyText"/>
              <w:shd w:val="clear" w:color="auto" w:fill="FFFFFF" w:themeFill="background1"/>
              <w:rPr>
                <w:sz w:val="21"/>
                <w:szCs w:val="21"/>
              </w:rPr>
            </w:pPr>
            <w:r w:rsidRPr="00F62E3F">
              <w:rPr>
                <w:sz w:val="21"/>
                <w:szCs w:val="21"/>
              </w:rPr>
              <w:t>Customer will respond to Tavant requests for additional information and implement recommended solutions in a timely manner</w:t>
            </w:r>
          </w:p>
        </w:tc>
      </w:tr>
      <w:tr w:rsidR="00690AD6" w:rsidRPr="000B31A7" w14:paraId="3C9B56E2" w14:textId="77777777" w:rsidTr="00607BD8">
        <w:trPr>
          <w:trHeight w:val="2150"/>
        </w:trPr>
        <w:tc>
          <w:tcPr>
            <w:tcW w:w="962" w:type="dxa"/>
            <w:tcBorders>
              <w:top w:val="single" w:sz="4" w:space="0" w:color="auto"/>
              <w:left w:val="single" w:sz="4" w:space="0" w:color="auto"/>
              <w:bottom w:val="single" w:sz="4" w:space="0" w:color="auto"/>
              <w:right w:val="single" w:sz="4" w:space="0" w:color="auto"/>
            </w:tcBorders>
          </w:tcPr>
          <w:p w14:paraId="6BB60777" w14:textId="77777777" w:rsidR="00690AD6" w:rsidRPr="00F62E3F" w:rsidRDefault="00690AD6" w:rsidP="000B31A7">
            <w:pPr>
              <w:pStyle w:val="BodyText"/>
              <w:shd w:val="clear" w:color="auto" w:fill="FFFFFF" w:themeFill="background1"/>
              <w:rPr>
                <w:b/>
                <w:sz w:val="21"/>
                <w:szCs w:val="21"/>
              </w:rPr>
            </w:pPr>
            <w:r w:rsidRPr="00F62E3F">
              <w:rPr>
                <w:b/>
                <w:sz w:val="21"/>
                <w:szCs w:val="21"/>
              </w:rPr>
              <w:t>Severity 5</w:t>
            </w:r>
          </w:p>
          <w:p w14:paraId="41495A84" w14:textId="77777777" w:rsidR="00690AD6" w:rsidRPr="00F62E3F" w:rsidRDefault="00690AD6" w:rsidP="000B31A7">
            <w:pPr>
              <w:pStyle w:val="BodyText"/>
              <w:shd w:val="clear" w:color="auto" w:fill="FFFFFF" w:themeFill="background1"/>
              <w:rPr>
                <w:b/>
                <w:sz w:val="21"/>
                <w:szCs w:val="21"/>
              </w:rPr>
            </w:pPr>
            <w:r w:rsidRPr="00F62E3F">
              <w:rPr>
                <w:b/>
                <w:sz w:val="21"/>
                <w:szCs w:val="21"/>
              </w:rPr>
              <w:t>(Service Requests)</w:t>
            </w:r>
          </w:p>
        </w:tc>
        <w:tc>
          <w:tcPr>
            <w:tcW w:w="1554" w:type="dxa"/>
            <w:tcBorders>
              <w:top w:val="single" w:sz="4" w:space="0" w:color="auto"/>
              <w:left w:val="single" w:sz="4" w:space="0" w:color="auto"/>
              <w:bottom w:val="single" w:sz="4" w:space="0" w:color="auto"/>
              <w:right w:val="single" w:sz="4" w:space="0" w:color="auto"/>
            </w:tcBorders>
          </w:tcPr>
          <w:p w14:paraId="36223E37" w14:textId="77777777" w:rsidR="00690AD6" w:rsidRPr="00F62E3F" w:rsidRDefault="00690AD6" w:rsidP="000B31A7">
            <w:pPr>
              <w:pStyle w:val="BodyText"/>
              <w:shd w:val="clear" w:color="auto" w:fill="FFFFFF" w:themeFill="background1"/>
              <w:rPr>
                <w:sz w:val="21"/>
                <w:szCs w:val="21"/>
              </w:rPr>
            </w:pPr>
            <w:r w:rsidRPr="00F62E3F">
              <w:rPr>
                <w:sz w:val="21"/>
                <w:szCs w:val="21"/>
              </w:rPr>
              <w:t>Non-system issues such as Named Support Contact change, requests for SLA reports or business documents, queries on configuration etc.</w:t>
            </w:r>
          </w:p>
        </w:tc>
        <w:tc>
          <w:tcPr>
            <w:tcW w:w="1554" w:type="dxa"/>
            <w:tcBorders>
              <w:top w:val="single" w:sz="4" w:space="0" w:color="auto"/>
              <w:left w:val="single" w:sz="4" w:space="0" w:color="auto"/>
              <w:bottom w:val="single" w:sz="4" w:space="0" w:color="auto"/>
              <w:right w:val="single" w:sz="4" w:space="0" w:color="auto"/>
            </w:tcBorders>
          </w:tcPr>
          <w:p w14:paraId="5AB989AA"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within twenty-four (24) hours of receipt of case</w:t>
            </w:r>
          </w:p>
        </w:tc>
        <w:tc>
          <w:tcPr>
            <w:tcW w:w="1850" w:type="dxa"/>
            <w:tcBorders>
              <w:top w:val="single" w:sz="4" w:space="0" w:color="auto"/>
              <w:left w:val="single" w:sz="4" w:space="0" w:color="auto"/>
              <w:bottom w:val="single" w:sz="4" w:space="0" w:color="auto"/>
              <w:right w:val="single" w:sz="4" w:space="0" w:color="auto"/>
            </w:tcBorders>
          </w:tcPr>
          <w:p w14:paraId="1AE315C1" w14:textId="77777777" w:rsidR="00690AD6" w:rsidRPr="00F62E3F" w:rsidRDefault="00690AD6" w:rsidP="000B31A7">
            <w:pPr>
              <w:pStyle w:val="BodyText"/>
              <w:shd w:val="clear" w:color="auto" w:fill="FFFFFF" w:themeFill="background1"/>
              <w:rPr>
                <w:sz w:val="21"/>
                <w:szCs w:val="21"/>
              </w:rPr>
            </w:pPr>
            <w:r w:rsidRPr="00F62E3F">
              <w:rPr>
                <w:sz w:val="21"/>
                <w:szCs w:val="21"/>
              </w:rPr>
              <w:t>Tavant will respond to request. Customer will be notified of status changes</w:t>
            </w:r>
          </w:p>
        </w:tc>
        <w:tc>
          <w:tcPr>
            <w:tcW w:w="2369" w:type="dxa"/>
            <w:tcBorders>
              <w:top w:val="single" w:sz="4" w:space="0" w:color="auto"/>
              <w:left w:val="single" w:sz="4" w:space="0" w:color="auto"/>
              <w:bottom w:val="single" w:sz="4" w:space="0" w:color="auto"/>
              <w:right w:val="single" w:sz="4" w:space="0" w:color="auto"/>
            </w:tcBorders>
          </w:tcPr>
          <w:p w14:paraId="14C63C2C" w14:textId="77777777" w:rsidR="00690AD6" w:rsidRPr="00F62E3F" w:rsidRDefault="00690AD6" w:rsidP="000B31A7">
            <w:pPr>
              <w:pStyle w:val="BodyText"/>
              <w:shd w:val="clear" w:color="auto" w:fill="FFFFFF" w:themeFill="background1"/>
              <w:rPr>
                <w:sz w:val="21"/>
                <w:szCs w:val="21"/>
              </w:rPr>
            </w:pPr>
            <w:r w:rsidRPr="00F62E3F">
              <w:rPr>
                <w:sz w:val="21"/>
                <w:szCs w:val="21"/>
              </w:rPr>
              <w:t>None</w:t>
            </w:r>
          </w:p>
        </w:tc>
        <w:tc>
          <w:tcPr>
            <w:tcW w:w="2073" w:type="dxa"/>
            <w:tcBorders>
              <w:top w:val="single" w:sz="4" w:space="0" w:color="auto"/>
              <w:left w:val="single" w:sz="4" w:space="0" w:color="auto"/>
              <w:bottom w:val="single" w:sz="4" w:space="0" w:color="auto"/>
              <w:right w:val="single" w:sz="4" w:space="0" w:color="auto"/>
            </w:tcBorders>
          </w:tcPr>
          <w:p w14:paraId="13FF1A29" w14:textId="77777777" w:rsidR="00690AD6" w:rsidRPr="00F62E3F" w:rsidRDefault="00690AD6" w:rsidP="000B31A7">
            <w:pPr>
              <w:pStyle w:val="BodyText"/>
              <w:shd w:val="clear" w:color="auto" w:fill="FFFFFF" w:themeFill="background1"/>
              <w:rPr>
                <w:sz w:val="21"/>
                <w:szCs w:val="21"/>
              </w:rPr>
            </w:pPr>
            <w:r w:rsidRPr="00F62E3F">
              <w:rPr>
                <w:sz w:val="21"/>
                <w:szCs w:val="21"/>
              </w:rPr>
              <w:t>Customer will respond to Tavant requests for additional information in a timely manner.</w:t>
            </w:r>
          </w:p>
        </w:tc>
      </w:tr>
    </w:tbl>
    <w:p w14:paraId="2E60FA96" w14:textId="77777777" w:rsidR="00690AD6" w:rsidRPr="00F62E3F" w:rsidRDefault="00690AD6" w:rsidP="000B31A7">
      <w:pPr>
        <w:shd w:val="clear" w:color="auto" w:fill="FFFFFF" w:themeFill="background1"/>
        <w:rPr>
          <w:sz w:val="21"/>
          <w:szCs w:val="21"/>
        </w:rPr>
      </w:pPr>
    </w:p>
    <w:p w14:paraId="597A2834" w14:textId="77777777" w:rsidR="00690AD6" w:rsidRPr="00F62E3F" w:rsidRDefault="00690AD6" w:rsidP="000B31A7">
      <w:pPr>
        <w:shd w:val="clear" w:color="auto" w:fill="FFFFFF" w:themeFill="background1"/>
        <w:rPr>
          <w:sz w:val="21"/>
          <w:szCs w:val="21"/>
        </w:rPr>
      </w:pPr>
    </w:p>
    <w:p w14:paraId="3E653951" w14:textId="77777777" w:rsidR="00690AD6" w:rsidRPr="00F62E3F" w:rsidRDefault="00690AD6" w:rsidP="000B31A7">
      <w:pPr>
        <w:shd w:val="clear" w:color="auto" w:fill="FFFFFF" w:themeFill="background1"/>
        <w:rPr>
          <w:sz w:val="21"/>
          <w:szCs w:val="21"/>
        </w:rPr>
      </w:pPr>
    </w:p>
    <w:p w14:paraId="5847EF0D" w14:textId="58DE6C30" w:rsidR="00607BD8" w:rsidRPr="00EB796E" w:rsidRDefault="00607BD8" w:rsidP="00607BD8">
      <w:pPr>
        <w:pStyle w:val="Default"/>
        <w:rPr>
          <w:b/>
          <w:bCs/>
          <w:sz w:val="21"/>
          <w:szCs w:val="21"/>
          <w:u w:val="single"/>
        </w:rPr>
      </w:pPr>
      <w:r w:rsidRPr="00EB796E">
        <w:rPr>
          <w:b/>
          <w:bCs/>
          <w:sz w:val="21"/>
          <w:szCs w:val="21"/>
          <w:u w:val="single"/>
        </w:rPr>
        <w:t xml:space="preserve">10. Disaster Recovery </w:t>
      </w:r>
    </w:p>
    <w:p w14:paraId="08491890" w14:textId="77777777" w:rsidR="00EB796E" w:rsidRDefault="00EB796E" w:rsidP="000F5863">
      <w:pPr>
        <w:pStyle w:val="Default"/>
        <w:jc w:val="both"/>
        <w:rPr>
          <w:sz w:val="21"/>
          <w:szCs w:val="21"/>
        </w:rPr>
      </w:pPr>
    </w:p>
    <w:p w14:paraId="5AAAA255" w14:textId="68510C13" w:rsidR="00607BD8" w:rsidRPr="00EB796E" w:rsidRDefault="00607BD8" w:rsidP="000F5863">
      <w:pPr>
        <w:pStyle w:val="Default"/>
        <w:jc w:val="both"/>
        <w:rPr>
          <w:sz w:val="21"/>
          <w:szCs w:val="21"/>
        </w:rPr>
      </w:pPr>
      <w:r w:rsidRPr="00EB796E">
        <w:rPr>
          <w:sz w:val="21"/>
          <w:szCs w:val="21"/>
        </w:rPr>
        <w:t xml:space="preserve">10.1. Tavant will maintain a disaster recovery plan for the Platform Services in conformity with Tavant’s most current Disaster Recovery Summary. Tavant commits to a </w:t>
      </w:r>
      <w:r w:rsidRPr="00EB796E">
        <w:rPr>
          <w:b/>
          <w:bCs/>
          <w:sz w:val="21"/>
          <w:szCs w:val="21"/>
        </w:rPr>
        <w:t xml:space="preserve">Recovery Time Objective </w:t>
      </w:r>
      <w:r w:rsidRPr="00EB796E">
        <w:rPr>
          <w:sz w:val="21"/>
          <w:szCs w:val="21"/>
        </w:rPr>
        <w:t>(</w:t>
      </w:r>
      <w:r w:rsidRPr="00EB796E">
        <w:rPr>
          <w:b/>
          <w:bCs/>
          <w:sz w:val="21"/>
          <w:szCs w:val="21"/>
        </w:rPr>
        <w:t>RTO</w:t>
      </w:r>
      <w:r w:rsidRPr="00EB796E">
        <w:rPr>
          <w:sz w:val="21"/>
          <w:szCs w:val="21"/>
        </w:rPr>
        <w:t xml:space="preserve">) of </w:t>
      </w:r>
      <w:r w:rsidRPr="00EB796E">
        <w:rPr>
          <w:b/>
          <w:bCs/>
          <w:sz w:val="21"/>
          <w:szCs w:val="21"/>
        </w:rPr>
        <w:t xml:space="preserve">four (4) hours </w:t>
      </w:r>
      <w:r w:rsidRPr="00EB796E">
        <w:rPr>
          <w:sz w:val="21"/>
          <w:szCs w:val="21"/>
        </w:rPr>
        <w:t xml:space="preserve">-measured from the time that the Platform Services become unavailable until it is available again. Tavant commits to a </w:t>
      </w:r>
      <w:r w:rsidRPr="00EB796E">
        <w:rPr>
          <w:b/>
          <w:bCs/>
          <w:sz w:val="21"/>
          <w:szCs w:val="21"/>
        </w:rPr>
        <w:t xml:space="preserve">Recovery Point Objective </w:t>
      </w:r>
      <w:r w:rsidRPr="00EB796E">
        <w:rPr>
          <w:sz w:val="21"/>
          <w:szCs w:val="21"/>
        </w:rPr>
        <w:t>(</w:t>
      </w:r>
      <w:r w:rsidRPr="00EB796E">
        <w:rPr>
          <w:b/>
          <w:bCs/>
          <w:sz w:val="21"/>
          <w:szCs w:val="21"/>
        </w:rPr>
        <w:t>RPO</w:t>
      </w:r>
      <w:r w:rsidRPr="00EB796E">
        <w:rPr>
          <w:sz w:val="21"/>
          <w:szCs w:val="21"/>
        </w:rPr>
        <w:t xml:space="preserve">) of </w:t>
      </w:r>
      <w:r w:rsidRPr="00EB796E">
        <w:rPr>
          <w:b/>
          <w:bCs/>
          <w:sz w:val="21"/>
          <w:szCs w:val="21"/>
        </w:rPr>
        <w:t xml:space="preserve">thirty (30) minutes </w:t>
      </w:r>
      <w:r w:rsidRPr="00EB796E">
        <w:rPr>
          <w:sz w:val="21"/>
          <w:szCs w:val="21"/>
        </w:rPr>
        <w:t xml:space="preserve">- measured from the time that the first transaction is lost until the Platform Services became unavailable. </w:t>
      </w:r>
    </w:p>
    <w:p w14:paraId="6ADD95BA" w14:textId="77777777" w:rsidR="00EB796E" w:rsidRDefault="00EB796E" w:rsidP="000F5863">
      <w:pPr>
        <w:pStyle w:val="Default"/>
        <w:jc w:val="both"/>
        <w:rPr>
          <w:sz w:val="21"/>
          <w:szCs w:val="21"/>
        </w:rPr>
      </w:pPr>
    </w:p>
    <w:p w14:paraId="5F228433" w14:textId="773FEFC0" w:rsidR="00607BD8" w:rsidRPr="00EB796E" w:rsidRDefault="00607BD8" w:rsidP="000F5863">
      <w:pPr>
        <w:pStyle w:val="Default"/>
        <w:jc w:val="both"/>
        <w:rPr>
          <w:sz w:val="21"/>
          <w:szCs w:val="21"/>
        </w:rPr>
      </w:pPr>
      <w:r w:rsidRPr="00EB796E">
        <w:rPr>
          <w:sz w:val="21"/>
          <w:szCs w:val="21"/>
        </w:rPr>
        <w:t xml:space="preserve">10.2. Recovery Time Objective (RTO) refers to the maximum acceptable length of time that the Platform Services can be down after a failure or disaster occurs. </w:t>
      </w:r>
    </w:p>
    <w:p w14:paraId="518A96ED" w14:textId="77777777" w:rsidR="00EB796E" w:rsidRDefault="00EB796E" w:rsidP="000F5863">
      <w:pPr>
        <w:shd w:val="clear" w:color="auto" w:fill="FFFFFF" w:themeFill="background1"/>
        <w:jc w:val="both"/>
        <w:rPr>
          <w:sz w:val="21"/>
          <w:szCs w:val="21"/>
        </w:rPr>
      </w:pPr>
    </w:p>
    <w:p w14:paraId="4C54BDE1" w14:textId="7F4D3F84" w:rsidR="00690AD6" w:rsidRPr="00EB796E" w:rsidRDefault="00607BD8" w:rsidP="000F5863">
      <w:pPr>
        <w:shd w:val="clear" w:color="auto" w:fill="FFFFFF" w:themeFill="background1"/>
        <w:jc w:val="both"/>
        <w:rPr>
          <w:sz w:val="21"/>
          <w:szCs w:val="21"/>
        </w:rPr>
      </w:pPr>
      <w:r w:rsidRPr="00EB796E">
        <w:rPr>
          <w:sz w:val="21"/>
          <w:szCs w:val="21"/>
        </w:rPr>
        <w:t>10.3. Recovery Point Objective (RPO) refers to the point in time to which data must be recovered in order for the Platform Services to become available after a failure or disaster occurs.</w:t>
      </w:r>
    </w:p>
    <w:p w14:paraId="6A053854" w14:textId="77777777" w:rsidR="00690AD6" w:rsidRPr="00EB796E" w:rsidRDefault="00690AD6" w:rsidP="000B31A7">
      <w:pPr>
        <w:shd w:val="clear" w:color="auto" w:fill="FFFFFF" w:themeFill="background1"/>
        <w:rPr>
          <w:sz w:val="24"/>
          <w:szCs w:val="24"/>
        </w:rPr>
      </w:pPr>
    </w:p>
    <w:p w14:paraId="67E94A6C" w14:textId="77777777" w:rsidR="00607BD8" w:rsidRDefault="00607BD8" w:rsidP="00607BD8">
      <w:pPr>
        <w:shd w:val="clear" w:color="auto" w:fill="FFFFFF" w:themeFill="background1"/>
        <w:rPr>
          <w:sz w:val="21"/>
          <w:szCs w:val="21"/>
        </w:rPr>
      </w:pPr>
    </w:p>
    <w:p w14:paraId="7BD8FB08" w14:textId="77777777" w:rsidR="00607BD8" w:rsidRPr="00F62E3F" w:rsidRDefault="00607BD8" w:rsidP="00607BD8">
      <w:pPr>
        <w:pStyle w:val="BodyText"/>
        <w:shd w:val="clear" w:color="auto" w:fill="FFFFFF" w:themeFill="background1"/>
        <w:rPr>
          <w:sz w:val="21"/>
          <w:szCs w:val="21"/>
        </w:rPr>
      </w:pPr>
    </w:p>
    <w:tbl>
      <w:tblPr>
        <w:tblW w:w="0" w:type="auto"/>
        <w:tblLook w:val="01E0" w:firstRow="1" w:lastRow="1" w:firstColumn="1" w:lastColumn="1" w:noHBand="0" w:noVBand="0"/>
      </w:tblPr>
      <w:tblGrid>
        <w:gridCol w:w="4766"/>
        <w:gridCol w:w="4594"/>
      </w:tblGrid>
      <w:tr w:rsidR="00607BD8" w:rsidRPr="00FD42CA" w14:paraId="28FA79B3" w14:textId="77777777" w:rsidTr="00624226">
        <w:tc>
          <w:tcPr>
            <w:tcW w:w="4878" w:type="dxa"/>
          </w:tcPr>
          <w:p w14:paraId="4E234E07" w14:textId="77777777" w:rsidR="00607BD8" w:rsidRPr="00F62E3F" w:rsidRDefault="00607BD8" w:rsidP="00624226">
            <w:pPr>
              <w:pStyle w:val="BodyText"/>
              <w:shd w:val="clear" w:color="auto" w:fill="FFFFFF" w:themeFill="background1"/>
              <w:rPr>
                <w:b/>
                <w:sz w:val="21"/>
                <w:szCs w:val="21"/>
              </w:rPr>
            </w:pPr>
            <w:r>
              <w:rPr>
                <w:b/>
                <w:sz w:val="21"/>
                <w:szCs w:val="21"/>
              </w:rPr>
              <w:t>CUSTOMER</w:t>
            </w:r>
          </w:p>
          <w:p w14:paraId="3B754094" w14:textId="77777777" w:rsidR="00607BD8" w:rsidRPr="00F62E3F" w:rsidRDefault="00607BD8" w:rsidP="00624226">
            <w:pPr>
              <w:pStyle w:val="BodyText"/>
              <w:shd w:val="clear" w:color="auto" w:fill="FFFFFF" w:themeFill="background1"/>
              <w:rPr>
                <w:b/>
                <w:sz w:val="21"/>
                <w:szCs w:val="21"/>
              </w:rPr>
            </w:pPr>
          </w:p>
        </w:tc>
        <w:tc>
          <w:tcPr>
            <w:tcW w:w="4698" w:type="dxa"/>
          </w:tcPr>
          <w:p w14:paraId="1C3B4609" w14:textId="77777777" w:rsidR="00607BD8" w:rsidRPr="00F62E3F" w:rsidRDefault="00607BD8" w:rsidP="00624226">
            <w:pPr>
              <w:pStyle w:val="BodyText"/>
              <w:shd w:val="clear" w:color="auto" w:fill="FFFFFF" w:themeFill="background1"/>
              <w:rPr>
                <w:b/>
                <w:sz w:val="21"/>
                <w:szCs w:val="21"/>
              </w:rPr>
            </w:pPr>
            <w:r w:rsidRPr="00F62E3F">
              <w:rPr>
                <w:b/>
                <w:sz w:val="21"/>
                <w:szCs w:val="21"/>
              </w:rPr>
              <w:t xml:space="preserve">TAVANT </w:t>
            </w:r>
          </w:p>
        </w:tc>
      </w:tr>
      <w:tr w:rsidR="00607BD8" w:rsidRPr="00FD42CA" w14:paraId="1EC99678" w14:textId="77777777" w:rsidTr="00624226">
        <w:tc>
          <w:tcPr>
            <w:tcW w:w="4878" w:type="dxa"/>
          </w:tcPr>
          <w:p w14:paraId="2C1B84DF" w14:textId="77777777" w:rsidR="00607BD8" w:rsidRPr="00F62E3F" w:rsidRDefault="00607BD8" w:rsidP="00624226">
            <w:pPr>
              <w:shd w:val="clear" w:color="auto" w:fill="FFFFFF" w:themeFill="background1"/>
              <w:tabs>
                <w:tab w:val="right" w:pos="4454"/>
              </w:tabs>
              <w:rPr>
                <w:sz w:val="21"/>
                <w:szCs w:val="21"/>
              </w:rPr>
            </w:pPr>
            <w:r w:rsidRPr="00F62E3F">
              <w:rPr>
                <w:sz w:val="21"/>
                <w:szCs w:val="21"/>
              </w:rPr>
              <w:t xml:space="preserve">By: </w:t>
            </w:r>
            <w:r w:rsidRPr="00F62E3F">
              <w:rPr>
                <w:sz w:val="21"/>
                <w:szCs w:val="21"/>
                <w:u w:val="single"/>
              </w:rPr>
              <w:tab/>
            </w:r>
          </w:p>
        </w:tc>
        <w:tc>
          <w:tcPr>
            <w:tcW w:w="4698" w:type="dxa"/>
          </w:tcPr>
          <w:p w14:paraId="36C5255F" w14:textId="77777777" w:rsidR="00607BD8" w:rsidRPr="00F62E3F" w:rsidRDefault="00607BD8" w:rsidP="00624226">
            <w:pPr>
              <w:shd w:val="clear" w:color="auto" w:fill="FFFFFF" w:themeFill="background1"/>
              <w:tabs>
                <w:tab w:val="right" w:pos="4314"/>
              </w:tabs>
              <w:rPr>
                <w:sz w:val="21"/>
                <w:szCs w:val="21"/>
                <w:u w:val="single"/>
              </w:rPr>
            </w:pPr>
            <w:r w:rsidRPr="00F62E3F">
              <w:rPr>
                <w:sz w:val="21"/>
                <w:szCs w:val="21"/>
              </w:rPr>
              <w:t xml:space="preserve">By: </w:t>
            </w:r>
            <w:r w:rsidRPr="00F62E3F">
              <w:rPr>
                <w:sz w:val="21"/>
                <w:szCs w:val="21"/>
                <w:u w:val="single"/>
              </w:rPr>
              <w:tab/>
            </w:r>
          </w:p>
          <w:p w14:paraId="4437767E" w14:textId="77777777" w:rsidR="00607BD8" w:rsidRPr="00F62E3F" w:rsidRDefault="00607BD8" w:rsidP="00624226">
            <w:pPr>
              <w:shd w:val="clear" w:color="auto" w:fill="FFFFFF" w:themeFill="background1"/>
              <w:tabs>
                <w:tab w:val="right" w:pos="4314"/>
              </w:tabs>
              <w:rPr>
                <w:sz w:val="21"/>
                <w:szCs w:val="21"/>
              </w:rPr>
            </w:pPr>
          </w:p>
        </w:tc>
      </w:tr>
      <w:tr w:rsidR="00607BD8" w:rsidRPr="00FD42CA" w14:paraId="03758D88" w14:textId="77777777" w:rsidTr="00624226">
        <w:tc>
          <w:tcPr>
            <w:tcW w:w="4878" w:type="dxa"/>
          </w:tcPr>
          <w:p w14:paraId="369E3324" w14:textId="5EF83B44" w:rsidR="00607BD8" w:rsidRPr="00F62E3F" w:rsidRDefault="00607BD8" w:rsidP="00624226">
            <w:pPr>
              <w:shd w:val="clear" w:color="auto" w:fill="FFFFFF" w:themeFill="background1"/>
              <w:tabs>
                <w:tab w:val="right" w:pos="4454"/>
              </w:tabs>
              <w:rPr>
                <w:sz w:val="21"/>
                <w:szCs w:val="21"/>
              </w:rPr>
            </w:pPr>
            <w:r w:rsidRPr="00F62E3F">
              <w:rPr>
                <w:sz w:val="21"/>
                <w:szCs w:val="21"/>
              </w:rPr>
              <w:t>Name:</w:t>
            </w:r>
            <w:r w:rsidR="0070526C">
              <w:rPr>
                <w:sz w:val="21"/>
                <w:szCs w:val="21"/>
              </w:rPr>
              <w:t xml:space="preserve"> Chuck Iverson</w:t>
            </w:r>
          </w:p>
        </w:tc>
        <w:tc>
          <w:tcPr>
            <w:tcW w:w="4698" w:type="dxa"/>
          </w:tcPr>
          <w:p w14:paraId="6E1CB2BC" w14:textId="77777777" w:rsidR="00607BD8" w:rsidRPr="00F62E3F" w:rsidRDefault="00607BD8" w:rsidP="00624226">
            <w:pPr>
              <w:shd w:val="clear" w:color="auto" w:fill="FFFFFF" w:themeFill="background1"/>
              <w:tabs>
                <w:tab w:val="right" w:pos="4302"/>
              </w:tabs>
              <w:rPr>
                <w:sz w:val="21"/>
                <w:szCs w:val="21"/>
                <w:u w:val="single"/>
              </w:rPr>
            </w:pPr>
            <w:r w:rsidRPr="00F62E3F">
              <w:rPr>
                <w:sz w:val="21"/>
                <w:szCs w:val="21"/>
              </w:rPr>
              <w:t>Name:</w:t>
            </w:r>
            <w:r w:rsidRPr="00F62E3F">
              <w:rPr>
                <w:sz w:val="21"/>
                <w:szCs w:val="21"/>
                <w:u w:val="single"/>
              </w:rPr>
              <w:t xml:space="preserve"> Sesha Devana </w:t>
            </w:r>
          </w:p>
          <w:p w14:paraId="5E01BB26" w14:textId="77777777" w:rsidR="00607BD8" w:rsidRPr="00F62E3F" w:rsidRDefault="00607BD8" w:rsidP="00624226">
            <w:pPr>
              <w:shd w:val="clear" w:color="auto" w:fill="FFFFFF" w:themeFill="background1"/>
              <w:tabs>
                <w:tab w:val="right" w:pos="4302"/>
              </w:tabs>
              <w:rPr>
                <w:sz w:val="21"/>
                <w:szCs w:val="21"/>
              </w:rPr>
            </w:pPr>
          </w:p>
        </w:tc>
      </w:tr>
      <w:tr w:rsidR="00607BD8" w:rsidRPr="00FD42CA" w14:paraId="40677BEC" w14:textId="77777777" w:rsidTr="00624226">
        <w:tc>
          <w:tcPr>
            <w:tcW w:w="4878" w:type="dxa"/>
          </w:tcPr>
          <w:p w14:paraId="4FC33D06" w14:textId="3DBCBD59" w:rsidR="00607BD8" w:rsidRPr="00F62E3F" w:rsidRDefault="00607BD8" w:rsidP="00624226">
            <w:pPr>
              <w:shd w:val="clear" w:color="auto" w:fill="FFFFFF" w:themeFill="background1"/>
              <w:tabs>
                <w:tab w:val="right" w:pos="4454"/>
              </w:tabs>
              <w:rPr>
                <w:sz w:val="21"/>
                <w:szCs w:val="21"/>
              </w:rPr>
            </w:pPr>
            <w:r w:rsidRPr="00F62E3F">
              <w:rPr>
                <w:sz w:val="21"/>
                <w:szCs w:val="21"/>
              </w:rPr>
              <w:t>Title:</w:t>
            </w:r>
            <w:r w:rsidR="0070526C">
              <w:rPr>
                <w:sz w:val="21"/>
                <w:szCs w:val="21"/>
              </w:rPr>
              <w:t xml:space="preserve"> President</w:t>
            </w:r>
          </w:p>
        </w:tc>
        <w:tc>
          <w:tcPr>
            <w:tcW w:w="4698" w:type="dxa"/>
          </w:tcPr>
          <w:p w14:paraId="1008E5E0" w14:textId="77777777" w:rsidR="00607BD8" w:rsidRPr="00F62E3F" w:rsidRDefault="00607BD8" w:rsidP="00624226">
            <w:pPr>
              <w:shd w:val="clear" w:color="auto" w:fill="FFFFFF" w:themeFill="background1"/>
              <w:tabs>
                <w:tab w:val="right" w:pos="4302"/>
              </w:tabs>
              <w:rPr>
                <w:sz w:val="21"/>
                <w:szCs w:val="21"/>
              </w:rPr>
            </w:pPr>
            <w:r w:rsidRPr="00F62E3F">
              <w:rPr>
                <w:sz w:val="21"/>
                <w:szCs w:val="21"/>
              </w:rPr>
              <w:t>Title:</w:t>
            </w:r>
            <w:r w:rsidRPr="00F62E3F">
              <w:rPr>
                <w:sz w:val="21"/>
                <w:szCs w:val="21"/>
                <w:u w:val="single"/>
              </w:rPr>
              <w:t xml:space="preserve"> CFO</w:t>
            </w:r>
          </w:p>
        </w:tc>
      </w:tr>
    </w:tbl>
    <w:p w14:paraId="5D09D364" w14:textId="57605609" w:rsidR="00607BD8" w:rsidRPr="00F62E3F" w:rsidRDefault="00607BD8" w:rsidP="00607BD8">
      <w:pPr>
        <w:shd w:val="clear" w:color="auto" w:fill="FFFFFF" w:themeFill="background1"/>
        <w:rPr>
          <w:sz w:val="21"/>
          <w:szCs w:val="21"/>
        </w:rPr>
        <w:sectPr w:rsidR="00607BD8" w:rsidRPr="00F62E3F" w:rsidSect="00607B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26"/>
        </w:sectPr>
      </w:pPr>
    </w:p>
    <w:p w14:paraId="5B596070" w14:textId="77777777" w:rsidR="0070526C" w:rsidRPr="00F62E3F" w:rsidRDefault="0070526C" w:rsidP="0070526C">
      <w:pPr>
        <w:widowControl/>
        <w:shd w:val="clear" w:color="auto" w:fill="FFFFFF" w:themeFill="background1"/>
        <w:overflowPunct/>
        <w:autoSpaceDE/>
        <w:autoSpaceDN/>
        <w:adjustRightInd/>
        <w:jc w:val="center"/>
        <w:textAlignment w:val="auto"/>
        <w:rPr>
          <w:b/>
          <w:sz w:val="21"/>
          <w:szCs w:val="21"/>
        </w:rPr>
      </w:pPr>
      <w:r w:rsidRPr="00F62E3F">
        <w:rPr>
          <w:b/>
          <w:sz w:val="21"/>
          <w:szCs w:val="21"/>
        </w:rPr>
        <w:lastRenderedPageBreak/>
        <w:t xml:space="preserve">EXHIBIT </w:t>
      </w:r>
      <w:r>
        <w:rPr>
          <w:b/>
          <w:sz w:val="21"/>
          <w:szCs w:val="21"/>
        </w:rPr>
        <w:t>C</w:t>
      </w:r>
    </w:p>
    <w:p w14:paraId="0ED58ED2" w14:textId="77777777" w:rsidR="0070526C" w:rsidRDefault="0070526C" w:rsidP="0070526C">
      <w:pPr>
        <w:widowControl/>
        <w:shd w:val="clear" w:color="auto" w:fill="FFFFFF" w:themeFill="background1"/>
        <w:overflowPunct/>
        <w:autoSpaceDE/>
        <w:autoSpaceDN/>
        <w:adjustRightInd/>
        <w:jc w:val="center"/>
        <w:textAlignment w:val="auto"/>
        <w:rPr>
          <w:b/>
          <w:sz w:val="21"/>
          <w:szCs w:val="21"/>
        </w:rPr>
      </w:pPr>
      <w:r>
        <w:rPr>
          <w:b/>
          <w:sz w:val="21"/>
          <w:szCs w:val="21"/>
        </w:rPr>
        <w:t xml:space="preserve">PLATFORM DATA </w:t>
      </w:r>
      <w:r w:rsidRPr="00F62E3F">
        <w:rPr>
          <w:b/>
          <w:sz w:val="21"/>
          <w:szCs w:val="21"/>
        </w:rPr>
        <w:t xml:space="preserve"> </w:t>
      </w:r>
      <w:r>
        <w:rPr>
          <w:b/>
          <w:sz w:val="21"/>
          <w:szCs w:val="21"/>
        </w:rPr>
        <w:t xml:space="preserve"> SECURITY</w:t>
      </w:r>
    </w:p>
    <w:p w14:paraId="31D4BCF8" w14:textId="77777777" w:rsidR="0070526C" w:rsidRDefault="0070526C" w:rsidP="0070526C">
      <w:pPr>
        <w:widowControl/>
        <w:shd w:val="clear" w:color="auto" w:fill="FFFFFF" w:themeFill="background1"/>
        <w:overflowPunct/>
        <w:autoSpaceDE/>
        <w:autoSpaceDN/>
        <w:adjustRightInd/>
        <w:jc w:val="center"/>
        <w:textAlignment w:val="auto"/>
        <w:rPr>
          <w:b/>
          <w:sz w:val="21"/>
          <w:szCs w:val="21"/>
        </w:rPr>
      </w:pPr>
    </w:p>
    <w:p w14:paraId="49625627" w14:textId="77777777" w:rsidR="0070526C" w:rsidRDefault="0070526C" w:rsidP="0070526C">
      <w:pPr>
        <w:widowControl/>
        <w:shd w:val="clear" w:color="auto" w:fill="FFFFFF" w:themeFill="background1"/>
        <w:overflowPunct/>
        <w:autoSpaceDE/>
        <w:autoSpaceDN/>
        <w:adjustRightInd/>
        <w:jc w:val="center"/>
        <w:textAlignment w:val="auto"/>
        <w:rPr>
          <w:b/>
          <w:sz w:val="21"/>
          <w:szCs w:val="21"/>
        </w:rPr>
      </w:pPr>
    </w:p>
    <w:p w14:paraId="5C8FEAC3" w14:textId="02B7787A" w:rsidR="0070526C" w:rsidRPr="00984DF2" w:rsidRDefault="0070526C" w:rsidP="0070526C">
      <w:pPr>
        <w:pStyle w:val="ListParagraph"/>
        <w:tabs>
          <w:tab w:val="left" w:pos="-720"/>
        </w:tabs>
        <w:suppressAutoHyphens/>
        <w:spacing w:after="120" w:line="240" w:lineRule="atLeast"/>
        <w:ind w:left="450"/>
        <w:contextualSpacing w:val="0"/>
        <w:jc w:val="both"/>
        <w:rPr>
          <w:rFonts w:eastAsia="MS Mincho"/>
          <w:sz w:val="21"/>
          <w:szCs w:val="21"/>
          <w:lang w:val="en-GB"/>
        </w:rPr>
      </w:pPr>
      <w:r w:rsidRPr="00984DF2">
        <w:rPr>
          <w:bCs/>
          <w:sz w:val="21"/>
          <w:szCs w:val="21"/>
        </w:rPr>
        <w:t xml:space="preserve">This Platform Data Security </w:t>
      </w:r>
      <w:r w:rsidRPr="00984DF2">
        <w:rPr>
          <w:sz w:val="21"/>
          <w:szCs w:val="21"/>
        </w:rPr>
        <w:t xml:space="preserve">document </w:t>
      </w:r>
      <w:r>
        <w:rPr>
          <w:sz w:val="21"/>
          <w:szCs w:val="21"/>
        </w:rPr>
        <w:t>(“</w:t>
      </w:r>
      <w:r w:rsidRPr="00984DF2">
        <w:rPr>
          <w:b/>
          <w:bCs/>
          <w:sz w:val="21"/>
          <w:szCs w:val="21"/>
        </w:rPr>
        <w:t>Exhibit C</w:t>
      </w:r>
      <w:r>
        <w:rPr>
          <w:sz w:val="21"/>
          <w:szCs w:val="21"/>
        </w:rPr>
        <w:t>”)</w:t>
      </w:r>
      <w:r w:rsidR="001B4109">
        <w:rPr>
          <w:sz w:val="21"/>
          <w:szCs w:val="21"/>
        </w:rPr>
        <w:t xml:space="preserve"> </w:t>
      </w:r>
      <w:r w:rsidRPr="00984DF2">
        <w:rPr>
          <w:sz w:val="21"/>
          <w:szCs w:val="21"/>
        </w:rPr>
        <w:t xml:space="preserve">outlines Tavant’s data </w:t>
      </w:r>
      <w:r w:rsidRPr="00984DF2">
        <w:rPr>
          <w:rFonts w:eastAsia="MS Mincho"/>
          <w:sz w:val="21"/>
          <w:szCs w:val="21"/>
          <w:lang w:val="en-GB"/>
        </w:rPr>
        <w:t>protection, privacy and security obligations with respect to Customer Data accessed and used in the provision of Platform Services and Professional Services pursuant to the Tavant Technologies Platform Services Agreement (“</w:t>
      </w:r>
      <w:r w:rsidRPr="00984DF2">
        <w:rPr>
          <w:rFonts w:eastAsia="MS Mincho"/>
          <w:b/>
          <w:bCs/>
          <w:sz w:val="21"/>
          <w:szCs w:val="21"/>
          <w:lang w:val="en-GB"/>
        </w:rPr>
        <w:t>Agreement</w:t>
      </w:r>
      <w:r w:rsidRPr="00984DF2">
        <w:rPr>
          <w:rFonts w:eastAsia="MS Mincho"/>
          <w:sz w:val="21"/>
          <w:szCs w:val="21"/>
          <w:lang w:val="en-GB"/>
        </w:rPr>
        <w:t xml:space="preserve">”) dated </w:t>
      </w:r>
      <w:r w:rsidR="001B4109">
        <w:rPr>
          <w:rFonts w:eastAsia="MS Mincho"/>
          <w:sz w:val="21"/>
          <w:szCs w:val="21"/>
          <w:lang w:val="en-GB"/>
        </w:rPr>
        <w:t>_____</w:t>
      </w:r>
      <w:r w:rsidRPr="00984DF2">
        <w:rPr>
          <w:rFonts w:eastAsia="MS Mincho"/>
          <w:sz w:val="21"/>
          <w:szCs w:val="21"/>
          <w:lang w:val="en-GB"/>
        </w:rPr>
        <w:t xml:space="preserve"> between the Parties.</w:t>
      </w:r>
    </w:p>
    <w:p w14:paraId="182E1774" w14:textId="77777777" w:rsidR="0070526C" w:rsidRPr="00984DF2" w:rsidRDefault="0070526C" w:rsidP="0070526C">
      <w:pPr>
        <w:pStyle w:val="ListParagraph"/>
        <w:widowControl/>
        <w:numPr>
          <w:ilvl w:val="0"/>
          <w:numId w:val="21"/>
        </w:numPr>
        <w:tabs>
          <w:tab w:val="left" w:pos="-720"/>
        </w:tabs>
        <w:suppressAutoHyphens/>
        <w:overflowPunct/>
        <w:autoSpaceDE/>
        <w:autoSpaceDN/>
        <w:adjustRightInd/>
        <w:spacing w:after="120" w:line="240" w:lineRule="atLeast"/>
        <w:ind w:left="450" w:firstLine="0"/>
        <w:contextualSpacing w:val="0"/>
        <w:jc w:val="both"/>
        <w:textAlignment w:val="auto"/>
        <w:rPr>
          <w:rFonts w:eastAsia="MS Mincho"/>
          <w:sz w:val="21"/>
          <w:szCs w:val="21"/>
          <w:u w:val="single"/>
        </w:rPr>
      </w:pPr>
      <w:r w:rsidRPr="00984DF2">
        <w:rPr>
          <w:rFonts w:eastAsia="MS Mincho"/>
          <w:sz w:val="21"/>
          <w:szCs w:val="21"/>
          <w:u w:val="single"/>
        </w:rPr>
        <w:t>Definitions</w:t>
      </w:r>
    </w:p>
    <w:p w14:paraId="3B468419" w14:textId="77777777" w:rsidR="0070526C" w:rsidRPr="00984DF2" w:rsidRDefault="0070526C" w:rsidP="0070526C">
      <w:pPr>
        <w:tabs>
          <w:tab w:val="left" w:pos="-720"/>
        </w:tabs>
        <w:suppressAutoHyphens/>
        <w:spacing w:line="240" w:lineRule="atLeast"/>
        <w:ind w:left="720"/>
        <w:jc w:val="both"/>
        <w:rPr>
          <w:rFonts w:eastAsia="MS Mincho"/>
          <w:sz w:val="21"/>
          <w:szCs w:val="21"/>
        </w:rPr>
      </w:pPr>
      <w:r w:rsidRPr="00984DF2">
        <w:rPr>
          <w:rFonts w:eastAsia="MS Mincho"/>
          <w:sz w:val="21"/>
          <w:szCs w:val="21"/>
        </w:rPr>
        <w:t>Capitalized terms not otherwise defined herein have the meaning given to them in the Agreement.  Additionally, the following terms will have the meanings set forth below:</w:t>
      </w:r>
    </w:p>
    <w:p w14:paraId="1B468D73" w14:textId="77777777" w:rsidR="0070526C" w:rsidRPr="00984DF2" w:rsidRDefault="0070526C" w:rsidP="0070526C">
      <w:pPr>
        <w:tabs>
          <w:tab w:val="left" w:pos="540"/>
        </w:tabs>
        <w:spacing w:line="240" w:lineRule="atLeast"/>
        <w:ind w:left="1260" w:hanging="540"/>
        <w:jc w:val="both"/>
        <w:rPr>
          <w:rFonts w:eastAsia="MS Mincho"/>
          <w:sz w:val="21"/>
          <w:szCs w:val="21"/>
          <w:lang w:val="en-GB"/>
        </w:rPr>
      </w:pPr>
    </w:p>
    <w:p w14:paraId="7CAD2A7F"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w:t>
      </w:r>
      <w:r w:rsidRPr="00984DF2">
        <w:rPr>
          <w:rFonts w:eastAsia="MS Mincho"/>
          <w:b/>
          <w:bCs/>
          <w:sz w:val="21"/>
          <w:szCs w:val="21"/>
          <w:lang w:val="en-GB"/>
        </w:rPr>
        <w:t>Information Security Program</w:t>
      </w:r>
      <w:r w:rsidRPr="00984DF2">
        <w:rPr>
          <w:rFonts w:eastAsia="MS Mincho"/>
          <w:sz w:val="21"/>
          <w:szCs w:val="21"/>
          <w:lang w:val="en-GB"/>
        </w:rPr>
        <w:t>” means appropriate measures designed to safeguard Customer Data.</w:t>
      </w:r>
    </w:p>
    <w:p w14:paraId="1A445368"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4A408DA1"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w:t>
      </w:r>
      <w:r w:rsidRPr="00984DF2">
        <w:rPr>
          <w:rFonts w:eastAsia="MS Mincho"/>
          <w:b/>
          <w:bCs/>
          <w:sz w:val="21"/>
          <w:szCs w:val="21"/>
          <w:lang w:val="en-GB"/>
        </w:rPr>
        <w:t>Privacy Requirements</w:t>
      </w:r>
      <w:r w:rsidRPr="00984DF2">
        <w:rPr>
          <w:rFonts w:eastAsia="MS Mincho"/>
          <w:sz w:val="21"/>
          <w:szCs w:val="21"/>
          <w:lang w:val="en-GB"/>
        </w:rPr>
        <w:t>” means all applicable privacy laws (any and all federal, state and local statues, regulations and rules applicable to the protection and privacy of Customer Data), including but not limited to the privacy provisions of the GLBA or by any applicable guidelines issued pursuant thereto.</w:t>
      </w:r>
    </w:p>
    <w:p w14:paraId="298632F4"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1C5D8FD6"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b/>
          <w:sz w:val="21"/>
          <w:szCs w:val="21"/>
          <w:lang w:val="en-GB"/>
        </w:rPr>
        <w:t>“Process” or “Processing”</w:t>
      </w:r>
      <w:r w:rsidRPr="00984DF2">
        <w:rPr>
          <w:rFonts w:eastAsia="MS Mincho"/>
          <w:sz w:val="21"/>
          <w:szCs w:val="21"/>
          <w:lang w:val="en-GB"/>
        </w:rPr>
        <w:t xml:space="preserve"> is any operation or set of operations, whether or not by automatic means, such as collection, recording, organization, storage, adaptation or alteration, retrieval, accessing, consultation, use, disclosure by transmission, dissemination or otherwise making available, alignment or combination, blocking, erasure or destruction.</w:t>
      </w:r>
    </w:p>
    <w:p w14:paraId="4C63CC60" w14:textId="77777777" w:rsidR="0070526C" w:rsidRPr="00984DF2" w:rsidRDefault="0070526C" w:rsidP="0070526C">
      <w:pPr>
        <w:tabs>
          <w:tab w:val="left" w:pos="540"/>
        </w:tabs>
        <w:spacing w:line="240" w:lineRule="atLeast"/>
        <w:ind w:left="1260" w:hanging="540"/>
        <w:jc w:val="both"/>
        <w:rPr>
          <w:rFonts w:eastAsia="MS Mincho"/>
          <w:sz w:val="21"/>
          <w:szCs w:val="21"/>
          <w:lang w:val="en-GB"/>
        </w:rPr>
      </w:pPr>
    </w:p>
    <w:p w14:paraId="2BA44B3A"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b/>
          <w:sz w:val="21"/>
          <w:szCs w:val="21"/>
          <w:lang w:val="en-GB"/>
        </w:rPr>
        <w:t>“Data Incident”</w:t>
      </w:r>
      <w:r w:rsidRPr="00984DF2">
        <w:rPr>
          <w:rFonts w:eastAsia="MS Mincho"/>
          <w:sz w:val="21"/>
          <w:szCs w:val="21"/>
          <w:lang w:val="en-GB"/>
        </w:rPr>
        <w:t xml:space="preserve"> is any event involving an actual or suspected compromise of the security, confidentiality or integrity of the Customer Data, including but not limited to any unauthorized or accidental access, use, disclosure or destruction, or any broader circumstances as defined in any applicable local law.  </w:t>
      </w:r>
    </w:p>
    <w:p w14:paraId="58E6CD6E" w14:textId="77777777" w:rsidR="0070526C" w:rsidRPr="00984DF2" w:rsidRDefault="0070526C" w:rsidP="0070526C">
      <w:pPr>
        <w:tabs>
          <w:tab w:val="left" w:pos="540"/>
        </w:tabs>
        <w:spacing w:line="240" w:lineRule="atLeast"/>
        <w:jc w:val="both"/>
        <w:rPr>
          <w:rFonts w:eastAsia="MS Mincho"/>
          <w:sz w:val="21"/>
          <w:szCs w:val="21"/>
          <w:highlight w:val="yellow"/>
          <w:lang w:val="en-GB"/>
        </w:rPr>
      </w:pPr>
    </w:p>
    <w:p w14:paraId="2963DB3D" w14:textId="77777777" w:rsidR="0070526C" w:rsidRPr="00984DF2" w:rsidRDefault="0070526C" w:rsidP="0070526C">
      <w:pPr>
        <w:pStyle w:val="ListParagraph"/>
        <w:widowControl/>
        <w:numPr>
          <w:ilvl w:val="0"/>
          <w:numId w:val="21"/>
        </w:numPr>
        <w:tabs>
          <w:tab w:val="left" w:pos="-720"/>
        </w:tabs>
        <w:suppressAutoHyphens/>
        <w:overflowPunct/>
        <w:autoSpaceDE/>
        <w:autoSpaceDN/>
        <w:adjustRightInd/>
        <w:spacing w:after="120" w:line="240" w:lineRule="atLeast"/>
        <w:ind w:left="450" w:firstLine="0"/>
        <w:contextualSpacing w:val="0"/>
        <w:jc w:val="both"/>
        <w:textAlignment w:val="auto"/>
        <w:rPr>
          <w:rFonts w:eastAsia="MS Mincho"/>
          <w:sz w:val="21"/>
          <w:szCs w:val="21"/>
          <w:u w:val="single"/>
          <w:lang w:val="en-GB"/>
        </w:rPr>
      </w:pPr>
      <w:r w:rsidRPr="00984DF2">
        <w:rPr>
          <w:rFonts w:eastAsia="MS Mincho"/>
          <w:sz w:val="21"/>
          <w:szCs w:val="21"/>
          <w:u w:val="single"/>
        </w:rPr>
        <w:t>Customer Data</w:t>
      </w:r>
      <w:r w:rsidRPr="00984DF2">
        <w:rPr>
          <w:rFonts w:eastAsia="MS Mincho"/>
          <w:sz w:val="21"/>
          <w:szCs w:val="21"/>
          <w:u w:val="single"/>
          <w:lang w:val="en-GB"/>
        </w:rPr>
        <w:t xml:space="preserve"> Protection</w:t>
      </w:r>
      <w:r w:rsidRPr="00984DF2">
        <w:rPr>
          <w:rFonts w:eastAsia="MS Mincho"/>
          <w:sz w:val="21"/>
          <w:szCs w:val="21"/>
          <w:lang w:val="en-GB"/>
        </w:rPr>
        <w:t xml:space="preserve"> </w:t>
      </w:r>
    </w:p>
    <w:p w14:paraId="76DE8AAC"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527AEEAE"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 xml:space="preserve">Tavant represents and warrants that it will comply with the Privacy Requirements. </w:t>
      </w:r>
    </w:p>
    <w:p w14:paraId="51236F56"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5773262F"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Tavant shall treat Customer Data with the utmost care and confidentiality during and following the term of th</w:t>
      </w:r>
      <w:r>
        <w:rPr>
          <w:rFonts w:eastAsia="MS Mincho"/>
          <w:sz w:val="21"/>
          <w:szCs w:val="21"/>
          <w:lang w:val="en-GB"/>
        </w:rPr>
        <w:t>e</w:t>
      </w:r>
      <w:r w:rsidRPr="00984DF2">
        <w:rPr>
          <w:rFonts w:eastAsia="MS Mincho"/>
          <w:sz w:val="21"/>
          <w:szCs w:val="21"/>
          <w:lang w:val="en-GB"/>
        </w:rPr>
        <w:t xml:space="preserve"> Agreement.  As such, Tavant agrees that it will use the highest degree of care to protect the security, integrity and confidentiality of Customer Data.</w:t>
      </w:r>
    </w:p>
    <w:p w14:paraId="778CC126"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6DDAB41B"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The Parties agree that if Tavant is required under the terms and conditions of th</w:t>
      </w:r>
      <w:r>
        <w:rPr>
          <w:rFonts w:eastAsia="MS Mincho"/>
          <w:sz w:val="21"/>
          <w:szCs w:val="21"/>
          <w:lang w:val="en-GB"/>
        </w:rPr>
        <w:t>e</w:t>
      </w:r>
      <w:r w:rsidRPr="00984DF2">
        <w:rPr>
          <w:rFonts w:eastAsia="MS Mincho"/>
          <w:sz w:val="21"/>
          <w:szCs w:val="21"/>
          <w:lang w:val="en-GB"/>
        </w:rPr>
        <w:t xml:space="preserve"> Agreement and in furtherance thereof to transfer any Customer Data, Tavant will: (</w:t>
      </w:r>
      <w:proofErr w:type="spellStart"/>
      <w:r w:rsidRPr="00984DF2">
        <w:rPr>
          <w:rFonts w:eastAsia="MS Mincho"/>
          <w:sz w:val="21"/>
          <w:szCs w:val="21"/>
          <w:lang w:val="en-GB"/>
        </w:rPr>
        <w:t>i</w:t>
      </w:r>
      <w:proofErr w:type="spellEnd"/>
      <w:r w:rsidRPr="00984DF2">
        <w:rPr>
          <w:rFonts w:eastAsia="MS Mincho"/>
          <w:sz w:val="21"/>
          <w:szCs w:val="21"/>
          <w:lang w:val="en-GB"/>
        </w:rPr>
        <w:t>) obtain a written authorization from the Customer to transfer Customer Data to the third-party transferee; (ii) obtain a written agreement from the third-party transferee that such party (a) will use a high degree of care to protect the confidentiality and integrity of any Customer Data transferred to it, (b) will use said Customer Data only for the purposes that are necessary to carry out the aims and goals of th</w:t>
      </w:r>
      <w:r>
        <w:rPr>
          <w:rFonts w:eastAsia="MS Mincho"/>
          <w:sz w:val="21"/>
          <w:szCs w:val="21"/>
          <w:lang w:val="en-GB"/>
        </w:rPr>
        <w:t>e</w:t>
      </w:r>
      <w:r w:rsidRPr="00984DF2">
        <w:rPr>
          <w:rFonts w:eastAsia="MS Mincho"/>
          <w:sz w:val="21"/>
          <w:szCs w:val="21"/>
          <w:lang w:val="en-GB"/>
        </w:rPr>
        <w:t xml:space="preserve"> Agreement and such objectives as may be agreed upon, (c) will not transfer the Customer Data further, (d) will notify </w:t>
      </w:r>
      <w:r w:rsidRPr="00984DF2">
        <w:rPr>
          <w:rFonts w:eastAsia="MS Mincho"/>
          <w:sz w:val="21"/>
          <w:szCs w:val="21"/>
          <w:lang w:val="en-GB"/>
        </w:rPr>
        <w:lastRenderedPageBreak/>
        <w:t>Tavant of any breach in security resulting in an unauthorized intrusion into Customer's Data, customer information, and/or information systems within 48 hours  after the breach is discovered, (e) has a formal information security policy that addresses (a) – (d) above. Tavant agrees to provide its information security policy to Customer upon Customer’s reasonable written request.</w:t>
      </w:r>
    </w:p>
    <w:p w14:paraId="7A3C5FD3"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793510C5"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To the extent Customer Data includes Customer “personal information” as that term is defined in the California Consumer Privacy Act of 2018 and its amendment(s), Tavant is prohibited from retaining, using, or disclosing that personal information for any purpose other than for the specific purpose of performing the services specified in th</w:t>
      </w:r>
      <w:r>
        <w:rPr>
          <w:rFonts w:eastAsia="MS Mincho"/>
          <w:sz w:val="21"/>
          <w:szCs w:val="21"/>
          <w:lang w:val="en-GB"/>
        </w:rPr>
        <w:t>e</w:t>
      </w:r>
      <w:r w:rsidRPr="00984DF2">
        <w:rPr>
          <w:rFonts w:eastAsia="MS Mincho"/>
          <w:sz w:val="21"/>
          <w:szCs w:val="21"/>
          <w:lang w:val="en-GB"/>
        </w:rPr>
        <w:t xml:space="preserve"> Agreement, including retaining, using, or disclosing the personal information for a commercial purpose other than providing the services specified in the contract.</w:t>
      </w:r>
    </w:p>
    <w:p w14:paraId="03D13DCC"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0D3C61B3"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Safeguarding Customer Data.  Tavant shall maintain at all times an Information Security Program which includes access controls on information systems; access restrictions at physical locations containing Personal Data; encryption of electronic Personal Data; monitoring systems to detect actual and attempted attacks on or intrusions into information systems; response programs; measures to protect against destruction, loss or damage of Personal Data; and background checks for employees, subcontractors, agents, and consultants with responsibilities for or access to Personal Data, which background checks shall include verification of identity including Social Security Number, criminal background check, prior employment and secondary education verification, and a Sanctions List Search through the Office of Foreign Assets Control.</w:t>
      </w:r>
    </w:p>
    <w:p w14:paraId="607CD868" w14:textId="77777777" w:rsidR="0070526C" w:rsidRPr="00984DF2" w:rsidRDefault="0070526C" w:rsidP="0070526C">
      <w:pPr>
        <w:pStyle w:val="ListParagraph"/>
        <w:tabs>
          <w:tab w:val="left" w:pos="540"/>
        </w:tabs>
        <w:spacing w:line="240" w:lineRule="atLeast"/>
        <w:ind w:left="1260" w:hanging="540"/>
        <w:jc w:val="both"/>
        <w:rPr>
          <w:rFonts w:eastAsia="MS Mincho"/>
          <w:sz w:val="21"/>
          <w:szCs w:val="21"/>
          <w:lang w:val="en-GB"/>
        </w:rPr>
      </w:pPr>
    </w:p>
    <w:p w14:paraId="3086F974" w14:textId="77777777" w:rsidR="0070526C" w:rsidRPr="00984DF2" w:rsidRDefault="0070526C" w:rsidP="0070526C">
      <w:pPr>
        <w:pStyle w:val="ListParagraph"/>
        <w:numPr>
          <w:ilvl w:val="1"/>
          <w:numId w:val="21"/>
        </w:numPr>
        <w:ind w:left="1260" w:hanging="540"/>
        <w:jc w:val="both"/>
        <w:rPr>
          <w:rFonts w:eastAsia="MS Mincho"/>
          <w:sz w:val="21"/>
          <w:szCs w:val="21"/>
          <w:lang w:val="en-GB"/>
        </w:rPr>
      </w:pPr>
      <w:r w:rsidRPr="00984DF2">
        <w:rPr>
          <w:rFonts w:eastAsia="MS Mincho"/>
          <w:sz w:val="21"/>
          <w:szCs w:val="21"/>
          <w:lang w:val="en-GB"/>
        </w:rPr>
        <w:t>Tavant shall continuously assess, manage, and control risks relating to the security and confidentiality of Customer Data, and shall implement the standards relating to such risks in the manner set forth herein and pursuant to the Interagency Guidelines Establishing Information Security Standards, section 216 of the Fair and Accurate Transaction Act (including its implementing regulations) as well as any amendments thereto or other applicable regulations regarding safeguarding information enacted or released by any regulatory agency having jurisdiction over Tavant. Tavant also stipulates that its Information Security Program and security protocols contained therein shall be regularly reviewed and validated by an independent party.</w:t>
      </w:r>
    </w:p>
    <w:p w14:paraId="451CB1A7"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78D83DB0"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 xml:space="preserve">Discovery of Data Incident.  In the event a Data Incident, Tavant agrees to promptly notify Customer of the facts and circumstances surrounding the breach, unauthorized use, disclosure or access and the effects thereof by telephone at and email at vendormanagement@guildmortgage.net. Prompt notice in this section means that Tavant shall notify Customer no later than 48 hours after a determination that a Data Incident may have occurred. Tavant’s notice to Customer must describe both the incident and the information that was the subject of unauthorized use, disclosure or access. Tavant further agrees to immediately take corrective action to stop the unauthorized use, disclosure or access </w:t>
      </w:r>
      <w:r w:rsidRPr="00984DF2">
        <w:rPr>
          <w:rFonts w:eastAsia="MS Mincho"/>
          <w:sz w:val="21"/>
          <w:szCs w:val="21"/>
        </w:rPr>
        <w:t>and shall, in addition: (x) cooperate and assist Customer with any investigation into any such breach or alleged breach; (y) comply with Customer’s determinations regarding’s obligations to mitigate to the extent practicable any potential harm to the individuals impacted by the breach (including providing up to six (6) months of credit monitoring for affected individuals); and (z) assist with the implementation of any decision by Customer or any governmental agency to notify individuals impacted or potentially impacted by such breach</w:t>
      </w:r>
      <w:r w:rsidRPr="00984DF2">
        <w:rPr>
          <w:rFonts w:eastAsia="MS Mincho"/>
          <w:sz w:val="21"/>
          <w:szCs w:val="21"/>
          <w:lang w:val="en-GB"/>
        </w:rPr>
        <w:t>.</w:t>
      </w:r>
    </w:p>
    <w:p w14:paraId="1AC389F7"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5A909A7A"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 xml:space="preserve">Audit. At reasonable times during regular business hours, Tavant shall provide to Customer commercially reasonable information, documentation and access to its information security systems as pertains to Customer Data.  Customer may review audits (e.g., SOC 2 Type 2), summaries of test results, or other equivalent evaluations of the Individual/ Tavant as part of Customer’s monitoring program. </w:t>
      </w:r>
      <w:r w:rsidRPr="00984DF2">
        <w:rPr>
          <w:rFonts w:eastAsia="MS Mincho"/>
          <w:sz w:val="21"/>
          <w:szCs w:val="21"/>
        </w:rPr>
        <w:t xml:space="preserve">Customer </w:t>
      </w:r>
      <w:r w:rsidRPr="00984DF2">
        <w:rPr>
          <w:rFonts w:eastAsia="MS Mincho"/>
          <w:sz w:val="21"/>
          <w:szCs w:val="21"/>
        </w:rPr>
        <w:lastRenderedPageBreak/>
        <w:t xml:space="preserve">shall have the right, upon reasonable prior written notice to Tavant, to conduct, at its own sole expense, an audit reasonably designed to identify and address control deficiencies and ensure Tavant’s compliance with applicable laws. Customer agrees to instruct its auditors to maintain as confidential all information, procedures, and processes inspected by such auditors. Such audit rights may be exercised by Customer no more frequently than once each calendar year except that, to the extent Customer has a reasonable belief that Tavant is not in compliance with one or more of the obligations of </w:t>
      </w:r>
      <w:r>
        <w:rPr>
          <w:rFonts w:eastAsia="MS Mincho"/>
          <w:sz w:val="21"/>
          <w:szCs w:val="21"/>
        </w:rPr>
        <w:t xml:space="preserve">the Agreement or </w:t>
      </w:r>
      <w:r w:rsidRPr="00984DF2">
        <w:rPr>
          <w:rFonts w:eastAsia="MS Mincho"/>
          <w:sz w:val="21"/>
          <w:szCs w:val="21"/>
        </w:rPr>
        <w:t xml:space="preserve">this Exhibit </w:t>
      </w:r>
      <w:r>
        <w:rPr>
          <w:rFonts w:eastAsia="MS Mincho"/>
          <w:sz w:val="21"/>
          <w:szCs w:val="21"/>
        </w:rPr>
        <w:t>C</w:t>
      </w:r>
      <w:r w:rsidRPr="00984DF2">
        <w:rPr>
          <w:rFonts w:eastAsia="MS Mincho"/>
          <w:sz w:val="21"/>
          <w:szCs w:val="21"/>
        </w:rPr>
        <w:t xml:space="preserve"> and/or applicable law, then such audit rights may be exercised pursuant to this Section 2.</w:t>
      </w:r>
      <w:r>
        <w:rPr>
          <w:rFonts w:eastAsia="MS Mincho"/>
          <w:sz w:val="21"/>
          <w:szCs w:val="21"/>
        </w:rPr>
        <w:t>8</w:t>
      </w:r>
      <w:r w:rsidRPr="00984DF2">
        <w:rPr>
          <w:rFonts w:eastAsia="MS Mincho"/>
          <w:sz w:val="21"/>
          <w:szCs w:val="21"/>
        </w:rPr>
        <w:t xml:space="preserve"> without regard to the once each calendar year restriction. Notwithstanding anything provided herein to the contrary, the foregoing audit rights shall be limited if and to the extent that any audit would reasonably be expected to result in a violation of law or a violation of the rights of any third parties.</w:t>
      </w:r>
      <w:r w:rsidRPr="00984DF2">
        <w:rPr>
          <w:rFonts w:eastAsia="MS Mincho"/>
          <w:sz w:val="21"/>
          <w:szCs w:val="21"/>
          <w:lang w:val="en-GB"/>
        </w:rPr>
        <w:t xml:space="preserve">  </w:t>
      </w:r>
    </w:p>
    <w:p w14:paraId="78831AAD"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58A34F50"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Maintenance and Storage of Data. It is the intention and agreement of the Parties that Customer Data, in whatsoever format it is provided to Tavant shall be maintained on Tavant’s computer systems within the United States, accessed only by United States personnel, within the full and absolute control of Tavant in accordance with the terms of th</w:t>
      </w:r>
      <w:r>
        <w:rPr>
          <w:rFonts w:eastAsia="MS Mincho"/>
          <w:sz w:val="21"/>
          <w:szCs w:val="21"/>
          <w:lang w:val="en-GB"/>
        </w:rPr>
        <w:t>e</w:t>
      </w:r>
      <w:r w:rsidRPr="00984DF2">
        <w:rPr>
          <w:rFonts w:eastAsia="MS Mincho"/>
          <w:sz w:val="21"/>
          <w:szCs w:val="21"/>
          <w:lang w:val="en-GB"/>
        </w:rPr>
        <w:t xml:space="preserve"> Agreement.  In recognition of the foregoing, Tavant will take such precautionary measures to ensure that Customer’s information is not permitted to be moved or migrated to other computer systems or portable computer devices that do not have such security protections without Customer’s express written consent. In the event Tavant, its agent or subcontractors have access to Customer computer systems or Customer Data, Tavant shall comply with Customer's access management policies and procedures, and Tavant shall require its agents and subcontractors to comply with such policies and procedures. To the extent the Privacy Requirements require additional or modified data protection provisions, Tavant agrees to cooperate with Customer to draft and execute such additional or modified provisions.</w:t>
      </w:r>
    </w:p>
    <w:p w14:paraId="0C26A2A2"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4139C9EA" w14:textId="77777777" w:rsidR="0070526C" w:rsidRPr="00984DF2" w:rsidRDefault="0070526C" w:rsidP="0070526C">
      <w:pPr>
        <w:pStyle w:val="ListParagraph"/>
        <w:numPr>
          <w:ilvl w:val="1"/>
          <w:numId w:val="21"/>
        </w:numPr>
        <w:ind w:left="1260" w:hanging="540"/>
        <w:jc w:val="both"/>
        <w:rPr>
          <w:rFonts w:eastAsia="MS Mincho"/>
          <w:sz w:val="21"/>
          <w:szCs w:val="21"/>
          <w:lang w:val="en-GB"/>
        </w:rPr>
      </w:pPr>
      <w:r w:rsidRPr="00984DF2">
        <w:rPr>
          <w:rFonts w:eastAsia="MS Mincho"/>
          <w:sz w:val="21"/>
          <w:szCs w:val="21"/>
          <w:lang w:val="en-GB"/>
        </w:rPr>
        <w:t>Customer has the right to review Tavant’s hiring policies and procedures to ensure that Customer meets the applicable agency regulations regarding hiring practices, which may include but not be limited to checking all employees, including management, against the U.S. General Services Administration Excluded Parties List, the HUD Limited Denial of Participation List, and the FHFA Suspended Counterparty Program list at the time of hire and/or on an annual or semi-annual basis.</w:t>
      </w:r>
    </w:p>
    <w:p w14:paraId="6103DE29" w14:textId="77777777" w:rsidR="0070526C" w:rsidRPr="00984DF2" w:rsidRDefault="0070526C" w:rsidP="0070526C">
      <w:pPr>
        <w:pStyle w:val="ListParagraph"/>
        <w:tabs>
          <w:tab w:val="left" w:pos="540"/>
        </w:tabs>
        <w:spacing w:line="240" w:lineRule="atLeast"/>
        <w:ind w:left="1260"/>
        <w:jc w:val="both"/>
        <w:rPr>
          <w:rFonts w:eastAsia="MS Mincho"/>
          <w:sz w:val="21"/>
          <w:szCs w:val="21"/>
          <w:lang w:val="en-GB"/>
        </w:rPr>
      </w:pPr>
    </w:p>
    <w:p w14:paraId="6C6EC806"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Upon termination of the Agreement, for whatever reason, Tavant will stop all Processing of Customer Data and will, at Tavant’s option, either return to Customer, or destroy (and certify such destruction of) any copies and reproductions of Customer Data. These undertakings remain in force even after termination of th</w:t>
      </w:r>
      <w:r>
        <w:rPr>
          <w:rFonts w:eastAsia="MS Mincho"/>
          <w:sz w:val="21"/>
          <w:szCs w:val="21"/>
          <w:lang w:val="en-GB"/>
        </w:rPr>
        <w:t>e</w:t>
      </w:r>
      <w:r w:rsidRPr="00984DF2">
        <w:rPr>
          <w:rFonts w:eastAsia="MS Mincho"/>
          <w:sz w:val="21"/>
          <w:szCs w:val="21"/>
          <w:lang w:val="en-GB"/>
        </w:rPr>
        <w:t xml:space="preserve"> Agreement for whatever reason.</w:t>
      </w:r>
    </w:p>
    <w:p w14:paraId="70FC750E" w14:textId="77777777" w:rsidR="0070526C" w:rsidRPr="00984DF2" w:rsidRDefault="0070526C" w:rsidP="0070526C">
      <w:pPr>
        <w:pStyle w:val="ListParagraph"/>
        <w:tabs>
          <w:tab w:val="left" w:pos="540"/>
        </w:tabs>
        <w:spacing w:line="240" w:lineRule="atLeast"/>
        <w:ind w:left="1260"/>
        <w:jc w:val="both"/>
        <w:rPr>
          <w:rFonts w:eastAsia="MS Mincho"/>
          <w:sz w:val="21"/>
          <w:szCs w:val="21"/>
          <w:highlight w:val="yellow"/>
          <w:lang w:val="en-GB"/>
        </w:rPr>
      </w:pPr>
    </w:p>
    <w:p w14:paraId="20238310" w14:textId="77777777" w:rsidR="0070526C" w:rsidRPr="00984DF2"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pPr>
      <w:r w:rsidRPr="00984DF2">
        <w:rPr>
          <w:rFonts w:eastAsia="MS Mincho"/>
          <w:sz w:val="21"/>
          <w:szCs w:val="21"/>
          <w:lang w:val="en-GB"/>
        </w:rPr>
        <w:t>Failure by Tavant to comply with the obligations set forth in th</w:t>
      </w:r>
      <w:r>
        <w:rPr>
          <w:rFonts w:eastAsia="MS Mincho"/>
          <w:sz w:val="21"/>
          <w:szCs w:val="21"/>
          <w:lang w:val="en-GB"/>
        </w:rPr>
        <w:t>e</w:t>
      </w:r>
      <w:r w:rsidRPr="00984DF2">
        <w:rPr>
          <w:rFonts w:eastAsia="MS Mincho"/>
          <w:sz w:val="21"/>
          <w:szCs w:val="21"/>
          <w:lang w:val="en-GB"/>
        </w:rPr>
        <w:t xml:space="preserve"> Agreement</w:t>
      </w:r>
      <w:r>
        <w:rPr>
          <w:rFonts w:eastAsia="MS Mincho"/>
          <w:sz w:val="21"/>
          <w:szCs w:val="21"/>
          <w:lang w:val="en-GB"/>
        </w:rPr>
        <w:t xml:space="preserve"> and this Exhibit C</w:t>
      </w:r>
      <w:r w:rsidRPr="00984DF2">
        <w:rPr>
          <w:rFonts w:eastAsia="MS Mincho"/>
          <w:sz w:val="21"/>
          <w:szCs w:val="21"/>
          <w:lang w:val="en-GB"/>
        </w:rPr>
        <w:t xml:space="preserve"> relating to Customer Data is considered a material breach of the Agreement.</w:t>
      </w:r>
    </w:p>
    <w:p w14:paraId="0D67C2B9" w14:textId="77777777" w:rsidR="0070526C" w:rsidRPr="00984DF2" w:rsidRDefault="0070526C" w:rsidP="0070526C">
      <w:pPr>
        <w:pStyle w:val="ListParagraph"/>
        <w:rPr>
          <w:rFonts w:eastAsia="MS Mincho"/>
          <w:sz w:val="21"/>
          <w:szCs w:val="21"/>
          <w:lang w:val="en-GB"/>
        </w:rPr>
      </w:pPr>
    </w:p>
    <w:p w14:paraId="60A5F8BD" w14:textId="53959777" w:rsidR="0070526C" w:rsidRPr="0070526C" w:rsidRDefault="0070526C" w:rsidP="0070526C">
      <w:pPr>
        <w:pStyle w:val="ListParagraph"/>
        <w:numPr>
          <w:ilvl w:val="1"/>
          <w:numId w:val="21"/>
        </w:numPr>
        <w:tabs>
          <w:tab w:val="left" w:pos="540"/>
        </w:tabs>
        <w:spacing w:line="240" w:lineRule="atLeast"/>
        <w:ind w:left="1260" w:hanging="540"/>
        <w:jc w:val="both"/>
        <w:rPr>
          <w:rFonts w:eastAsia="MS Mincho"/>
          <w:sz w:val="21"/>
          <w:szCs w:val="21"/>
          <w:lang w:val="en-GB"/>
        </w:rPr>
        <w:sectPr w:rsidR="0070526C" w:rsidRPr="0070526C" w:rsidSect="0070526C">
          <w:headerReference w:type="default" r:id="rId16"/>
          <w:footerReference w:type="default" r:id="rId17"/>
          <w:pgSz w:w="15840" w:h="12240" w:orient="landscape"/>
          <w:pgMar w:top="1440" w:right="1440" w:bottom="1440" w:left="1440" w:header="720" w:footer="720" w:gutter="0"/>
          <w:cols w:space="720"/>
          <w:titlePg/>
          <w:docGrid w:linePitch="326"/>
        </w:sectPr>
      </w:pPr>
      <w:r w:rsidRPr="00984DF2">
        <w:rPr>
          <w:rFonts w:eastAsia="MS Mincho"/>
          <w:sz w:val="21"/>
          <w:szCs w:val="21"/>
          <w:lang w:val="en-GB"/>
        </w:rPr>
        <w:t>Tavant will not be responsible for any unauthorized disclosure of Customer Data if such disclosure is directly caused by any use of the Platform Services by the Customer in a manner that is not authorized by Tavant pursuant to th</w:t>
      </w:r>
      <w:r>
        <w:rPr>
          <w:rFonts w:eastAsia="MS Mincho"/>
          <w:sz w:val="21"/>
          <w:szCs w:val="21"/>
          <w:lang w:val="en-GB"/>
        </w:rPr>
        <w:t>e</w:t>
      </w:r>
      <w:r w:rsidRPr="00984DF2">
        <w:rPr>
          <w:rFonts w:eastAsia="MS Mincho"/>
          <w:sz w:val="21"/>
          <w:szCs w:val="21"/>
          <w:lang w:val="en-GB"/>
        </w:rPr>
        <w:t xml:space="preserve"> Agreement or any applicable SOW and without the negligence, gross negligence, wilful misconduct, or lack of good faith of Tava</w:t>
      </w:r>
      <w:r>
        <w:rPr>
          <w:rFonts w:eastAsia="MS Mincho"/>
          <w:sz w:val="21"/>
          <w:szCs w:val="21"/>
          <w:lang w:val="en-GB"/>
        </w:rPr>
        <w:t>nt</w:t>
      </w:r>
    </w:p>
    <w:p w14:paraId="43D408D4" w14:textId="251B05B3" w:rsidR="00690AD6" w:rsidRPr="00F62E3F" w:rsidRDefault="00690AD6" w:rsidP="00607BD8">
      <w:pPr>
        <w:pStyle w:val="Heading1"/>
        <w:keepNext/>
        <w:numPr>
          <w:ilvl w:val="0"/>
          <w:numId w:val="0"/>
        </w:numPr>
        <w:shd w:val="clear" w:color="auto" w:fill="FFFFFF" w:themeFill="background1"/>
        <w:overflowPunct/>
        <w:autoSpaceDE/>
        <w:autoSpaceDN/>
        <w:adjustRightInd/>
        <w:spacing w:before="360"/>
        <w:jc w:val="both"/>
        <w:textAlignment w:val="auto"/>
        <w:rPr>
          <w:sz w:val="21"/>
          <w:szCs w:val="21"/>
        </w:rPr>
        <w:sectPr w:rsidR="00690AD6" w:rsidRPr="00F62E3F" w:rsidSect="00340A9D">
          <w:headerReference w:type="default" r:id="rId18"/>
          <w:footerReference w:type="default" r:id="rId19"/>
          <w:pgSz w:w="15840" w:h="12240" w:orient="landscape"/>
          <w:pgMar w:top="1440" w:right="1440" w:bottom="1440" w:left="1440" w:header="720" w:footer="720" w:gutter="0"/>
          <w:cols w:space="720"/>
          <w:titlePg/>
          <w:docGrid w:linePitch="326"/>
        </w:sectPr>
      </w:pPr>
    </w:p>
    <w:p w14:paraId="2BD9D75F" w14:textId="77777777" w:rsidR="00863723" w:rsidRPr="00F62E3F" w:rsidRDefault="00863723" w:rsidP="000B31A7">
      <w:pPr>
        <w:widowControl/>
        <w:shd w:val="clear" w:color="auto" w:fill="FFFFFF" w:themeFill="background1"/>
        <w:overflowPunct/>
        <w:autoSpaceDE/>
        <w:autoSpaceDN/>
        <w:adjustRightInd/>
        <w:textAlignment w:val="auto"/>
        <w:rPr>
          <w:b/>
          <w:sz w:val="21"/>
          <w:szCs w:val="21"/>
        </w:rPr>
      </w:pPr>
    </w:p>
    <w:sectPr w:rsidR="00863723" w:rsidRPr="00F62E3F" w:rsidSect="00690B29">
      <w:footerReference w:type="default" r:id="rId20"/>
      <w:footerReference w:type="first" r:id="rId21"/>
      <w:endnotePr>
        <w:numFmt w:val="decimal"/>
      </w:endnotePr>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B6BB2" w14:textId="77777777" w:rsidR="00391B70" w:rsidRDefault="00391B70">
      <w:r>
        <w:separator/>
      </w:r>
    </w:p>
  </w:endnote>
  <w:endnote w:type="continuationSeparator" w:id="0">
    <w:p w14:paraId="37D6D672" w14:textId="77777777" w:rsidR="00391B70" w:rsidRDefault="0039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299D4" w14:textId="77777777" w:rsidR="00ED0157" w:rsidRDefault="00ED0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6091" w14:textId="77777777" w:rsidR="00607BD8" w:rsidRDefault="00607BD8" w:rsidP="00340A9D">
    <w:pPr>
      <w:pStyle w:val="Footer"/>
      <w:tabs>
        <w:tab w:val="left" w:pos="318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DCD1C" w14:textId="77777777" w:rsidR="00ED0157" w:rsidRDefault="00ED01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7F5E2" w14:textId="77777777" w:rsidR="0070526C" w:rsidRDefault="0070526C" w:rsidP="00340A9D">
    <w:pPr>
      <w:pStyle w:val="Footer"/>
      <w:tabs>
        <w:tab w:val="left" w:pos="318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0FA51" w14:textId="77777777" w:rsidR="00D6279E" w:rsidRDefault="00D6279E" w:rsidP="00340A9D">
    <w:pPr>
      <w:pStyle w:val="Footer"/>
      <w:tabs>
        <w:tab w:val="left" w:pos="318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CF3B9" w14:textId="77777777" w:rsidR="00ED0157" w:rsidRDefault="00ED0157" w:rsidP="009A3889">
    <w:pPr>
      <w:pStyle w:val="DocID"/>
      <w:tabs>
        <w:tab w:val="center" w:pos="5040"/>
        <w:tab w:val="right" w:pos="10080"/>
      </w:tabs>
    </w:pPr>
  </w:p>
  <w:p w14:paraId="4BB191C9" w14:textId="77777777" w:rsidR="00ED0157" w:rsidRDefault="00ED0157" w:rsidP="009A3889">
    <w:pPr>
      <w:pStyle w:val="DocID"/>
      <w:tabs>
        <w:tab w:val="center" w:pos="5040"/>
        <w:tab w:val="right" w:pos="10080"/>
      </w:tabs>
    </w:pPr>
  </w:p>
  <w:p w14:paraId="21703EB0" w14:textId="241EC67E" w:rsidR="00D6279E" w:rsidRDefault="00D6279E" w:rsidP="009A3889">
    <w:pPr>
      <w:pStyle w:val="DocID"/>
      <w:tabs>
        <w:tab w:val="center" w:pos="5040"/>
        <w:tab w:val="right" w:pos="10080"/>
      </w:tabs>
      <w:rPr>
        <w:rStyle w:val="PageNumber"/>
        <w:rFonts w:ascii="Arial Narrow" w:hAnsi="Arial Narrow"/>
        <w:sz w:val="16"/>
      </w:rPr>
    </w:pPr>
    <w:r>
      <w:t>6173/00100/DOCS/3504296.2</w:t>
    </w:r>
    <w:r>
      <w:tab/>
    </w:r>
    <w:r w:rsidRPr="004576CC">
      <w:rPr>
        <w:rStyle w:val="PageNumber"/>
        <w:rFonts w:ascii="Arial Narrow" w:hAnsi="Arial Narrow"/>
        <w:sz w:val="18"/>
        <w:szCs w:val="18"/>
      </w:rPr>
      <w:fldChar w:fldCharType="begin"/>
    </w:r>
    <w:r w:rsidRPr="004576CC">
      <w:rPr>
        <w:rStyle w:val="PageNumber"/>
        <w:rFonts w:ascii="Arial Narrow" w:hAnsi="Arial Narrow"/>
        <w:sz w:val="18"/>
        <w:szCs w:val="18"/>
      </w:rPr>
      <w:instrText xml:space="preserve"> PAGE </w:instrText>
    </w:r>
    <w:r w:rsidRPr="004576CC">
      <w:rPr>
        <w:rStyle w:val="PageNumber"/>
        <w:rFonts w:ascii="Arial Narrow" w:hAnsi="Arial Narrow"/>
        <w:sz w:val="18"/>
        <w:szCs w:val="18"/>
      </w:rPr>
      <w:fldChar w:fldCharType="separate"/>
    </w:r>
    <w:r w:rsidR="00015D16">
      <w:rPr>
        <w:rStyle w:val="PageNumber"/>
        <w:rFonts w:ascii="Arial Narrow" w:hAnsi="Arial Narrow"/>
        <w:noProof/>
        <w:sz w:val="18"/>
        <w:szCs w:val="18"/>
      </w:rPr>
      <w:t>20</w:t>
    </w:r>
    <w:r w:rsidRPr="004576CC">
      <w:rPr>
        <w:rStyle w:val="PageNumber"/>
        <w:rFonts w:ascii="Arial Narrow" w:hAnsi="Arial Narrow"/>
        <w:sz w:val="18"/>
        <w:szCs w:val="18"/>
      </w:rPr>
      <w:fldChar w:fldCharType="end"/>
    </w:r>
    <w:r>
      <w:tab/>
    </w:r>
    <w:r>
      <w:rPr>
        <w:rStyle w:val="PageNumber"/>
        <w:rFonts w:ascii="Arial Narrow" w:hAnsi="Arial Narrow"/>
        <w:sz w:val="16"/>
      </w:rPr>
      <w:t>Tavant Confidential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ED955" w14:textId="77777777" w:rsidR="00D6279E" w:rsidRPr="004576CC" w:rsidRDefault="00D6279E" w:rsidP="00690B29">
    <w:pPr>
      <w:pStyle w:val="Footer"/>
      <w:spacing w:line="200" w:lineRule="exact"/>
      <w:jc w:val="center"/>
      <w:rPr>
        <w:rStyle w:val="PageNumber"/>
        <w:rFonts w:ascii="Arial Narrow" w:hAnsi="Arial Narrow"/>
        <w:sz w:val="18"/>
        <w:szCs w:val="18"/>
      </w:rPr>
    </w:pPr>
    <w:r w:rsidRPr="004576CC">
      <w:rPr>
        <w:rStyle w:val="PageNumber"/>
        <w:rFonts w:ascii="Arial Narrow" w:hAnsi="Arial Narrow"/>
        <w:sz w:val="18"/>
        <w:szCs w:val="18"/>
      </w:rPr>
      <w:fldChar w:fldCharType="begin"/>
    </w:r>
    <w:r w:rsidRPr="004576CC">
      <w:rPr>
        <w:rStyle w:val="PageNumber"/>
        <w:rFonts w:ascii="Arial Narrow" w:hAnsi="Arial Narrow"/>
        <w:sz w:val="18"/>
        <w:szCs w:val="18"/>
      </w:rPr>
      <w:instrText xml:space="preserve"> PAGE </w:instrText>
    </w:r>
    <w:r w:rsidRPr="004576CC">
      <w:rPr>
        <w:rStyle w:val="PageNumber"/>
        <w:rFonts w:ascii="Arial Narrow" w:hAnsi="Arial Narrow"/>
        <w:sz w:val="18"/>
        <w:szCs w:val="18"/>
      </w:rPr>
      <w:fldChar w:fldCharType="separate"/>
    </w:r>
    <w:r>
      <w:rPr>
        <w:rStyle w:val="PageNumber"/>
        <w:rFonts w:ascii="Arial Narrow" w:hAnsi="Arial Narrow"/>
        <w:noProof/>
        <w:sz w:val="18"/>
        <w:szCs w:val="18"/>
      </w:rPr>
      <w:t>1</w:t>
    </w:r>
    <w:r w:rsidRPr="004576CC">
      <w:rPr>
        <w:rStyle w:val="PageNumber"/>
        <w:rFonts w:ascii="Arial Narrow" w:hAnsi="Arial Narrow"/>
        <w:sz w:val="18"/>
        <w:szCs w:val="18"/>
      </w:rPr>
      <w:fldChar w:fldCharType="end"/>
    </w:r>
  </w:p>
  <w:p w14:paraId="62544EA5" w14:textId="77777777" w:rsidR="00D6279E" w:rsidRDefault="00D6279E" w:rsidP="00690B29">
    <w:pPr>
      <w:pStyle w:val="Footer"/>
      <w:spacing w:line="200" w:lineRule="exact"/>
      <w:jc w:val="right"/>
      <w:rPr>
        <w:rStyle w:val="PageNumber"/>
        <w:rFonts w:ascii="Arial Narrow" w:hAnsi="Arial Narrow"/>
        <w:sz w:val="16"/>
      </w:rPr>
    </w:pPr>
    <w:r>
      <w:rPr>
        <w:rStyle w:val="PageNumber"/>
        <w:rFonts w:ascii="Arial Narrow" w:hAnsi="Arial Narrow"/>
        <w:sz w:val="16"/>
      </w:rPr>
      <w:t>Tavant Confidential Information</w:t>
    </w:r>
  </w:p>
  <w:p w14:paraId="5759F5B1" w14:textId="77777777" w:rsidR="00D6279E" w:rsidRPr="00690B29" w:rsidRDefault="00D6279E" w:rsidP="00690B29">
    <w:pPr>
      <w:pStyle w:val="DocID"/>
      <w:rPr>
        <w:rFonts w:ascii="Arial Narrow" w:hAnsi="Arial Narrow"/>
        <w:sz w:val="16"/>
      </w:rPr>
    </w:pPr>
    <w:r>
      <w:t>26173/00100/DOCS/3504296.2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AE23E" w14:textId="77777777" w:rsidR="00391B70" w:rsidRDefault="00391B70">
      <w:r>
        <w:separator/>
      </w:r>
    </w:p>
  </w:footnote>
  <w:footnote w:type="continuationSeparator" w:id="0">
    <w:p w14:paraId="39327E76" w14:textId="77777777" w:rsidR="00391B70" w:rsidRDefault="00391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7E0C6" w14:textId="77777777" w:rsidR="00ED0157" w:rsidRDefault="00ED0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882E" w14:textId="77777777" w:rsidR="00607BD8" w:rsidRPr="00632308" w:rsidRDefault="00607BD8">
    <w:pPr>
      <w:pStyle w:val="Header"/>
      <w:rPr>
        <w:sz w:val="6"/>
        <w:szCs w:val="4"/>
      </w:rPr>
    </w:pPr>
    <w:r>
      <w:rPr>
        <w:sz w:val="6"/>
        <w:szCs w:val="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604DF" w14:textId="77777777" w:rsidR="00ED0157" w:rsidRDefault="00ED01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45A14" w14:textId="77777777" w:rsidR="0070526C" w:rsidRPr="00632308" w:rsidRDefault="0070526C">
    <w:pPr>
      <w:pStyle w:val="Header"/>
      <w:rPr>
        <w:sz w:val="6"/>
        <w:szCs w:val="4"/>
      </w:rPr>
    </w:pPr>
    <w:r>
      <w:rPr>
        <w:sz w:val="6"/>
        <w:szCs w:val="4"/>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3BF" w14:textId="77777777" w:rsidR="00D6279E" w:rsidRPr="00632308" w:rsidRDefault="00D6279E">
    <w:pPr>
      <w:pStyle w:val="Header"/>
      <w:rPr>
        <w:sz w:val="6"/>
        <w:szCs w:val="4"/>
      </w:rPr>
    </w:pPr>
    <w:r>
      <w:rPr>
        <w:sz w:val="6"/>
        <w:szCs w:val="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C01A6"/>
    <w:multiLevelType w:val="hybridMultilevel"/>
    <w:tmpl w:val="24FC4EFE"/>
    <w:lvl w:ilvl="0" w:tplc="CD1437DE">
      <w:start w:val="1"/>
      <w:numFmt w:val="decimal"/>
      <w:lvlText w:val="%1."/>
      <w:lvlJc w:val="left"/>
      <w:pPr>
        <w:ind w:left="720" w:hanging="360"/>
      </w:pPr>
      <w:rPr>
        <w:rFonts w:hint="default"/>
        <w:b/>
        <w:bCs w:val="0"/>
      </w:rPr>
    </w:lvl>
    <w:lvl w:ilvl="1" w:tplc="435463F6">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B7DFD"/>
    <w:multiLevelType w:val="multilevel"/>
    <w:tmpl w:val="7068C02C"/>
    <w:styleLink w:val="LFO1"/>
    <w:lvl w:ilvl="0">
      <w:numFmt w:val="bullet"/>
      <w:pStyle w:val="BulletBlue"/>
      <w:lvlText w:val=""/>
      <w:lvlJc w:val="left"/>
      <w:pPr>
        <w:ind w:left="360" w:hanging="360"/>
      </w:pPr>
      <w:rPr>
        <w:rFonts w:ascii="Wingdings" w:hAnsi="Wingdings"/>
        <w:color w:val="0000FF"/>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 w15:restartNumberingAfterBreak="0">
    <w:nsid w:val="132D4C8E"/>
    <w:multiLevelType w:val="hybridMultilevel"/>
    <w:tmpl w:val="4B50A726"/>
    <w:name w:val="(Unnamed Numbering Scheme)"/>
    <w:lvl w:ilvl="0" w:tplc="E4E486E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E1AC3"/>
    <w:multiLevelType w:val="hybridMultilevel"/>
    <w:tmpl w:val="A8A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A33C8"/>
    <w:multiLevelType w:val="hybridMultilevel"/>
    <w:tmpl w:val="9B2C53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D7F"/>
    <w:multiLevelType w:val="hybridMultilevel"/>
    <w:tmpl w:val="EF96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476F7"/>
    <w:multiLevelType w:val="hybridMultilevel"/>
    <w:tmpl w:val="61AC5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B1342E"/>
    <w:multiLevelType w:val="multilevel"/>
    <w:tmpl w:val="BF746B9A"/>
    <w:name w:val="Legal 3"/>
    <w:lvl w:ilvl="0">
      <w:start w:val="1"/>
      <w:numFmt w:val="decimal"/>
      <w:pStyle w:val="S2Heading1"/>
      <w:lvlText w:val="%1."/>
      <w:lvlJc w:val="left"/>
      <w:pPr>
        <w:tabs>
          <w:tab w:val="num" w:pos="900"/>
        </w:tabs>
        <w:ind w:left="180" w:firstLine="0"/>
      </w:pPr>
      <w:rPr>
        <w:b/>
        <w:i w:val="0"/>
        <w:caps w:val="0"/>
        <w:strike w:val="0"/>
        <w:dstrike w:val="0"/>
        <w:color w:val="010000"/>
        <w:u w:val="none"/>
        <w:effect w:val="none"/>
      </w:rPr>
    </w:lvl>
    <w:lvl w:ilvl="1">
      <w:start w:val="1"/>
      <w:numFmt w:val="decimal"/>
      <w:pStyle w:val="S2Heading2"/>
      <w:lvlText w:val="%1.%2."/>
      <w:lvlJc w:val="left"/>
      <w:pPr>
        <w:tabs>
          <w:tab w:val="num" w:pos="2070"/>
        </w:tabs>
        <w:ind w:left="630" w:firstLine="720"/>
      </w:pPr>
      <w:rPr>
        <w:b/>
        <w:i w:val="0"/>
        <w:caps w:val="0"/>
        <w:strike w:val="0"/>
        <w:dstrike w:val="0"/>
        <w:color w:val="010000"/>
        <w:u w:val="none"/>
        <w:effect w:val="none"/>
      </w:rPr>
    </w:lvl>
    <w:lvl w:ilvl="2">
      <w:start w:val="1"/>
      <w:numFmt w:val="decimal"/>
      <w:pStyle w:val="S2Heading3"/>
      <w:lvlText w:val="%1.%2.%3"/>
      <w:lvlJc w:val="left"/>
      <w:pPr>
        <w:tabs>
          <w:tab w:val="num" w:pos="2160"/>
        </w:tabs>
        <w:ind w:left="0" w:firstLine="1440"/>
      </w:pPr>
      <w:rPr>
        <w:b/>
        <w:i w:val="0"/>
        <w:caps w:val="0"/>
        <w:strike w:val="0"/>
        <w:dstrike w:val="0"/>
        <w:color w:val="010000"/>
        <w:u w:val="none"/>
        <w:effect w:val="none"/>
      </w:rPr>
    </w:lvl>
    <w:lvl w:ilvl="3">
      <w:start w:val="1"/>
      <w:numFmt w:val="lowerLetter"/>
      <w:pStyle w:val="S2Heading4"/>
      <w:lvlText w:val="(%4)"/>
      <w:lvlJc w:val="left"/>
      <w:pPr>
        <w:tabs>
          <w:tab w:val="num" w:pos="2880"/>
        </w:tabs>
        <w:ind w:left="0" w:firstLine="2160"/>
      </w:pPr>
      <w:rPr>
        <w:b/>
        <w:i w:val="0"/>
        <w:caps w:val="0"/>
        <w:strike w:val="0"/>
        <w:dstrike w:val="0"/>
        <w:color w:val="010000"/>
        <w:u w:val="none"/>
        <w:effect w:val="none"/>
      </w:rPr>
    </w:lvl>
    <w:lvl w:ilvl="4">
      <w:start w:val="1"/>
      <w:numFmt w:val="lowerRoman"/>
      <w:pStyle w:val="S2Heading5"/>
      <w:lvlText w:val="(%5)"/>
      <w:lvlJc w:val="left"/>
      <w:pPr>
        <w:tabs>
          <w:tab w:val="num" w:pos="3600"/>
        </w:tabs>
        <w:ind w:left="0" w:firstLine="2880"/>
      </w:pPr>
      <w:rPr>
        <w:b/>
        <w:i w:val="0"/>
        <w:caps w:val="0"/>
        <w:strike w:val="0"/>
        <w:dstrike w:val="0"/>
        <w:color w:val="010000"/>
        <w:u w:val="none"/>
        <w:effect w:val="none"/>
      </w:rPr>
    </w:lvl>
    <w:lvl w:ilvl="5">
      <w:start w:val="1"/>
      <w:numFmt w:val="decimal"/>
      <w:pStyle w:val="S2Heading6"/>
      <w:lvlText w:val="(%6)"/>
      <w:lvlJc w:val="left"/>
      <w:pPr>
        <w:tabs>
          <w:tab w:val="num" w:pos="4320"/>
        </w:tabs>
        <w:ind w:left="0" w:firstLine="3600"/>
      </w:pPr>
      <w:rPr>
        <w:b/>
        <w:i w:val="0"/>
        <w:caps w:val="0"/>
        <w:strike w:val="0"/>
        <w:dstrike w:val="0"/>
        <w:color w:val="010000"/>
        <w:u w:val="none"/>
        <w:effect w:val="none"/>
      </w:rPr>
    </w:lvl>
    <w:lvl w:ilvl="6">
      <w:start w:val="1"/>
      <w:numFmt w:val="lowerLetter"/>
      <w:pStyle w:val="S2Heading7"/>
      <w:lvlText w:val="%7."/>
      <w:lvlJc w:val="left"/>
      <w:pPr>
        <w:tabs>
          <w:tab w:val="num" w:pos="5040"/>
        </w:tabs>
        <w:ind w:left="0" w:firstLine="4320"/>
      </w:pPr>
      <w:rPr>
        <w:b w:val="0"/>
        <w:i w:val="0"/>
        <w:caps w:val="0"/>
        <w:strike w:val="0"/>
        <w:dstrike w:val="0"/>
        <w:color w:val="010000"/>
        <w:u w:val="none"/>
        <w:effect w:val="none"/>
      </w:rPr>
    </w:lvl>
    <w:lvl w:ilvl="7">
      <w:start w:val="1"/>
      <w:numFmt w:val="lowerRoman"/>
      <w:pStyle w:val="S2Heading8"/>
      <w:lvlText w:val="%8."/>
      <w:lvlJc w:val="left"/>
      <w:pPr>
        <w:tabs>
          <w:tab w:val="num" w:pos="5760"/>
        </w:tabs>
        <w:ind w:left="0" w:firstLine="5040"/>
      </w:pPr>
      <w:rPr>
        <w:b/>
        <w:i w:val="0"/>
        <w:caps w:val="0"/>
        <w:strike w:val="0"/>
        <w:dstrike w:val="0"/>
        <w:color w:val="010000"/>
        <w:u w:val="none"/>
        <w:effect w:val="none"/>
      </w:rPr>
    </w:lvl>
    <w:lvl w:ilvl="8">
      <w:start w:val="1"/>
      <w:numFmt w:val="decimal"/>
      <w:pStyle w:val="S2Heading9"/>
      <w:lvlText w:val="%9."/>
      <w:lvlJc w:val="left"/>
      <w:pPr>
        <w:tabs>
          <w:tab w:val="num" w:pos="6480"/>
        </w:tabs>
        <w:ind w:left="0" w:firstLine="5760"/>
      </w:pPr>
      <w:rPr>
        <w:b/>
        <w:i w:val="0"/>
        <w:caps w:val="0"/>
        <w:strike w:val="0"/>
        <w:dstrike w:val="0"/>
        <w:color w:val="010000"/>
        <w:u w:val="none"/>
        <w:effect w:val="none"/>
      </w:rPr>
    </w:lvl>
  </w:abstractNum>
  <w:abstractNum w:abstractNumId="8" w15:restartNumberingAfterBreak="0">
    <w:nsid w:val="3BCC47F9"/>
    <w:multiLevelType w:val="multilevel"/>
    <w:tmpl w:val="0AAE2E98"/>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9" w15:restartNumberingAfterBreak="0">
    <w:nsid w:val="3F11318C"/>
    <w:multiLevelType w:val="multilevel"/>
    <w:tmpl w:val="F656FAD8"/>
    <w:lvl w:ilvl="0">
      <w:start w:val="1"/>
      <w:numFmt w:val="decimal"/>
      <w:lvlText w:val="%1."/>
      <w:lvlJc w:val="left"/>
      <w:pPr>
        <w:ind w:left="540" w:hanging="540"/>
      </w:pPr>
      <w:rPr>
        <w:rFonts w:hint="default"/>
        <w:u w:val="single"/>
      </w:rPr>
    </w:lvl>
    <w:lvl w:ilvl="1">
      <w:start w:val="2"/>
      <w:numFmt w:val="decimal"/>
      <w:lvlText w:val="%1.%2."/>
      <w:lvlJc w:val="left"/>
      <w:pPr>
        <w:ind w:left="540" w:hanging="54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0" w15:restartNumberingAfterBreak="0">
    <w:nsid w:val="478634A2"/>
    <w:multiLevelType w:val="multilevel"/>
    <w:tmpl w:val="E0501BF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8CD2202"/>
    <w:multiLevelType w:val="multilevel"/>
    <w:tmpl w:val="0409001F"/>
    <w:name w:val="Legal 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57041C"/>
    <w:multiLevelType w:val="hybridMultilevel"/>
    <w:tmpl w:val="57E8E6EA"/>
    <w:lvl w:ilvl="0" w:tplc="4F3E6314">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542369"/>
    <w:multiLevelType w:val="multilevel"/>
    <w:tmpl w:val="496AD32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54AF141F"/>
    <w:multiLevelType w:val="multilevel"/>
    <w:tmpl w:val="AB5A1554"/>
    <w:name w:val="Legal 2"/>
    <w:lvl w:ilvl="0">
      <w:start w:val="1"/>
      <w:numFmt w:val="decimal"/>
      <w:pStyle w:val="Heading1"/>
      <w:lvlText w:val="%1."/>
      <w:lvlJc w:val="left"/>
      <w:pPr>
        <w:tabs>
          <w:tab w:val="num" w:pos="720"/>
        </w:tabs>
        <w:ind w:left="0" w:firstLine="0"/>
      </w:pPr>
      <w:rPr>
        <w:b w:val="0"/>
        <w:i w:val="0"/>
        <w:caps w:val="0"/>
        <w:color w:val="010000"/>
        <w:u w:val="none"/>
      </w:rPr>
    </w:lvl>
    <w:lvl w:ilvl="1">
      <w:start w:val="1"/>
      <w:numFmt w:val="decimal"/>
      <w:pStyle w:val="Heading2"/>
      <w:lvlText w:val="%1.%2."/>
      <w:lvlJc w:val="left"/>
      <w:pPr>
        <w:tabs>
          <w:tab w:val="num" w:pos="900"/>
        </w:tabs>
        <w:ind w:left="-540" w:firstLine="720"/>
      </w:pPr>
      <w:rPr>
        <w:b w:val="0"/>
        <w:i w:val="0"/>
        <w:caps w:val="0"/>
        <w:color w:val="010000"/>
        <w:u w:val="none"/>
      </w:rPr>
    </w:lvl>
    <w:lvl w:ilvl="2">
      <w:start w:val="1"/>
      <w:numFmt w:val="lowerLetter"/>
      <w:lvlText w:val="(%3)"/>
      <w:lvlJc w:val="left"/>
      <w:pPr>
        <w:tabs>
          <w:tab w:val="num" w:pos="2160"/>
        </w:tabs>
        <w:ind w:left="0" w:firstLine="1440"/>
      </w:pPr>
      <w:rPr>
        <w:b/>
        <w:i w:val="0"/>
        <w:caps w:val="0"/>
        <w:color w:val="010000"/>
        <w:u w:val="none"/>
      </w:rPr>
    </w:lvl>
    <w:lvl w:ilvl="3">
      <w:start w:val="1"/>
      <w:numFmt w:val="lowerRoman"/>
      <w:pStyle w:val="Heading4"/>
      <w:lvlText w:val="(%4)"/>
      <w:lvlJc w:val="left"/>
      <w:pPr>
        <w:tabs>
          <w:tab w:val="num" w:pos="2880"/>
        </w:tabs>
        <w:ind w:left="0" w:firstLine="2160"/>
      </w:pPr>
      <w:rPr>
        <w:b w:val="0"/>
        <w:i w:val="0"/>
        <w:caps w:val="0"/>
        <w:color w:val="010000"/>
        <w:u w:val="none"/>
      </w:rPr>
    </w:lvl>
    <w:lvl w:ilvl="4">
      <w:start w:val="1"/>
      <w:numFmt w:val="decimal"/>
      <w:pStyle w:val="Heading5"/>
      <w:lvlText w:val="(%5)"/>
      <w:lvlJc w:val="left"/>
      <w:pPr>
        <w:tabs>
          <w:tab w:val="num" w:pos="3600"/>
        </w:tabs>
        <w:ind w:left="0" w:firstLine="2880"/>
      </w:pPr>
      <w:rPr>
        <w:b/>
        <w:i w:val="0"/>
        <w:caps w:val="0"/>
        <w:color w:val="010000"/>
        <w:u w:val="none"/>
      </w:rPr>
    </w:lvl>
    <w:lvl w:ilvl="5">
      <w:start w:val="1"/>
      <w:numFmt w:val="lowerLetter"/>
      <w:pStyle w:val="Heading6"/>
      <w:lvlText w:val="%6."/>
      <w:lvlJc w:val="left"/>
      <w:pPr>
        <w:tabs>
          <w:tab w:val="num" w:pos="4320"/>
        </w:tabs>
        <w:ind w:left="0" w:firstLine="3600"/>
      </w:pPr>
      <w:rPr>
        <w:b/>
        <w:i w:val="0"/>
        <w:caps w:val="0"/>
        <w:color w:val="010000"/>
        <w:u w:val="none"/>
      </w:rPr>
    </w:lvl>
    <w:lvl w:ilvl="6">
      <w:start w:val="1"/>
      <w:numFmt w:val="lowerRoman"/>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15" w15:restartNumberingAfterBreak="0">
    <w:nsid w:val="570A65F7"/>
    <w:multiLevelType w:val="hybridMultilevel"/>
    <w:tmpl w:val="2A88FFE6"/>
    <w:lvl w:ilvl="0" w:tplc="CA34B290">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B3F4E"/>
    <w:multiLevelType w:val="multilevel"/>
    <w:tmpl w:val="8536CC42"/>
    <w:lvl w:ilvl="0">
      <w:start w:val="1"/>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7" w15:restartNumberingAfterBreak="0">
    <w:nsid w:val="6B032E4B"/>
    <w:multiLevelType w:val="hybridMultilevel"/>
    <w:tmpl w:val="174046A8"/>
    <w:lvl w:ilvl="0" w:tplc="04090001">
      <w:start w:val="1"/>
      <w:numFmt w:val="bullet"/>
      <w:lvlText w:val=""/>
      <w:lvlJc w:val="left"/>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D911EEF"/>
    <w:multiLevelType w:val="hybridMultilevel"/>
    <w:tmpl w:val="CBA4EE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43EFD"/>
    <w:multiLevelType w:val="hybridMultilevel"/>
    <w:tmpl w:val="7C9A83DC"/>
    <w:name w:val="Legal 222"/>
    <w:lvl w:ilvl="0" w:tplc="9EBA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27E5D"/>
    <w:multiLevelType w:val="hybridMultilevel"/>
    <w:tmpl w:val="AAB0A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B6F7C"/>
    <w:multiLevelType w:val="multilevel"/>
    <w:tmpl w:val="56B49E3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520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4044758">
    <w:abstractNumId w:val="14"/>
  </w:num>
  <w:num w:numId="3" w16cid:durableId="1199201569">
    <w:abstractNumId w:val="20"/>
  </w:num>
  <w:num w:numId="4" w16cid:durableId="1444421091">
    <w:abstractNumId w:val="1"/>
  </w:num>
  <w:num w:numId="5" w16cid:durableId="334768703">
    <w:abstractNumId w:val="22"/>
  </w:num>
  <w:num w:numId="6" w16cid:durableId="864369486">
    <w:abstractNumId w:val="15"/>
  </w:num>
  <w:num w:numId="7" w16cid:durableId="1334524950">
    <w:abstractNumId w:val="18"/>
  </w:num>
  <w:num w:numId="8" w16cid:durableId="393042393">
    <w:abstractNumId w:val="4"/>
  </w:num>
  <w:num w:numId="9" w16cid:durableId="1915965917">
    <w:abstractNumId w:val="5"/>
  </w:num>
  <w:num w:numId="10" w16cid:durableId="816606540">
    <w:abstractNumId w:val="3"/>
  </w:num>
  <w:num w:numId="11" w16cid:durableId="122962498">
    <w:abstractNumId w:val="14"/>
    <w:lvlOverride w:ilvl="0">
      <w:startOverride w:val="1"/>
    </w:lvlOverride>
  </w:num>
  <w:num w:numId="12" w16cid:durableId="1020545159">
    <w:abstractNumId w:val="9"/>
  </w:num>
  <w:num w:numId="13" w16cid:durableId="924385837">
    <w:abstractNumId w:val="12"/>
  </w:num>
  <w:num w:numId="14" w16cid:durableId="1497266896">
    <w:abstractNumId w:val="17"/>
  </w:num>
  <w:num w:numId="15" w16cid:durableId="210309144">
    <w:abstractNumId w:val="0"/>
  </w:num>
  <w:num w:numId="16" w16cid:durableId="2104570781">
    <w:abstractNumId w:val="16"/>
  </w:num>
  <w:num w:numId="17" w16cid:durableId="573465947">
    <w:abstractNumId w:val="21"/>
  </w:num>
  <w:num w:numId="18" w16cid:durableId="794980072">
    <w:abstractNumId w:val="13"/>
  </w:num>
  <w:num w:numId="19" w16cid:durableId="753432705">
    <w:abstractNumId w:val="6"/>
  </w:num>
  <w:num w:numId="20" w16cid:durableId="118574383">
    <w:abstractNumId w:val="10"/>
  </w:num>
  <w:num w:numId="21" w16cid:durableId="36695033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jQztzQ1Njc2MjZT0lEKTi0uzszPAykwNKgFAI2LAkMtAAAA"/>
    <w:docVar w:name="DocIDAuthor" w:val="False"/>
    <w:docVar w:name="DocIDClientMatter" w:val="True"/>
    <w:docVar w:name="DocIDDate" w:val="False"/>
    <w:docVar w:name="DocIDLibrary" w:val="True"/>
    <w:docVar w:name="DocIDType" w:val="AllPages"/>
    <w:docVar w:name="DocIDTypist" w:val="False"/>
  </w:docVars>
  <w:rsids>
    <w:rsidRoot w:val="00AB3D50"/>
    <w:rsid w:val="00010644"/>
    <w:rsid w:val="0001077E"/>
    <w:rsid w:val="00010802"/>
    <w:rsid w:val="00013792"/>
    <w:rsid w:val="00014D47"/>
    <w:rsid w:val="00015D16"/>
    <w:rsid w:val="0001668A"/>
    <w:rsid w:val="00017FAD"/>
    <w:rsid w:val="00020CCD"/>
    <w:rsid w:val="00027F8F"/>
    <w:rsid w:val="000316BF"/>
    <w:rsid w:val="00031CCE"/>
    <w:rsid w:val="00031DA4"/>
    <w:rsid w:val="00031F5B"/>
    <w:rsid w:val="000376B1"/>
    <w:rsid w:val="00041014"/>
    <w:rsid w:val="00045F66"/>
    <w:rsid w:val="000460FC"/>
    <w:rsid w:val="00047B4F"/>
    <w:rsid w:val="00055FF8"/>
    <w:rsid w:val="000576B9"/>
    <w:rsid w:val="0005785B"/>
    <w:rsid w:val="000610E0"/>
    <w:rsid w:val="00063B5F"/>
    <w:rsid w:val="00071B26"/>
    <w:rsid w:val="0007237B"/>
    <w:rsid w:val="000752E1"/>
    <w:rsid w:val="00080F95"/>
    <w:rsid w:val="00090286"/>
    <w:rsid w:val="000A128B"/>
    <w:rsid w:val="000A12D8"/>
    <w:rsid w:val="000A194D"/>
    <w:rsid w:val="000A3427"/>
    <w:rsid w:val="000B2D00"/>
    <w:rsid w:val="000B31A7"/>
    <w:rsid w:val="000B359A"/>
    <w:rsid w:val="000B3AC0"/>
    <w:rsid w:val="000B6FB5"/>
    <w:rsid w:val="000C1B4A"/>
    <w:rsid w:val="000C411F"/>
    <w:rsid w:val="000E3678"/>
    <w:rsid w:val="000E3D8B"/>
    <w:rsid w:val="000E66E3"/>
    <w:rsid w:val="000E704D"/>
    <w:rsid w:val="000E789B"/>
    <w:rsid w:val="000F23BC"/>
    <w:rsid w:val="000F5863"/>
    <w:rsid w:val="000F604A"/>
    <w:rsid w:val="001033AC"/>
    <w:rsid w:val="00107CA7"/>
    <w:rsid w:val="0011068E"/>
    <w:rsid w:val="00111956"/>
    <w:rsid w:val="0011556C"/>
    <w:rsid w:val="0012194E"/>
    <w:rsid w:val="00123C6B"/>
    <w:rsid w:val="00124D3D"/>
    <w:rsid w:val="00125B0C"/>
    <w:rsid w:val="00127311"/>
    <w:rsid w:val="00127AD6"/>
    <w:rsid w:val="00127BDE"/>
    <w:rsid w:val="00130F49"/>
    <w:rsid w:val="00134F4C"/>
    <w:rsid w:val="001363D7"/>
    <w:rsid w:val="00136F2B"/>
    <w:rsid w:val="001411A4"/>
    <w:rsid w:val="00146319"/>
    <w:rsid w:val="00146CF8"/>
    <w:rsid w:val="0015297B"/>
    <w:rsid w:val="00153F67"/>
    <w:rsid w:val="00154A3B"/>
    <w:rsid w:val="00163B66"/>
    <w:rsid w:val="00163FFF"/>
    <w:rsid w:val="001744A5"/>
    <w:rsid w:val="00175ED3"/>
    <w:rsid w:val="0018118B"/>
    <w:rsid w:val="0018515D"/>
    <w:rsid w:val="00185F48"/>
    <w:rsid w:val="00186E20"/>
    <w:rsid w:val="001901A9"/>
    <w:rsid w:val="001939EB"/>
    <w:rsid w:val="00195AB0"/>
    <w:rsid w:val="0019614E"/>
    <w:rsid w:val="00196A4F"/>
    <w:rsid w:val="00197B63"/>
    <w:rsid w:val="001A17C0"/>
    <w:rsid w:val="001A7045"/>
    <w:rsid w:val="001A77D0"/>
    <w:rsid w:val="001B12FE"/>
    <w:rsid w:val="001B2883"/>
    <w:rsid w:val="001B29C6"/>
    <w:rsid w:val="001B4109"/>
    <w:rsid w:val="001B653A"/>
    <w:rsid w:val="001B7354"/>
    <w:rsid w:val="001B799F"/>
    <w:rsid w:val="001C5727"/>
    <w:rsid w:val="001D1C3D"/>
    <w:rsid w:val="001D3154"/>
    <w:rsid w:val="001D4520"/>
    <w:rsid w:val="001D5DC7"/>
    <w:rsid w:val="001D6252"/>
    <w:rsid w:val="001E1270"/>
    <w:rsid w:val="001E487F"/>
    <w:rsid w:val="001F02B7"/>
    <w:rsid w:val="001F2F9A"/>
    <w:rsid w:val="001F3B25"/>
    <w:rsid w:val="002003B5"/>
    <w:rsid w:val="00201DA0"/>
    <w:rsid w:val="00203EB4"/>
    <w:rsid w:val="00204177"/>
    <w:rsid w:val="00204A95"/>
    <w:rsid w:val="002111DA"/>
    <w:rsid w:val="002121E6"/>
    <w:rsid w:val="002129C4"/>
    <w:rsid w:val="002169BC"/>
    <w:rsid w:val="00217B3A"/>
    <w:rsid w:val="0022183B"/>
    <w:rsid w:val="002242D2"/>
    <w:rsid w:val="00225DAF"/>
    <w:rsid w:val="0023061D"/>
    <w:rsid w:val="00236964"/>
    <w:rsid w:val="00242990"/>
    <w:rsid w:val="002467B1"/>
    <w:rsid w:val="0025049F"/>
    <w:rsid w:val="00252D49"/>
    <w:rsid w:val="0025310C"/>
    <w:rsid w:val="00253A0B"/>
    <w:rsid w:val="002541E9"/>
    <w:rsid w:val="00255256"/>
    <w:rsid w:val="00257869"/>
    <w:rsid w:val="00257D62"/>
    <w:rsid w:val="002601A5"/>
    <w:rsid w:val="00260C53"/>
    <w:rsid w:val="00271D10"/>
    <w:rsid w:val="0027352D"/>
    <w:rsid w:val="002757CC"/>
    <w:rsid w:val="002818CC"/>
    <w:rsid w:val="00284C49"/>
    <w:rsid w:val="002879C9"/>
    <w:rsid w:val="002918B0"/>
    <w:rsid w:val="00292175"/>
    <w:rsid w:val="00295F59"/>
    <w:rsid w:val="002A08BD"/>
    <w:rsid w:val="002A09C9"/>
    <w:rsid w:val="002A0BFF"/>
    <w:rsid w:val="002A1ECA"/>
    <w:rsid w:val="002A3F3D"/>
    <w:rsid w:val="002A68B7"/>
    <w:rsid w:val="002B304D"/>
    <w:rsid w:val="002C0CB3"/>
    <w:rsid w:val="002C3166"/>
    <w:rsid w:val="002C3CAD"/>
    <w:rsid w:val="002C4CE2"/>
    <w:rsid w:val="002C5F1F"/>
    <w:rsid w:val="002C7625"/>
    <w:rsid w:val="002D1DEB"/>
    <w:rsid w:val="002D2453"/>
    <w:rsid w:val="002D280D"/>
    <w:rsid w:val="002D3BDE"/>
    <w:rsid w:val="002E11FD"/>
    <w:rsid w:val="002E5E37"/>
    <w:rsid w:val="002E6786"/>
    <w:rsid w:val="0030636C"/>
    <w:rsid w:val="00310E10"/>
    <w:rsid w:val="00311C8D"/>
    <w:rsid w:val="003126FF"/>
    <w:rsid w:val="00312C55"/>
    <w:rsid w:val="00315CE1"/>
    <w:rsid w:val="00316668"/>
    <w:rsid w:val="003170BE"/>
    <w:rsid w:val="00320C31"/>
    <w:rsid w:val="00323D04"/>
    <w:rsid w:val="0032551B"/>
    <w:rsid w:val="003271AA"/>
    <w:rsid w:val="00327E6B"/>
    <w:rsid w:val="00330FAD"/>
    <w:rsid w:val="00337581"/>
    <w:rsid w:val="00337D83"/>
    <w:rsid w:val="00340A9D"/>
    <w:rsid w:val="003418AD"/>
    <w:rsid w:val="00345AC5"/>
    <w:rsid w:val="00347533"/>
    <w:rsid w:val="003516CE"/>
    <w:rsid w:val="0035223E"/>
    <w:rsid w:val="00352B99"/>
    <w:rsid w:val="0035584B"/>
    <w:rsid w:val="00355D52"/>
    <w:rsid w:val="00366523"/>
    <w:rsid w:val="00366C10"/>
    <w:rsid w:val="00372298"/>
    <w:rsid w:val="00373DD8"/>
    <w:rsid w:val="0037645C"/>
    <w:rsid w:val="00377549"/>
    <w:rsid w:val="00380BA6"/>
    <w:rsid w:val="00383C5D"/>
    <w:rsid w:val="00386A7D"/>
    <w:rsid w:val="00386B0F"/>
    <w:rsid w:val="00387448"/>
    <w:rsid w:val="00391B70"/>
    <w:rsid w:val="00393AFE"/>
    <w:rsid w:val="003A333F"/>
    <w:rsid w:val="003B48B2"/>
    <w:rsid w:val="003B5B80"/>
    <w:rsid w:val="003B7F6F"/>
    <w:rsid w:val="003C5F1F"/>
    <w:rsid w:val="003C670A"/>
    <w:rsid w:val="003D32B5"/>
    <w:rsid w:val="003D711F"/>
    <w:rsid w:val="003E3060"/>
    <w:rsid w:val="003E37FB"/>
    <w:rsid w:val="003E43F9"/>
    <w:rsid w:val="003E77CC"/>
    <w:rsid w:val="003F2AC7"/>
    <w:rsid w:val="003F3D30"/>
    <w:rsid w:val="003F7399"/>
    <w:rsid w:val="003F73AD"/>
    <w:rsid w:val="00402656"/>
    <w:rsid w:val="00402B5F"/>
    <w:rsid w:val="0040415B"/>
    <w:rsid w:val="004049D4"/>
    <w:rsid w:val="0040593D"/>
    <w:rsid w:val="00405B6E"/>
    <w:rsid w:val="00406FA7"/>
    <w:rsid w:val="00410FD8"/>
    <w:rsid w:val="00412E25"/>
    <w:rsid w:val="00415B1B"/>
    <w:rsid w:val="00415E73"/>
    <w:rsid w:val="00422864"/>
    <w:rsid w:val="00422E75"/>
    <w:rsid w:val="004234DD"/>
    <w:rsid w:val="0042407E"/>
    <w:rsid w:val="00433CF6"/>
    <w:rsid w:val="004351C4"/>
    <w:rsid w:val="00444201"/>
    <w:rsid w:val="0044722F"/>
    <w:rsid w:val="0045021B"/>
    <w:rsid w:val="00451506"/>
    <w:rsid w:val="00454DFA"/>
    <w:rsid w:val="00456123"/>
    <w:rsid w:val="00456D5E"/>
    <w:rsid w:val="004576CC"/>
    <w:rsid w:val="0046002D"/>
    <w:rsid w:val="00463A8F"/>
    <w:rsid w:val="00470891"/>
    <w:rsid w:val="00474F84"/>
    <w:rsid w:val="004777EE"/>
    <w:rsid w:val="0048394E"/>
    <w:rsid w:val="00484117"/>
    <w:rsid w:val="004842E5"/>
    <w:rsid w:val="00484466"/>
    <w:rsid w:val="00485221"/>
    <w:rsid w:val="00486C1F"/>
    <w:rsid w:val="004908C4"/>
    <w:rsid w:val="00493C4E"/>
    <w:rsid w:val="004955EE"/>
    <w:rsid w:val="00495F97"/>
    <w:rsid w:val="004A0819"/>
    <w:rsid w:val="004A3C22"/>
    <w:rsid w:val="004A5263"/>
    <w:rsid w:val="004A6BBC"/>
    <w:rsid w:val="004A7F8F"/>
    <w:rsid w:val="004B3358"/>
    <w:rsid w:val="004B5041"/>
    <w:rsid w:val="004C0B68"/>
    <w:rsid w:val="004C27FE"/>
    <w:rsid w:val="004C43F4"/>
    <w:rsid w:val="004D05D7"/>
    <w:rsid w:val="004D180C"/>
    <w:rsid w:val="004D3EC4"/>
    <w:rsid w:val="004D72D8"/>
    <w:rsid w:val="004E17A3"/>
    <w:rsid w:val="004E1E2F"/>
    <w:rsid w:val="004E2398"/>
    <w:rsid w:val="004E2872"/>
    <w:rsid w:val="004E2E67"/>
    <w:rsid w:val="004E3814"/>
    <w:rsid w:val="004E4510"/>
    <w:rsid w:val="004E7A20"/>
    <w:rsid w:val="004F127F"/>
    <w:rsid w:val="004F5495"/>
    <w:rsid w:val="004F5752"/>
    <w:rsid w:val="004F7D90"/>
    <w:rsid w:val="0050301A"/>
    <w:rsid w:val="0050670A"/>
    <w:rsid w:val="005134EF"/>
    <w:rsid w:val="00515B2C"/>
    <w:rsid w:val="00523ED0"/>
    <w:rsid w:val="00524367"/>
    <w:rsid w:val="00532272"/>
    <w:rsid w:val="00533896"/>
    <w:rsid w:val="00543DEF"/>
    <w:rsid w:val="00544E6F"/>
    <w:rsid w:val="005472AB"/>
    <w:rsid w:val="005505CD"/>
    <w:rsid w:val="00550A49"/>
    <w:rsid w:val="0055140D"/>
    <w:rsid w:val="00551593"/>
    <w:rsid w:val="005520E2"/>
    <w:rsid w:val="00552181"/>
    <w:rsid w:val="005555D7"/>
    <w:rsid w:val="00555DFF"/>
    <w:rsid w:val="005644EC"/>
    <w:rsid w:val="00572846"/>
    <w:rsid w:val="005738A5"/>
    <w:rsid w:val="005744AB"/>
    <w:rsid w:val="0057463A"/>
    <w:rsid w:val="00574765"/>
    <w:rsid w:val="00574B62"/>
    <w:rsid w:val="00585309"/>
    <w:rsid w:val="00586AE3"/>
    <w:rsid w:val="0058736F"/>
    <w:rsid w:val="00587CC6"/>
    <w:rsid w:val="005922E1"/>
    <w:rsid w:val="00595F86"/>
    <w:rsid w:val="00596BF6"/>
    <w:rsid w:val="00596FC5"/>
    <w:rsid w:val="00597851"/>
    <w:rsid w:val="005A0B7B"/>
    <w:rsid w:val="005A325D"/>
    <w:rsid w:val="005A4EB2"/>
    <w:rsid w:val="005A703C"/>
    <w:rsid w:val="005A7EDC"/>
    <w:rsid w:val="005B4299"/>
    <w:rsid w:val="005B5652"/>
    <w:rsid w:val="005C749E"/>
    <w:rsid w:val="005D3940"/>
    <w:rsid w:val="005E013C"/>
    <w:rsid w:val="005E1823"/>
    <w:rsid w:val="005E4110"/>
    <w:rsid w:val="005E553B"/>
    <w:rsid w:val="005E7913"/>
    <w:rsid w:val="005F2313"/>
    <w:rsid w:val="005F2B04"/>
    <w:rsid w:val="005F2D2F"/>
    <w:rsid w:val="00602C31"/>
    <w:rsid w:val="006039A9"/>
    <w:rsid w:val="00604072"/>
    <w:rsid w:val="00607BD8"/>
    <w:rsid w:val="00610055"/>
    <w:rsid w:val="00610713"/>
    <w:rsid w:val="00610C39"/>
    <w:rsid w:val="006114A5"/>
    <w:rsid w:val="006121D9"/>
    <w:rsid w:val="00612E9A"/>
    <w:rsid w:val="006167E6"/>
    <w:rsid w:val="00616BED"/>
    <w:rsid w:val="0062073B"/>
    <w:rsid w:val="00622DB0"/>
    <w:rsid w:val="00624931"/>
    <w:rsid w:val="00624BFB"/>
    <w:rsid w:val="0062522E"/>
    <w:rsid w:val="00625D3E"/>
    <w:rsid w:val="006340E1"/>
    <w:rsid w:val="006351A6"/>
    <w:rsid w:val="00635844"/>
    <w:rsid w:val="00640BE1"/>
    <w:rsid w:val="00641283"/>
    <w:rsid w:val="00650656"/>
    <w:rsid w:val="006512C3"/>
    <w:rsid w:val="00651898"/>
    <w:rsid w:val="00654F24"/>
    <w:rsid w:val="00655DB5"/>
    <w:rsid w:val="00660A92"/>
    <w:rsid w:val="00662DD5"/>
    <w:rsid w:val="00662F8D"/>
    <w:rsid w:val="00665B8E"/>
    <w:rsid w:val="006667FB"/>
    <w:rsid w:val="00666E5B"/>
    <w:rsid w:val="00670D07"/>
    <w:rsid w:val="006745D4"/>
    <w:rsid w:val="00674C24"/>
    <w:rsid w:val="006756FB"/>
    <w:rsid w:val="00680168"/>
    <w:rsid w:val="00682BCB"/>
    <w:rsid w:val="00687940"/>
    <w:rsid w:val="00687A59"/>
    <w:rsid w:val="00690AD6"/>
    <w:rsid w:val="00690B29"/>
    <w:rsid w:val="00693FE6"/>
    <w:rsid w:val="006A059E"/>
    <w:rsid w:val="006A458F"/>
    <w:rsid w:val="006A4AD7"/>
    <w:rsid w:val="006A5213"/>
    <w:rsid w:val="006A61A3"/>
    <w:rsid w:val="006A7251"/>
    <w:rsid w:val="006B2B1E"/>
    <w:rsid w:val="006B561E"/>
    <w:rsid w:val="006B6894"/>
    <w:rsid w:val="006C0D60"/>
    <w:rsid w:val="006C2E06"/>
    <w:rsid w:val="006C4612"/>
    <w:rsid w:val="006C59AD"/>
    <w:rsid w:val="006C754C"/>
    <w:rsid w:val="006C7C55"/>
    <w:rsid w:val="006D2160"/>
    <w:rsid w:val="006D41AE"/>
    <w:rsid w:val="006D682E"/>
    <w:rsid w:val="006D6AEF"/>
    <w:rsid w:val="006E08D4"/>
    <w:rsid w:val="006E3D52"/>
    <w:rsid w:val="006E4214"/>
    <w:rsid w:val="006E5B0A"/>
    <w:rsid w:val="006F1A79"/>
    <w:rsid w:val="006F3B82"/>
    <w:rsid w:val="006F41CC"/>
    <w:rsid w:val="006F44FB"/>
    <w:rsid w:val="006F4DF2"/>
    <w:rsid w:val="006F63B8"/>
    <w:rsid w:val="006F6B4B"/>
    <w:rsid w:val="006F7B3E"/>
    <w:rsid w:val="007017A7"/>
    <w:rsid w:val="0070274E"/>
    <w:rsid w:val="0070526C"/>
    <w:rsid w:val="00707ED2"/>
    <w:rsid w:val="00713F5D"/>
    <w:rsid w:val="0071510E"/>
    <w:rsid w:val="00723684"/>
    <w:rsid w:val="0072386F"/>
    <w:rsid w:val="00727998"/>
    <w:rsid w:val="00733351"/>
    <w:rsid w:val="00733C86"/>
    <w:rsid w:val="00733E69"/>
    <w:rsid w:val="00734206"/>
    <w:rsid w:val="00734AA3"/>
    <w:rsid w:val="00737529"/>
    <w:rsid w:val="0074276E"/>
    <w:rsid w:val="00745EDC"/>
    <w:rsid w:val="00746D3A"/>
    <w:rsid w:val="00747B38"/>
    <w:rsid w:val="00750122"/>
    <w:rsid w:val="00753741"/>
    <w:rsid w:val="00763788"/>
    <w:rsid w:val="00763AF0"/>
    <w:rsid w:val="00765549"/>
    <w:rsid w:val="007668C3"/>
    <w:rsid w:val="00774BD8"/>
    <w:rsid w:val="0077736E"/>
    <w:rsid w:val="00786C2D"/>
    <w:rsid w:val="00787E68"/>
    <w:rsid w:val="0079157C"/>
    <w:rsid w:val="00791B0A"/>
    <w:rsid w:val="00792603"/>
    <w:rsid w:val="007946E7"/>
    <w:rsid w:val="00797274"/>
    <w:rsid w:val="007A09D2"/>
    <w:rsid w:val="007A4980"/>
    <w:rsid w:val="007B16CA"/>
    <w:rsid w:val="007B3C9C"/>
    <w:rsid w:val="007C2FBA"/>
    <w:rsid w:val="007C33E5"/>
    <w:rsid w:val="007C5099"/>
    <w:rsid w:val="007D13F3"/>
    <w:rsid w:val="007D2AED"/>
    <w:rsid w:val="007D2F92"/>
    <w:rsid w:val="007D6152"/>
    <w:rsid w:val="007E124B"/>
    <w:rsid w:val="007E1696"/>
    <w:rsid w:val="007E5B8A"/>
    <w:rsid w:val="007F6B5C"/>
    <w:rsid w:val="007F7934"/>
    <w:rsid w:val="0080258D"/>
    <w:rsid w:val="008041BC"/>
    <w:rsid w:val="00804938"/>
    <w:rsid w:val="00805C85"/>
    <w:rsid w:val="00806FE8"/>
    <w:rsid w:val="0081031A"/>
    <w:rsid w:val="00811C14"/>
    <w:rsid w:val="00820A7F"/>
    <w:rsid w:val="00822A68"/>
    <w:rsid w:val="00822FBD"/>
    <w:rsid w:val="00826331"/>
    <w:rsid w:val="0083045B"/>
    <w:rsid w:val="008329A0"/>
    <w:rsid w:val="00835365"/>
    <w:rsid w:val="00843574"/>
    <w:rsid w:val="00846138"/>
    <w:rsid w:val="00851F6D"/>
    <w:rsid w:val="00852DBE"/>
    <w:rsid w:val="00853161"/>
    <w:rsid w:val="00857CF1"/>
    <w:rsid w:val="00860FB3"/>
    <w:rsid w:val="00862867"/>
    <w:rsid w:val="00863723"/>
    <w:rsid w:val="0086485E"/>
    <w:rsid w:val="008706CD"/>
    <w:rsid w:val="00871F7D"/>
    <w:rsid w:val="00876D47"/>
    <w:rsid w:val="00881182"/>
    <w:rsid w:val="0089490A"/>
    <w:rsid w:val="0089752A"/>
    <w:rsid w:val="008A0CD3"/>
    <w:rsid w:val="008A0EF6"/>
    <w:rsid w:val="008A4BDA"/>
    <w:rsid w:val="008A62B8"/>
    <w:rsid w:val="008A62BA"/>
    <w:rsid w:val="008A796F"/>
    <w:rsid w:val="008A7FA0"/>
    <w:rsid w:val="008B2242"/>
    <w:rsid w:val="008B5D91"/>
    <w:rsid w:val="008C066D"/>
    <w:rsid w:val="008C0B62"/>
    <w:rsid w:val="008C3B33"/>
    <w:rsid w:val="008C4600"/>
    <w:rsid w:val="008C7787"/>
    <w:rsid w:val="008D18B8"/>
    <w:rsid w:val="008D3923"/>
    <w:rsid w:val="008E0B52"/>
    <w:rsid w:val="008E0E70"/>
    <w:rsid w:val="008E4979"/>
    <w:rsid w:val="008E7C62"/>
    <w:rsid w:val="008F131F"/>
    <w:rsid w:val="008F428D"/>
    <w:rsid w:val="008F43CA"/>
    <w:rsid w:val="008F5AB2"/>
    <w:rsid w:val="008F661D"/>
    <w:rsid w:val="009005FF"/>
    <w:rsid w:val="009012D0"/>
    <w:rsid w:val="00901CBC"/>
    <w:rsid w:val="009026B2"/>
    <w:rsid w:val="00913F20"/>
    <w:rsid w:val="009209D3"/>
    <w:rsid w:val="009233CA"/>
    <w:rsid w:val="009248D4"/>
    <w:rsid w:val="00924CA4"/>
    <w:rsid w:val="00924CAF"/>
    <w:rsid w:val="009261CD"/>
    <w:rsid w:val="009267EF"/>
    <w:rsid w:val="00926980"/>
    <w:rsid w:val="00931840"/>
    <w:rsid w:val="009321C3"/>
    <w:rsid w:val="0093428E"/>
    <w:rsid w:val="00936EDB"/>
    <w:rsid w:val="009429F0"/>
    <w:rsid w:val="00943AD1"/>
    <w:rsid w:val="00956707"/>
    <w:rsid w:val="0095679E"/>
    <w:rsid w:val="00956DB0"/>
    <w:rsid w:val="00957973"/>
    <w:rsid w:val="00962EA1"/>
    <w:rsid w:val="009658BC"/>
    <w:rsid w:val="00967D9B"/>
    <w:rsid w:val="00970456"/>
    <w:rsid w:val="00970AD5"/>
    <w:rsid w:val="0097428C"/>
    <w:rsid w:val="00976FF7"/>
    <w:rsid w:val="00981BE5"/>
    <w:rsid w:val="00983499"/>
    <w:rsid w:val="009861DA"/>
    <w:rsid w:val="00987279"/>
    <w:rsid w:val="00990CFC"/>
    <w:rsid w:val="00994019"/>
    <w:rsid w:val="00995DE0"/>
    <w:rsid w:val="009A00A0"/>
    <w:rsid w:val="009A3889"/>
    <w:rsid w:val="009A60BE"/>
    <w:rsid w:val="009A64CC"/>
    <w:rsid w:val="009A75C1"/>
    <w:rsid w:val="009B256D"/>
    <w:rsid w:val="009C025E"/>
    <w:rsid w:val="009C2307"/>
    <w:rsid w:val="009C3DC9"/>
    <w:rsid w:val="009D27FC"/>
    <w:rsid w:val="009D2D4B"/>
    <w:rsid w:val="009D34CF"/>
    <w:rsid w:val="009D44FE"/>
    <w:rsid w:val="009D5261"/>
    <w:rsid w:val="009D7710"/>
    <w:rsid w:val="009D7DAA"/>
    <w:rsid w:val="009E02C0"/>
    <w:rsid w:val="009E0EA9"/>
    <w:rsid w:val="009F0036"/>
    <w:rsid w:val="009F0633"/>
    <w:rsid w:val="009F4527"/>
    <w:rsid w:val="009F4529"/>
    <w:rsid w:val="009F5A81"/>
    <w:rsid w:val="00A0296F"/>
    <w:rsid w:val="00A12392"/>
    <w:rsid w:val="00A123C7"/>
    <w:rsid w:val="00A14D0C"/>
    <w:rsid w:val="00A14E53"/>
    <w:rsid w:val="00A15417"/>
    <w:rsid w:val="00A1591E"/>
    <w:rsid w:val="00A229D0"/>
    <w:rsid w:val="00A22E55"/>
    <w:rsid w:val="00A2382B"/>
    <w:rsid w:val="00A243A0"/>
    <w:rsid w:val="00A2506C"/>
    <w:rsid w:val="00A25B2A"/>
    <w:rsid w:val="00A261E3"/>
    <w:rsid w:val="00A3003C"/>
    <w:rsid w:val="00A321EC"/>
    <w:rsid w:val="00A32560"/>
    <w:rsid w:val="00A32AA5"/>
    <w:rsid w:val="00A3704D"/>
    <w:rsid w:val="00A4420D"/>
    <w:rsid w:val="00A510E0"/>
    <w:rsid w:val="00A53C23"/>
    <w:rsid w:val="00A557C0"/>
    <w:rsid w:val="00A55E52"/>
    <w:rsid w:val="00A6168C"/>
    <w:rsid w:val="00A63378"/>
    <w:rsid w:val="00A64FA9"/>
    <w:rsid w:val="00A66B3B"/>
    <w:rsid w:val="00A67A9F"/>
    <w:rsid w:val="00A76BDB"/>
    <w:rsid w:val="00A81B7F"/>
    <w:rsid w:val="00A87919"/>
    <w:rsid w:val="00A928A8"/>
    <w:rsid w:val="00A9603E"/>
    <w:rsid w:val="00AA4FEC"/>
    <w:rsid w:val="00AA7F8C"/>
    <w:rsid w:val="00AB1DAC"/>
    <w:rsid w:val="00AB3D50"/>
    <w:rsid w:val="00AB5810"/>
    <w:rsid w:val="00AC1A19"/>
    <w:rsid w:val="00AC32E1"/>
    <w:rsid w:val="00AD6A3E"/>
    <w:rsid w:val="00AE5580"/>
    <w:rsid w:val="00AE5759"/>
    <w:rsid w:val="00AE62D1"/>
    <w:rsid w:val="00AE6680"/>
    <w:rsid w:val="00AF019E"/>
    <w:rsid w:val="00AF27DF"/>
    <w:rsid w:val="00B00505"/>
    <w:rsid w:val="00B06886"/>
    <w:rsid w:val="00B11A6F"/>
    <w:rsid w:val="00B163D5"/>
    <w:rsid w:val="00B201A5"/>
    <w:rsid w:val="00B227F5"/>
    <w:rsid w:val="00B260E4"/>
    <w:rsid w:val="00B27389"/>
    <w:rsid w:val="00B3175A"/>
    <w:rsid w:val="00B32835"/>
    <w:rsid w:val="00B32DEB"/>
    <w:rsid w:val="00B345A3"/>
    <w:rsid w:val="00B41D72"/>
    <w:rsid w:val="00B42FC6"/>
    <w:rsid w:val="00B460DF"/>
    <w:rsid w:val="00B46518"/>
    <w:rsid w:val="00B4658E"/>
    <w:rsid w:val="00B467D2"/>
    <w:rsid w:val="00B530E0"/>
    <w:rsid w:val="00B54C05"/>
    <w:rsid w:val="00B557F0"/>
    <w:rsid w:val="00B559C3"/>
    <w:rsid w:val="00B55E08"/>
    <w:rsid w:val="00B56D70"/>
    <w:rsid w:val="00B66FC2"/>
    <w:rsid w:val="00B72222"/>
    <w:rsid w:val="00B74821"/>
    <w:rsid w:val="00B80D5A"/>
    <w:rsid w:val="00B82835"/>
    <w:rsid w:val="00B8294E"/>
    <w:rsid w:val="00B8321A"/>
    <w:rsid w:val="00B838BF"/>
    <w:rsid w:val="00B858C7"/>
    <w:rsid w:val="00B97739"/>
    <w:rsid w:val="00B979ED"/>
    <w:rsid w:val="00BA0812"/>
    <w:rsid w:val="00BA49B0"/>
    <w:rsid w:val="00BB355E"/>
    <w:rsid w:val="00BB3D61"/>
    <w:rsid w:val="00BD26C9"/>
    <w:rsid w:val="00BD2B40"/>
    <w:rsid w:val="00BD67E6"/>
    <w:rsid w:val="00BD6C7F"/>
    <w:rsid w:val="00BE3A32"/>
    <w:rsid w:val="00BE4ECE"/>
    <w:rsid w:val="00BE54AB"/>
    <w:rsid w:val="00BE5CFB"/>
    <w:rsid w:val="00BE64D9"/>
    <w:rsid w:val="00BF0392"/>
    <w:rsid w:val="00C0156A"/>
    <w:rsid w:val="00C02EA3"/>
    <w:rsid w:val="00C105B4"/>
    <w:rsid w:val="00C1176E"/>
    <w:rsid w:val="00C13EE9"/>
    <w:rsid w:val="00C151B9"/>
    <w:rsid w:val="00C16079"/>
    <w:rsid w:val="00C17CED"/>
    <w:rsid w:val="00C17DB7"/>
    <w:rsid w:val="00C212BF"/>
    <w:rsid w:val="00C216E2"/>
    <w:rsid w:val="00C219A1"/>
    <w:rsid w:val="00C25280"/>
    <w:rsid w:val="00C3011C"/>
    <w:rsid w:val="00C36D96"/>
    <w:rsid w:val="00C41BB8"/>
    <w:rsid w:val="00C41D64"/>
    <w:rsid w:val="00C42408"/>
    <w:rsid w:val="00C44A95"/>
    <w:rsid w:val="00C51F69"/>
    <w:rsid w:val="00C52C42"/>
    <w:rsid w:val="00C54A6F"/>
    <w:rsid w:val="00C573DE"/>
    <w:rsid w:val="00C64715"/>
    <w:rsid w:val="00C64CA8"/>
    <w:rsid w:val="00C71520"/>
    <w:rsid w:val="00C741D8"/>
    <w:rsid w:val="00C74EF2"/>
    <w:rsid w:val="00C7611B"/>
    <w:rsid w:val="00C768E4"/>
    <w:rsid w:val="00C776B3"/>
    <w:rsid w:val="00C77E44"/>
    <w:rsid w:val="00C81189"/>
    <w:rsid w:val="00C81ECD"/>
    <w:rsid w:val="00C82755"/>
    <w:rsid w:val="00C82C13"/>
    <w:rsid w:val="00C910B8"/>
    <w:rsid w:val="00C91199"/>
    <w:rsid w:val="00C94DEC"/>
    <w:rsid w:val="00C95AD6"/>
    <w:rsid w:val="00C95D5D"/>
    <w:rsid w:val="00CA0F47"/>
    <w:rsid w:val="00CA1097"/>
    <w:rsid w:val="00CA2554"/>
    <w:rsid w:val="00CA3EDF"/>
    <w:rsid w:val="00CA76F3"/>
    <w:rsid w:val="00CB4D7F"/>
    <w:rsid w:val="00CC273A"/>
    <w:rsid w:val="00CC36CC"/>
    <w:rsid w:val="00CD0794"/>
    <w:rsid w:val="00CD38F6"/>
    <w:rsid w:val="00CD43B7"/>
    <w:rsid w:val="00CD5345"/>
    <w:rsid w:val="00CE2160"/>
    <w:rsid w:val="00CE4048"/>
    <w:rsid w:val="00CE50E6"/>
    <w:rsid w:val="00CE50E8"/>
    <w:rsid w:val="00CF2E29"/>
    <w:rsid w:val="00CF59A1"/>
    <w:rsid w:val="00D034F0"/>
    <w:rsid w:val="00D06DC8"/>
    <w:rsid w:val="00D109A2"/>
    <w:rsid w:val="00D215C6"/>
    <w:rsid w:val="00D30D15"/>
    <w:rsid w:val="00D31E7D"/>
    <w:rsid w:val="00D32515"/>
    <w:rsid w:val="00D33750"/>
    <w:rsid w:val="00D351F7"/>
    <w:rsid w:val="00D35570"/>
    <w:rsid w:val="00D41069"/>
    <w:rsid w:val="00D5134D"/>
    <w:rsid w:val="00D5263D"/>
    <w:rsid w:val="00D561DA"/>
    <w:rsid w:val="00D5655F"/>
    <w:rsid w:val="00D617BB"/>
    <w:rsid w:val="00D6279E"/>
    <w:rsid w:val="00D64867"/>
    <w:rsid w:val="00D65288"/>
    <w:rsid w:val="00D67071"/>
    <w:rsid w:val="00D67544"/>
    <w:rsid w:val="00D67F88"/>
    <w:rsid w:val="00D75937"/>
    <w:rsid w:val="00D76200"/>
    <w:rsid w:val="00D81A28"/>
    <w:rsid w:val="00D82040"/>
    <w:rsid w:val="00D9158C"/>
    <w:rsid w:val="00D92E72"/>
    <w:rsid w:val="00D93A59"/>
    <w:rsid w:val="00D96970"/>
    <w:rsid w:val="00D977C9"/>
    <w:rsid w:val="00D97DC7"/>
    <w:rsid w:val="00DA74EB"/>
    <w:rsid w:val="00DB3CC3"/>
    <w:rsid w:val="00DB60B5"/>
    <w:rsid w:val="00DB7587"/>
    <w:rsid w:val="00DC2A9C"/>
    <w:rsid w:val="00DC648A"/>
    <w:rsid w:val="00DC71B6"/>
    <w:rsid w:val="00DD14A5"/>
    <w:rsid w:val="00DD23D2"/>
    <w:rsid w:val="00DD4046"/>
    <w:rsid w:val="00DE5688"/>
    <w:rsid w:val="00DE5C7D"/>
    <w:rsid w:val="00DE6C3F"/>
    <w:rsid w:val="00DF2BC1"/>
    <w:rsid w:val="00DF391A"/>
    <w:rsid w:val="00DF4E62"/>
    <w:rsid w:val="00DF6019"/>
    <w:rsid w:val="00DF70CE"/>
    <w:rsid w:val="00DF78CD"/>
    <w:rsid w:val="00E10800"/>
    <w:rsid w:val="00E12FBA"/>
    <w:rsid w:val="00E13032"/>
    <w:rsid w:val="00E15E85"/>
    <w:rsid w:val="00E26DAA"/>
    <w:rsid w:val="00E27A7E"/>
    <w:rsid w:val="00E27B2A"/>
    <w:rsid w:val="00E30FA3"/>
    <w:rsid w:val="00E332A0"/>
    <w:rsid w:val="00E404DC"/>
    <w:rsid w:val="00E40947"/>
    <w:rsid w:val="00E441E1"/>
    <w:rsid w:val="00E46424"/>
    <w:rsid w:val="00E47A27"/>
    <w:rsid w:val="00E51B28"/>
    <w:rsid w:val="00E52979"/>
    <w:rsid w:val="00E6229B"/>
    <w:rsid w:val="00E630B4"/>
    <w:rsid w:val="00E63F52"/>
    <w:rsid w:val="00E66DF0"/>
    <w:rsid w:val="00E72394"/>
    <w:rsid w:val="00E72B5C"/>
    <w:rsid w:val="00E77D44"/>
    <w:rsid w:val="00E8088C"/>
    <w:rsid w:val="00E83CE5"/>
    <w:rsid w:val="00E8563F"/>
    <w:rsid w:val="00E85B95"/>
    <w:rsid w:val="00E86DB2"/>
    <w:rsid w:val="00E901AB"/>
    <w:rsid w:val="00E90C28"/>
    <w:rsid w:val="00E915A7"/>
    <w:rsid w:val="00E91C49"/>
    <w:rsid w:val="00E936B5"/>
    <w:rsid w:val="00E94808"/>
    <w:rsid w:val="00E963D4"/>
    <w:rsid w:val="00E965F5"/>
    <w:rsid w:val="00EA1E98"/>
    <w:rsid w:val="00EA2562"/>
    <w:rsid w:val="00EB2DAA"/>
    <w:rsid w:val="00EB3F01"/>
    <w:rsid w:val="00EB796E"/>
    <w:rsid w:val="00EC2B96"/>
    <w:rsid w:val="00EC4BF9"/>
    <w:rsid w:val="00EC4DEA"/>
    <w:rsid w:val="00EC543C"/>
    <w:rsid w:val="00EC5A45"/>
    <w:rsid w:val="00EC5D12"/>
    <w:rsid w:val="00EC5FDB"/>
    <w:rsid w:val="00EC6162"/>
    <w:rsid w:val="00EC7D89"/>
    <w:rsid w:val="00ED0157"/>
    <w:rsid w:val="00ED350F"/>
    <w:rsid w:val="00ED38B1"/>
    <w:rsid w:val="00ED4864"/>
    <w:rsid w:val="00ED67FE"/>
    <w:rsid w:val="00EE05C4"/>
    <w:rsid w:val="00EE0B44"/>
    <w:rsid w:val="00EE11D0"/>
    <w:rsid w:val="00EE25D4"/>
    <w:rsid w:val="00EE39AA"/>
    <w:rsid w:val="00EE570B"/>
    <w:rsid w:val="00EF27EC"/>
    <w:rsid w:val="00EF3580"/>
    <w:rsid w:val="00EF795D"/>
    <w:rsid w:val="00F05890"/>
    <w:rsid w:val="00F06F34"/>
    <w:rsid w:val="00F111A8"/>
    <w:rsid w:val="00F13B14"/>
    <w:rsid w:val="00F20E80"/>
    <w:rsid w:val="00F21DFF"/>
    <w:rsid w:val="00F32696"/>
    <w:rsid w:val="00F335D3"/>
    <w:rsid w:val="00F3456C"/>
    <w:rsid w:val="00F409A8"/>
    <w:rsid w:val="00F42AAE"/>
    <w:rsid w:val="00F43FE5"/>
    <w:rsid w:val="00F46D99"/>
    <w:rsid w:val="00F51C5A"/>
    <w:rsid w:val="00F52A2D"/>
    <w:rsid w:val="00F5408D"/>
    <w:rsid w:val="00F5499E"/>
    <w:rsid w:val="00F563B1"/>
    <w:rsid w:val="00F569A7"/>
    <w:rsid w:val="00F62126"/>
    <w:rsid w:val="00F62E3F"/>
    <w:rsid w:val="00F62F7A"/>
    <w:rsid w:val="00F62FF4"/>
    <w:rsid w:val="00F663AD"/>
    <w:rsid w:val="00F7012E"/>
    <w:rsid w:val="00F72E7B"/>
    <w:rsid w:val="00F778BE"/>
    <w:rsid w:val="00F802C5"/>
    <w:rsid w:val="00F8073F"/>
    <w:rsid w:val="00F85716"/>
    <w:rsid w:val="00F85D35"/>
    <w:rsid w:val="00F85E90"/>
    <w:rsid w:val="00F9002D"/>
    <w:rsid w:val="00F91713"/>
    <w:rsid w:val="00F97BE8"/>
    <w:rsid w:val="00FA5228"/>
    <w:rsid w:val="00FB28F3"/>
    <w:rsid w:val="00FB2926"/>
    <w:rsid w:val="00FB2EAA"/>
    <w:rsid w:val="00FB3304"/>
    <w:rsid w:val="00FB4DDA"/>
    <w:rsid w:val="00FB62E7"/>
    <w:rsid w:val="00FC0846"/>
    <w:rsid w:val="00FC7633"/>
    <w:rsid w:val="00FC7A9A"/>
    <w:rsid w:val="00FD22BE"/>
    <w:rsid w:val="00FD2E50"/>
    <w:rsid w:val="00FE3A54"/>
    <w:rsid w:val="00FE430F"/>
    <w:rsid w:val="00FE615F"/>
    <w:rsid w:val="00FE7048"/>
    <w:rsid w:val="00FF266B"/>
    <w:rsid w:val="00FF3AA4"/>
    <w:rsid w:val="00FF3D17"/>
    <w:rsid w:val="00FF6366"/>
    <w:rsid w:val="3B70B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8B166A7"/>
  <w15:docId w15:val="{499666E9-1430-45F3-8F8D-64817543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288"/>
    <w:pPr>
      <w:widowControl w:val="0"/>
      <w:overflowPunct w:val="0"/>
      <w:autoSpaceDE w:val="0"/>
      <w:autoSpaceDN w:val="0"/>
      <w:adjustRightInd w:val="0"/>
      <w:textAlignment w:val="baseline"/>
    </w:pPr>
  </w:style>
  <w:style w:type="paragraph" w:styleId="Heading1">
    <w:name w:val="heading 1"/>
    <w:basedOn w:val="Normal"/>
    <w:next w:val="BodyText"/>
    <w:qFormat/>
    <w:rsid w:val="004E7A20"/>
    <w:pPr>
      <w:widowControl/>
      <w:numPr>
        <w:numId w:val="2"/>
      </w:numPr>
      <w:spacing w:after="240"/>
      <w:outlineLvl w:val="0"/>
    </w:pPr>
    <w:rPr>
      <w:color w:val="000000"/>
    </w:rPr>
  </w:style>
  <w:style w:type="paragraph" w:styleId="Heading2">
    <w:name w:val="heading 2"/>
    <w:basedOn w:val="Normal"/>
    <w:next w:val="BodyText"/>
    <w:qFormat/>
    <w:rsid w:val="004E7A20"/>
    <w:pPr>
      <w:widowControl/>
      <w:numPr>
        <w:ilvl w:val="1"/>
        <w:numId w:val="2"/>
      </w:numPr>
      <w:tabs>
        <w:tab w:val="clear" w:pos="900"/>
        <w:tab w:val="num" w:pos="1620"/>
      </w:tabs>
      <w:spacing w:after="240"/>
      <w:ind w:left="180"/>
      <w:outlineLvl w:val="1"/>
    </w:pPr>
    <w:rPr>
      <w:color w:val="000000"/>
    </w:rPr>
  </w:style>
  <w:style w:type="paragraph" w:styleId="Heading3">
    <w:name w:val="heading 3"/>
    <w:basedOn w:val="Normal"/>
    <w:next w:val="BodyText"/>
    <w:qFormat/>
    <w:rsid w:val="004E7A20"/>
    <w:pPr>
      <w:widowControl/>
      <w:spacing w:after="240"/>
      <w:outlineLvl w:val="2"/>
    </w:pPr>
    <w:rPr>
      <w:color w:val="000000"/>
    </w:rPr>
  </w:style>
  <w:style w:type="paragraph" w:styleId="Heading4">
    <w:name w:val="heading 4"/>
    <w:basedOn w:val="Normal"/>
    <w:next w:val="BodyText"/>
    <w:qFormat/>
    <w:rsid w:val="004E7A20"/>
    <w:pPr>
      <w:widowControl/>
      <w:numPr>
        <w:ilvl w:val="3"/>
        <w:numId w:val="2"/>
      </w:numPr>
      <w:spacing w:after="240"/>
      <w:outlineLvl w:val="3"/>
    </w:pPr>
    <w:rPr>
      <w:color w:val="000000"/>
    </w:rPr>
  </w:style>
  <w:style w:type="paragraph" w:styleId="Heading5">
    <w:name w:val="heading 5"/>
    <w:basedOn w:val="Normal"/>
    <w:next w:val="BodyText"/>
    <w:qFormat/>
    <w:rsid w:val="004E7A20"/>
    <w:pPr>
      <w:widowControl/>
      <w:numPr>
        <w:ilvl w:val="4"/>
        <w:numId w:val="2"/>
      </w:numPr>
      <w:spacing w:after="240"/>
      <w:outlineLvl w:val="4"/>
    </w:pPr>
    <w:rPr>
      <w:color w:val="000000"/>
    </w:rPr>
  </w:style>
  <w:style w:type="paragraph" w:styleId="Heading6">
    <w:name w:val="heading 6"/>
    <w:basedOn w:val="Normal"/>
    <w:next w:val="BodyText"/>
    <w:qFormat/>
    <w:rsid w:val="004E7A20"/>
    <w:pPr>
      <w:widowControl/>
      <w:numPr>
        <w:ilvl w:val="5"/>
        <w:numId w:val="2"/>
      </w:numPr>
      <w:spacing w:after="240"/>
      <w:outlineLvl w:val="5"/>
    </w:pPr>
    <w:rPr>
      <w:color w:val="000000"/>
    </w:rPr>
  </w:style>
  <w:style w:type="paragraph" w:styleId="Heading7">
    <w:name w:val="heading 7"/>
    <w:basedOn w:val="Normal"/>
    <w:next w:val="BodyText"/>
    <w:qFormat/>
    <w:rsid w:val="004E7A20"/>
    <w:pPr>
      <w:widowControl/>
      <w:numPr>
        <w:ilvl w:val="6"/>
        <w:numId w:val="2"/>
      </w:numPr>
      <w:spacing w:after="240"/>
      <w:outlineLvl w:val="6"/>
    </w:pPr>
    <w:rPr>
      <w:color w:val="000000"/>
    </w:rPr>
  </w:style>
  <w:style w:type="paragraph" w:styleId="Heading8">
    <w:name w:val="heading 8"/>
    <w:basedOn w:val="Normal"/>
    <w:next w:val="BodyText"/>
    <w:qFormat/>
    <w:rsid w:val="004E7A20"/>
    <w:pPr>
      <w:widowControl/>
      <w:numPr>
        <w:ilvl w:val="7"/>
        <w:numId w:val="2"/>
      </w:numPr>
      <w:spacing w:after="240"/>
      <w:outlineLvl w:val="7"/>
    </w:pPr>
    <w:rPr>
      <w:color w:val="000000"/>
    </w:rPr>
  </w:style>
  <w:style w:type="paragraph" w:styleId="Heading9">
    <w:name w:val="heading 9"/>
    <w:basedOn w:val="Normal"/>
    <w:next w:val="BodyText"/>
    <w:qFormat/>
    <w:rsid w:val="004E7A20"/>
    <w:pPr>
      <w:widowControl/>
      <w:numPr>
        <w:ilvl w:val="8"/>
        <w:numId w:val="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65288"/>
    <w:pPr>
      <w:ind w:left="720"/>
    </w:pPr>
  </w:style>
  <w:style w:type="paragraph" w:styleId="Header">
    <w:name w:val="header"/>
    <w:basedOn w:val="Normal"/>
    <w:link w:val="HeaderChar"/>
    <w:uiPriority w:val="99"/>
    <w:rsid w:val="00D65288"/>
    <w:pPr>
      <w:tabs>
        <w:tab w:val="center" w:pos="4320"/>
        <w:tab w:val="right" w:pos="8640"/>
      </w:tabs>
    </w:pPr>
  </w:style>
  <w:style w:type="paragraph" w:styleId="Footer">
    <w:name w:val="footer"/>
    <w:basedOn w:val="Normal"/>
    <w:link w:val="FooterChar"/>
    <w:rsid w:val="00D65288"/>
    <w:pPr>
      <w:tabs>
        <w:tab w:val="center" w:pos="4320"/>
        <w:tab w:val="right" w:pos="8640"/>
      </w:tabs>
    </w:pPr>
  </w:style>
  <w:style w:type="paragraph" w:customStyle="1" w:styleId="DocID">
    <w:name w:val="DocID"/>
    <w:basedOn w:val="Normal"/>
    <w:next w:val="Footer"/>
    <w:rsid w:val="00D65288"/>
    <w:rPr>
      <w:sz w:val="14"/>
    </w:rPr>
  </w:style>
  <w:style w:type="paragraph" w:styleId="BodyText3">
    <w:name w:val="Body Text 3"/>
    <w:basedOn w:val="Normal"/>
    <w:rsid w:val="00D65288"/>
    <w:rPr>
      <w:color w:val="000000"/>
      <w:sz w:val="22"/>
    </w:rPr>
  </w:style>
  <w:style w:type="paragraph" w:styleId="BodyText">
    <w:name w:val="Body Text"/>
    <w:basedOn w:val="Normal"/>
    <w:link w:val="BodyTextChar"/>
    <w:rsid w:val="00D65288"/>
    <w:rPr>
      <w:color w:val="000000"/>
    </w:rPr>
  </w:style>
  <w:style w:type="character" w:customStyle="1" w:styleId="zzmpTrailerItem">
    <w:name w:val="zzmpTrailerItem"/>
    <w:rsid w:val="00D65288"/>
    <w:rPr>
      <w:rFonts w:ascii="Times New Roman" w:hAnsi="Times New Roman" w:cs="Times New Roman"/>
      <w:b w:val="0"/>
      <w:i w:val="0"/>
      <w:caps w:val="0"/>
      <w:smallCaps w:val="0"/>
      <w:dstrike w:val="0"/>
      <w:noProof/>
      <w:vanish w:val="0"/>
      <w:color w:val="auto"/>
      <w:spacing w:val="0"/>
      <w:position w:val="0"/>
      <w:sz w:val="16"/>
      <w:u w:val="none"/>
      <w:effect w:val="none"/>
      <w:vertAlign w:val="baseline"/>
    </w:rPr>
  </w:style>
  <w:style w:type="paragraph" w:customStyle="1" w:styleId="schedule">
    <w:name w:val="schedule"/>
    <w:basedOn w:val="BodyText3"/>
    <w:rsid w:val="00D65288"/>
    <w:pPr>
      <w:overflowPunct/>
      <w:autoSpaceDE/>
      <w:autoSpaceDN/>
      <w:adjustRightInd/>
      <w:ind w:left="786"/>
      <w:textAlignment w:val="auto"/>
    </w:pPr>
    <w:rPr>
      <w:sz w:val="20"/>
    </w:rPr>
  </w:style>
  <w:style w:type="paragraph" w:styleId="Title">
    <w:name w:val="Title"/>
    <w:basedOn w:val="Normal"/>
    <w:link w:val="TitleChar"/>
    <w:uiPriority w:val="10"/>
    <w:qFormat/>
    <w:rsid w:val="00D65288"/>
    <w:pPr>
      <w:overflowPunct/>
      <w:autoSpaceDE/>
      <w:autoSpaceDN/>
      <w:adjustRightInd/>
      <w:jc w:val="center"/>
      <w:textAlignment w:val="auto"/>
    </w:pPr>
    <w:rPr>
      <w:b/>
    </w:rPr>
  </w:style>
  <w:style w:type="paragraph" w:styleId="BodyTextIndent3">
    <w:name w:val="Body Text Indent 3"/>
    <w:basedOn w:val="Normal"/>
    <w:rsid w:val="00D65288"/>
    <w:pPr>
      <w:overflowPunct/>
      <w:autoSpaceDE/>
      <w:autoSpaceDN/>
      <w:adjustRightInd/>
      <w:ind w:left="3600"/>
      <w:textAlignment w:val="auto"/>
    </w:pPr>
    <w:rPr>
      <w:b/>
    </w:rPr>
  </w:style>
  <w:style w:type="character" w:styleId="CommentReference">
    <w:name w:val="annotation reference"/>
    <w:semiHidden/>
    <w:rsid w:val="00D65288"/>
    <w:rPr>
      <w:sz w:val="16"/>
      <w:szCs w:val="16"/>
    </w:rPr>
  </w:style>
  <w:style w:type="paragraph" w:styleId="CommentText">
    <w:name w:val="annotation text"/>
    <w:basedOn w:val="Normal"/>
    <w:link w:val="CommentTextChar"/>
    <w:semiHidden/>
    <w:rsid w:val="00D65288"/>
  </w:style>
  <w:style w:type="paragraph" w:styleId="BodyText2">
    <w:name w:val="Body Text 2"/>
    <w:basedOn w:val="Normal"/>
    <w:rsid w:val="00D65288"/>
    <w:pPr>
      <w:jc w:val="both"/>
    </w:pPr>
  </w:style>
  <w:style w:type="paragraph" w:styleId="BodyTextIndent2">
    <w:name w:val="Body Text Indent 2"/>
    <w:basedOn w:val="Normal"/>
    <w:rsid w:val="00D65288"/>
    <w:pPr>
      <w:ind w:left="720"/>
    </w:pPr>
    <w:rPr>
      <w:sz w:val="24"/>
    </w:rPr>
  </w:style>
  <w:style w:type="paragraph" w:customStyle="1" w:styleId="Subhead">
    <w:name w:val="Subhead"/>
    <w:basedOn w:val="Normal"/>
    <w:rsid w:val="00D65288"/>
    <w:pPr>
      <w:keepNext/>
      <w:widowControl/>
      <w:overflowPunct/>
      <w:textAlignment w:val="auto"/>
    </w:pPr>
    <w:rPr>
      <w:rFonts w:ascii="Arial" w:hAnsi="Arial"/>
      <w:sz w:val="36"/>
    </w:rPr>
  </w:style>
  <w:style w:type="paragraph" w:customStyle="1" w:styleId="BodyText0">
    <w:name w:val="BodyText"/>
    <w:basedOn w:val="Heading1"/>
    <w:rsid w:val="00D65288"/>
    <w:pPr>
      <w:overflowPunct/>
      <w:spacing w:before="60"/>
      <w:textAlignment w:val="auto"/>
    </w:pPr>
  </w:style>
  <w:style w:type="character" w:styleId="PageNumber">
    <w:name w:val="page number"/>
    <w:basedOn w:val="DefaultParagraphFont"/>
    <w:rsid w:val="00D65288"/>
  </w:style>
  <w:style w:type="paragraph" w:styleId="PlainText">
    <w:name w:val="Plain Text"/>
    <w:basedOn w:val="Normal"/>
    <w:rsid w:val="00D65288"/>
    <w:pPr>
      <w:widowControl/>
      <w:overflowPunct/>
      <w:autoSpaceDE/>
      <w:autoSpaceDN/>
      <w:adjustRightInd/>
      <w:textAlignment w:val="auto"/>
    </w:pPr>
    <w:rPr>
      <w:rFonts w:ascii="Courier New" w:hAnsi="Courier New"/>
    </w:rPr>
  </w:style>
  <w:style w:type="paragraph" w:styleId="FootnoteText">
    <w:name w:val="footnote text"/>
    <w:basedOn w:val="Normal"/>
    <w:semiHidden/>
    <w:rsid w:val="00D65288"/>
  </w:style>
  <w:style w:type="character" w:styleId="FootnoteReference">
    <w:name w:val="footnote reference"/>
    <w:semiHidden/>
    <w:rsid w:val="00D65288"/>
    <w:rPr>
      <w:vertAlign w:val="superscript"/>
    </w:rPr>
  </w:style>
  <w:style w:type="paragraph" w:styleId="BalloonText">
    <w:name w:val="Balloon Text"/>
    <w:basedOn w:val="Normal"/>
    <w:semiHidden/>
    <w:rsid w:val="00D65288"/>
    <w:rPr>
      <w:rFonts w:ascii="Tahoma" w:hAnsi="Tahoma" w:cs="Tahoma"/>
      <w:sz w:val="16"/>
      <w:szCs w:val="16"/>
    </w:rPr>
  </w:style>
  <w:style w:type="paragraph" w:styleId="ListParagraph">
    <w:name w:val="List Paragraph"/>
    <w:basedOn w:val="Normal"/>
    <w:link w:val="ListParagraphChar"/>
    <w:uiPriority w:val="34"/>
    <w:qFormat/>
    <w:rsid w:val="00CE50E6"/>
    <w:pPr>
      <w:ind w:left="720"/>
      <w:contextualSpacing/>
    </w:pPr>
  </w:style>
  <w:style w:type="paragraph" w:customStyle="1" w:styleId="S2Heading1">
    <w:name w:val="S2.Heading 1"/>
    <w:basedOn w:val="Normal"/>
    <w:next w:val="BodyText"/>
    <w:link w:val="S2Heading1Char"/>
    <w:rsid w:val="007D13F3"/>
    <w:pPr>
      <w:widowControl/>
      <w:numPr>
        <w:numId w:val="1"/>
      </w:numPr>
      <w:overflowPunct/>
      <w:autoSpaceDE/>
      <w:autoSpaceDN/>
      <w:adjustRightInd/>
      <w:spacing w:after="240"/>
      <w:textAlignment w:val="auto"/>
      <w:outlineLvl w:val="0"/>
    </w:pPr>
    <w:rPr>
      <w:rFonts w:eastAsia="MS Mincho"/>
      <w:b/>
      <w:color w:val="000000"/>
      <w:sz w:val="21"/>
      <w:szCs w:val="21"/>
      <w:lang w:eastAsia="ja-JP"/>
    </w:rPr>
  </w:style>
  <w:style w:type="character" w:customStyle="1" w:styleId="S2Heading2Char">
    <w:name w:val="S2.Heading 2 Char"/>
    <w:link w:val="S2Heading2"/>
    <w:locked/>
    <w:rsid w:val="007D13F3"/>
    <w:rPr>
      <w:color w:val="000000"/>
      <w:sz w:val="21"/>
      <w:szCs w:val="21"/>
      <w:lang w:eastAsia="ja-JP"/>
    </w:rPr>
  </w:style>
  <w:style w:type="paragraph" w:customStyle="1" w:styleId="S2Heading2">
    <w:name w:val="S2.Heading 2"/>
    <w:basedOn w:val="Normal"/>
    <w:next w:val="BodyText"/>
    <w:link w:val="S2Heading2Char"/>
    <w:rsid w:val="007D13F3"/>
    <w:pPr>
      <w:widowControl/>
      <w:numPr>
        <w:ilvl w:val="1"/>
        <w:numId w:val="1"/>
      </w:numPr>
      <w:overflowPunct/>
      <w:autoSpaceDE/>
      <w:autoSpaceDN/>
      <w:adjustRightInd/>
      <w:spacing w:after="240"/>
      <w:jc w:val="both"/>
      <w:textAlignment w:val="auto"/>
      <w:outlineLvl w:val="1"/>
    </w:pPr>
    <w:rPr>
      <w:color w:val="000000"/>
      <w:sz w:val="21"/>
      <w:szCs w:val="21"/>
      <w:lang w:eastAsia="ja-JP"/>
    </w:rPr>
  </w:style>
  <w:style w:type="paragraph" w:customStyle="1" w:styleId="S2Heading3">
    <w:name w:val="S2.Heading 3"/>
    <w:basedOn w:val="Normal"/>
    <w:next w:val="BodyText"/>
    <w:rsid w:val="007D13F3"/>
    <w:pPr>
      <w:widowControl/>
      <w:numPr>
        <w:ilvl w:val="2"/>
        <w:numId w:val="1"/>
      </w:numPr>
      <w:overflowPunct/>
      <w:autoSpaceDE/>
      <w:autoSpaceDN/>
      <w:adjustRightInd/>
      <w:spacing w:after="240"/>
      <w:textAlignment w:val="auto"/>
      <w:outlineLvl w:val="2"/>
    </w:pPr>
    <w:rPr>
      <w:rFonts w:eastAsia="MS Mincho"/>
      <w:color w:val="000000"/>
      <w:sz w:val="21"/>
      <w:szCs w:val="21"/>
      <w:lang w:eastAsia="ja-JP"/>
    </w:rPr>
  </w:style>
  <w:style w:type="paragraph" w:customStyle="1" w:styleId="S2Heading4">
    <w:name w:val="S2.Heading 4"/>
    <w:basedOn w:val="Normal"/>
    <w:next w:val="BodyText"/>
    <w:rsid w:val="007D13F3"/>
    <w:pPr>
      <w:widowControl/>
      <w:numPr>
        <w:ilvl w:val="3"/>
        <w:numId w:val="1"/>
      </w:numPr>
      <w:overflowPunct/>
      <w:autoSpaceDE/>
      <w:autoSpaceDN/>
      <w:adjustRightInd/>
      <w:spacing w:after="240"/>
      <w:textAlignment w:val="auto"/>
      <w:outlineLvl w:val="3"/>
    </w:pPr>
    <w:rPr>
      <w:rFonts w:eastAsia="MS Mincho"/>
      <w:color w:val="000000"/>
      <w:sz w:val="21"/>
      <w:szCs w:val="21"/>
      <w:lang w:eastAsia="ja-JP"/>
    </w:rPr>
  </w:style>
  <w:style w:type="paragraph" w:customStyle="1" w:styleId="S2Heading5">
    <w:name w:val="S2.Heading 5"/>
    <w:basedOn w:val="Normal"/>
    <w:next w:val="BodyText"/>
    <w:rsid w:val="007D13F3"/>
    <w:pPr>
      <w:widowControl/>
      <w:numPr>
        <w:ilvl w:val="4"/>
        <w:numId w:val="1"/>
      </w:numPr>
      <w:overflowPunct/>
      <w:autoSpaceDE/>
      <w:autoSpaceDN/>
      <w:adjustRightInd/>
      <w:spacing w:after="240"/>
      <w:textAlignment w:val="auto"/>
      <w:outlineLvl w:val="4"/>
    </w:pPr>
    <w:rPr>
      <w:rFonts w:eastAsia="MS Mincho"/>
      <w:color w:val="000000"/>
      <w:sz w:val="21"/>
      <w:szCs w:val="21"/>
      <w:lang w:eastAsia="ja-JP"/>
    </w:rPr>
  </w:style>
  <w:style w:type="paragraph" w:customStyle="1" w:styleId="S2Heading6">
    <w:name w:val="S2.Heading 6"/>
    <w:basedOn w:val="Normal"/>
    <w:next w:val="BodyText"/>
    <w:rsid w:val="007D13F3"/>
    <w:pPr>
      <w:widowControl/>
      <w:numPr>
        <w:ilvl w:val="5"/>
        <w:numId w:val="1"/>
      </w:numPr>
      <w:overflowPunct/>
      <w:autoSpaceDE/>
      <w:autoSpaceDN/>
      <w:adjustRightInd/>
      <w:spacing w:after="240"/>
      <w:textAlignment w:val="auto"/>
      <w:outlineLvl w:val="5"/>
    </w:pPr>
    <w:rPr>
      <w:rFonts w:eastAsia="MS Mincho"/>
      <w:color w:val="000000"/>
      <w:sz w:val="21"/>
      <w:szCs w:val="21"/>
      <w:lang w:eastAsia="ja-JP"/>
    </w:rPr>
  </w:style>
  <w:style w:type="paragraph" w:customStyle="1" w:styleId="S2Heading7">
    <w:name w:val="S2.Heading 7"/>
    <w:basedOn w:val="Normal"/>
    <w:next w:val="BodyText"/>
    <w:rsid w:val="007D13F3"/>
    <w:pPr>
      <w:widowControl/>
      <w:numPr>
        <w:ilvl w:val="6"/>
        <w:numId w:val="1"/>
      </w:numPr>
      <w:overflowPunct/>
      <w:autoSpaceDE/>
      <w:autoSpaceDN/>
      <w:adjustRightInd/>
      <w:spacing w:after="240"/>
      <w:textAlignment w:val="auto"/>
      <w:outlineLvl w:val="6"/>
    </w:pPr>
    <w:rPr>
      <w:rFonts w:eastAsia="MS Mincho"/>
      <w:color w:val="000000"/>
      <w:sz w:val="21"/>
      <w:szCs w:val="21"/>
      <w:lang w:eastAsia="ja-JP"/>
    </w:rPr>
  </w:style>
  <w:style w:type="paragraph" w:customStyle="1" w:styleId="S2Heading8">
    <w:name w:val="S2.Heading 8"/>
    <w:basedOn w:val="Normal"/>
    <w:next w:val="BodyText"/>
    <w:rsid w:val="007D13F3"/>
    <w:pPr>
      <w:widowControl/>
      <w:numPr>
        <w:ilvl w:val="7"/>
        <w:numId w:val="1"/>
      </w:numPr>
      <w:overflowPunct/>
      <w:autoSpaceDE/>
      <w:autoSpaceDN/>
      <w:adjustRightInd/>
      <w:spacing w:after="240"/>
      <w:textAlignment w:val="auto"/>
      <w:outlineLvl w:val="7"/>
    </w:pPr>
    <w:rPr>
      <w:rFonts w:eastAsia="MS Mincho"/>
      <w:color w:val="000000"/>
      <w:sz w:val="21"/>
      <w:szCs w:val="21"/>
      <w:lang w:eastAsia="ja-JP"/>
    </w:rPr>
  </w:style>
  <w:style w:type="paragraph" w:customStyle="1" w:styleId="S2Heading9">
    <w:name w:val="S2.Heading 9"/>
    <w:basedOn w:val="Normal"/>
    <w:next w:val="BodyText"/>
    <w:rsid w:val="007D13F3"/>
    <w:pPr>
      <w:widowControl/>
      <w:numPr>
        <w:ilvl w:val="8"/>
        <w:numId w:val="1"/>
      </w:numPr>
      <w:overflowPunct/>
      <w:autoSpaceDE/>
      <w:autoSpaceDN/>
      <w:adjustRightInd/>
      <w:spacing w:after="240"/>
      <w:textAlignment w:val="auto"/>
      <w:outlineLvl w:val="8"/>
    </w:pPr>
    <w:rPr>
      <w:rFonts w:eastAsia="MS Mincho"/>
      <w:color w:val="000000"/>
      <w:sz w:val="21"/>
      <w:szCs w:val="21"/>
      <w:lang w:eastAsia="ja-JP"/>
    </w:rPr>
  </w:style>
  <w:style w:type="paragraph" w:styleId="TOC4">
    <w:name w:val="toc 4"/>
    <w:basedOn w:val="Normal"/>
    <w:next w:val="Normal"/>
    <w:autoRedefine/>
    <w:rsid w:val="00ED350F"/>
    <w:pPr>
      <w:widowControl/>
      <w:tabs>
        <w:tab w:val="left" w:pos="0"/>
      </w:tabs>
      <w:spacing w:after="240"/>
      <w:contextualSpacing/>
      <w:jc w:val="both"/>
    </w:pPr>
    <w:rPr>
      <w:rFonts w:ascii="Calibri" w:hAnsi="Calibri"/>
    </w:rPr>
  </w:style>
  <w:style w:type="paragraph" w:customStyle="1" w:styleId="BodyText1">
    <w:name w:val="Body Text1"/>
    <w:basedOn w:val="Normal"/>
    <w:rsid w:val="001B2883"/>
    <w:pPr>
      <w:widowControl/>
      <w:overflowPunct/>
      <w:autoSpaceDE/>
      <w:autoSpaceDN/>
      <w:adjustRightInd/>
      <w:spacing w:after="240"/>
      <w:ind w:firstLine="720"/>
      <w:jc w:val="both"/>
      <w:textAlignment w:val="auto"/>
    </w:pPr>
    <w:rPr>
      <w:rFonts w:eastAsia="MS Mincho"/>
      <w:sz w:val="21"/>
      <w:szCs w:val="21"/>
      <w:lang w:eastAsia="ja-JP"/>
    </w:rPr>
  </w:style>
  <w:style w:type="character" w:customStyle="1" w:styleId="TitleChar">
    <w:name w:val="Title Char"/>
    <w:link w:val="Title"/>
    <w:uiPriority w:val="10"/>
    <w:rsid w:val="003E43F9"/>
    <w:rPr>
      <w:b/>
    </w:rPr>
  </w:style>
  <w:style w:type="character" w:customStyle="1" w:styleId="S2Heading1Char">
    <w:name w:val="S2.Heading 1 Char"/>
    <w:link w:val="S2Heading1"/>
    <w:rsid w:val="003E43F9"/>
    <w:rPr>
      <w:rFonts w:eastAsia="MS Mincho"/>
      <w:b/>
      <w:color w:val="000000"/>
      <w:sz w:val="21"/>
      <w:szCs w:val="21"/>
      <w:lang w:eastAsia="ja-JP"/>
    </w:rPr>
  </w:style>
  <w:style w:type="character" w:customStyle="1" w:styleId="CrossRef">
    <w:name w:val="CrossRef"/>
    <w:rsid w:val="003E43F9"/>
    <w:rPr>
      <w:sz w:val="24"/>
    </w:rPr>
  </w:style>
  <w:style w:type="paragraph" w:customStyle="1" w:styleId="BodyText20">
    <w:name w:val="Body Text2"/>
    <w:basedOn w:val="Normal"/>
    <w:rsid w:val="00624BFB"/>
    <w:pPr>
      <w:widowControl/>
      <w:overflowPunct/>
      <w:autoSpaceDE/>
      <w:autoSpaceDN/>
      <w:adjustRightInd/>
      <w:spacing w:after="240"/>
      <w:ind w:firstLine="720"/>
      <w:jc w:val="both"/>
      <w:textAlignment w:val="auto"/>
    </w:pPr>
    <w:rPr>
      <w:rFonts w:eastAsia="MS Mincho"/>
      <w:sz w:val="21"/>
      <w:szCs w:val="21"/>
      <w:lang w:eastAsia="ja-JP"/>
    </w:rPr>
  </w:style>
  <w:style w:type="paragraph" w:customStyle="1" w:styleId="a">
    <w:name w:val="(a)"/>
    <w:basedOn w:val="Normal"/>
    <w:rsid w:val="007A09D2"/>
    <w:pPr>
      <w:widowControl/>
      <w:tabs>
        <w:tab w:val="left" w:pos="1440"/>
      </w:tabs>
      <w:overflowPunct/>
      <w:autoSpaceDE/>
      <w:autoSpaceDN/>
      <w:adjustRightInd/>
      <w:spacing w:before="120"/>
      <w:ind w:firstLine="720"/>
      <w:textAlignment w:val="auto"/>
    </w:pPr>
    <w:rPr>
      <w:sz w:val="24"/>
    </w:rPr>
  </w:style>
  <w:style w:type="paragraph" w:customStyle="1" w:styleId="TableHeading">
    <w:name w:val="Table Heading"/>
    <w:basedOn w:val="Normal"/>
    <w:rsid w:val="000B3AC0"/>
    <w:pPr>
      <w:widowControl/>
      <w:overflowPunct/>
      <w:autoSpaceDE/>
      <w:autoSpaceDN/>
      <w:adjustRightInd/>
      <w:spacing w:before="240" w:after="120"/>
      <w:textAlignment w:val="auto"/>
    </w:pPr>
    <w:rPr>
      <w:rFonts w:ascii="Arial" w:eastAsia="PMingLiU" w:hAnsi="Arial"/>
      <w:b/>
      <w:kern w:val="20"/>
    </w:rPr>
  </w:style>
  <w:style w:type="paragraph" w:customStyle="1" w:styleId="BodyText30">
    <w:name w:val="Body Text3"/>
    <w:basedOn w:val="Normal"/>
    <w:rsid w:val="00DF391A"/>
    <w:pPr>
      <w:widowControl/>
      <w:overflowPunct/>
      <w:autoSpaceDE/>
      <w:autoSpaceDN/>
      <w:adjustRightInd/>
      <w:spacing w:after="240"/>
      <w:ind w:firstLine="720"/>
      <w:jc w:val="both"/>
      <w:textAlignment w:val="auto"/>
    </w:pPr>
    <w:rPr>
      <w:rFonts w:eastAsia="MS Mincho"/>
      <w:sz w:val="21"/>
      <w:szCs w:val="21"/>
      <w:lang w:eastAsia="ja-JP"/>
    </w:rPr>
  </w:style>
  <w:style w:type="paragraph" w:styleId="CommentSubject">
    <w:name w:val="annotation subject"/>
    <w:basedOn w:val="CommentText"/>
    <w:next w:val="CommentText"/>
    <w:link w:val="CommentSubjectChar"/>
    <w:semiHidden/>
    <w:unhideWhenUsed/>
    <w:rsid w:val="00687A59"/>
    <w:rPr>
      <w:b/>
      <w:bCs/>
    </w:rPr>
  </w:style>
  <w:style w:type="character" w:customStyle="1" w:styleId="CommentTextChar">
    <w:name w:val="Comment Text Char"/>
    <w:basedOn w:val="DefaultParagraphFont"/>
    <w:link w:val="CommentText"/>
    <w:semiHidden/>
    <w:rsid w:val="00687A59"/>
  </w:style>
  <w:style w:type="character" w:customStyle="1" w:styleId="CommentSubjectChar">
    <w:name w:val="Comment Subject Char"/>
    <w:link w:val="CommentSubject"/>
    <w:semiHidden/>
    <w:rsid w:val="00687A59"/>
    <w:rPr>
      <w:b/>
      <w:bCs/>
    </w:rPr>
  </w:style>
  <w:style w:type="paragraph" w:customStyle="1" w:styleId="Normal1">
    <w:name w:val="Normal 1"/>
    <w:basedOn w:val="Normal"/>
    <w:rsid w:val="00CA3EDF"/>
    <w:pPr>
      <w:tabs>
        <w:tab w:val="left" w:pos="1440"/>
      </w:tabs>
      <w:overflowPunct/>
      <w:autoSpaceDE/>
      <w:autoSpaceDN/>
      <w:adjustRightInd/>
      <w:spacing w:before="240"/>
      <w:ind w:firstLine="720"/>
      <w:jc w:val="both"/>
      <w:textAlignment w:val="auto"/>
    </w:pPr>
    <w:rPr>
      <w:sz w:val="24"/>
    </w:rPr>
  </w:style>
  <w:style w:type="character" w:customStyle="1" w:styleId="HeaderChar">
    <w:name w:val="Header Char"/>
    <w:link w:val="Header"/>
    <w:uiPriority w:val="99"/>
    <w:rsid w:val="00690AD6"/>
  </w:style>
  <w:style w:type="character" w:customStyle="1" w:styleId="FooterChar">
    <w:name w:val="Footer Char"/>
    <w:link w:val="Footer"/>
    <w:rsid w:val="00690AD6"/>
  </w:style>
  <w:style w:type="character" w:styleId="Hyperlink">
    <w:name w:val="Hyperlink"/>
    <w:uiPriority w:val="99"/>
    <w:rsid w:val="00690AD6"/>
    <w:rPr>
      <w:rFonts w:ascii="Arial" w:hAnsi="Arial" w:cs="Times New Roman"/>
      <w:color w:val="0000FF"/>
      <w:u w:val="single"/>
    </w:rPr>
  </w:style>
  <w:style w:type="paragraph" w:customStyle="1" w:styleId="BulletBlue">
    <w:name w:val="Bullet + Blue"/>
    <w:basedOn w:val="Normal"/>
    <w:rsid w:val="00690AD6"/>
    <w:pPr>
      <w:widowControl/>
      <w:numPr>
        <w:numId w:val="4"/>
      </w:numPr>
      <w:overflowPunct/>
      <w:autoSpaceDE/>
      <w:autoSpaceDN/>
      <w:adjustRightInd/>
      <w:spacing w:after="120"/>
      <w:jc w:val="both"/>
      <w:textAlignment w:val="auto"/>
    </w:pPr>
    <w:rPr>
      <w:rFonts w:asciiTheme="minorHAnsi" w:hAnsiTheme="minorHAnsi"/>
      <w:color w:val="0000FF"/>
      <w:sz w:val="24"/>
      <w:szCs w:val="24"/>
      <w:lang w:eastAsia="en-IN"/>
    </w:rPr>
  </w:style>
  <w:style w:type="numbering" w:customStyle="1" w:styleId="LFO1">
    <w:name w:val="LFO1"/>
    <w:rsid w:val="00690AD6"/>
    <w:pPr>
      <w:numPr>
        <w:numId w:val="4"/>
      </w:numPr>
    </w:pPr>
  </w:style>
  <w:style w:type="character" w:customStyle="1" w:styleId="ListParagraphChar">
    <w:name w:val="List Paragraph Char"/>
    <w:basedOn w:val="DefaultParagraphFont"/>
    <w:link w:val="ListParagraph"/>
    <w:uiPriority w:val="34"/>
    <w:locked/>
    <w:rsid w:val="00690AD6"/>
  </w:style>
  <w:style w:type="paragraph" w:customStyle="1" w:styleId="ProductList-Body">
    <w:name w:val="Product List - Body"/>
    <w:basedOn w:val="Normal"/>
    <w:link w:val="ProductList-BodyChar"/>
    <w:qFormat/>
    <w:rsid w:val="00690AD6"/>
    <w:pPr>
      <w:widowControl/>
      <w:tabs>
        <w:tab w:val="left" w:pos="360"/>
        <w:tab w:val="left" w:pos="720"/>
        <w:tab w:val="left" w:pos="1080"/>
      </w:tabs>
      <w:overflowPunct/>
      <w:autoSpaceDE/>
      <w:autoSpaceDN/>
      <w:adjustRightInd/>
      <w:textAlignment w:val="auto"/>
    </w:pPr>
    <w:rPr>
      <w:rFonts w:asciiTheme="minorHAnsi" w:eastAsiaTheme="minorHAnsi" w:hAnsiTheme="minorHAnsi" w:cstheme="minorBidi"/>
      <w:sz w:val="18"/>
      <w:szCs w:val="22"/>
    </w:rPr>
  </w:style>
  <w:style w:type="character" w:customStyle="1" w:styleId="ProductList-BodyChar">
    <w:name w:val="Product List - Body Char"/>
    <w:basedOn w:val="DefaultParagraphFont"/>
    <w:link w:val="ProductList-Body"/>
    <w:rsid w:val="00690AD6"/>
    <w:rPr>
      <w:rFonts w:asciiTheme="minorHAnsi" w:eastAsiaTheme="minorHAnsi" w:hAnsiTheme="minorHAnsi" w:cstheme="minorBidi"/>
      <w:sz w:val="18"/>
      <w:szCs w:val="22"/>
    </w:rPr>
  </w:style>
  <w:style w:type="table" w:customStyle="1" w:styleId="GridTable31">
    <w:name w:val="Grid Table 31"/>
    <w:basedOn w:val="TableNormal"/>
    <w:uiPriority w:val="48"/>
    <w:rsid w:val="00690A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9F4529"/>
    <w:rPr>
      <w:color w:val="808080"/>
      <w:shd w:val="clear" w:color="auto" w:fill="E6E6E6"/>
    </w:rPr>
  </w:style>
  <w:style w:type="character" w:customStyle="1" w:styleId="BodyTextChar">
    <w:name w:val="Body Text Char"/>
    <w:basedOn w:val="DefaultParagraphFont"/>
    <w:link w:val="BodyText"/>
    <w:rsid w:val="009F0633"/>
    <w:rPr>
      <w:color w:val="000000"/>
    </w:rPr>
  </w:style>
  <w:style w:type="character" w:styleId="FollowedHyperlink">
    <w:name w:val="FollowedHyperlink"/>
    <w:basedOn w:val="DefaultParagraphFont"/>
    <w:semiHidden/>
    <w:unhideWhenUsed/>
    <w:rsid w:val="00F3456C"/>
    <w:rPr>
      <w:color w:val="954F72" w:themeColor="followedHyperlink"/>
      <w:u w:val="single"/>
    </w:rPr>
  </w:style>
  <w:style w:type="paragraph" w:styleId="Revision">
    <w:name w:val="Revision"/>
    <w:hidden/>
    <w:uiPriority w:val="99"/>
    <w:semiHidden/>
    <w:rsid w:val="00D6279E"/>
  </w:style>
  <w:style w:type="table" w:styleId="TableGrid">
    <w:name w:val="Table Grid"/>
    <w:basedOn w:val="TableNormal"/>
    <w:rsid w:val="00C30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09A8"/>
    <w:rPr>
      <w:color w:val="605E5C"/>
      <w:shd w:val="clear" w:color="auto" w:fill="E1DFDD"/>
    </w:rPr>
  </w:style>
  <w:style w:type="paragraph" w:customStyle="1" w:styleId="Default">
    <w:name w:val="Default"/>
    <w:rsid w:val="00607BD8"/>
    <w:pPr>
      <w:autoSpaceDE w:val="0"/>
      <w:autoSpaceDN w:val="0"/>
      <w:adjustRightInd w:val="0"/>
    </w:pPr>
    <w:rPr>
      <w:color w:val="000000"/>
      <w:sz w:val="24"/>
      <w:szCs w:val="24"/>
    </w:rPr>
  </w:style>
  <w:style w:type="character" w:customStyle="1" w:styleId="apple-converted-space">
    <w:name w:val="apple-converted-space"/>
    <w:basedOn w:val="DefaultParagraphFont"/>
    <w:rsid w:val="00BB3D61"/>
  </w:style>
  <w:style w:type="character" w:styleId="Strong">
    <w:name w:val="Strong"/>
    <w:basedOn w:val="DefaultParagraphFont"/>
    <w:uiPriority w:val="22"/>
    <w:qFormat/>
    <w:rsid w:val="00547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793">
      <w:bodyDiv w:val="1"/>
      <w:marLeft w:val="0"/>
      <w:marRight w:val="0"/>
      <w:marTop w:val="0"/>
      <w:marBottom w:val="0"/>
      <w:divBdr>
        <w:top w:val="none" w:sz="0" w:space="0" w:color="auto"/>
        <w:left w:val="none" w:sz="0" w:space="0" w:color="auto"/>
        <w:bottom w:val="none" w:sz="0" w:space="0" w:color="auto"/>
        <w:right w:val="none" w:sz="0" w:space="0" w:color="auto"/>
      </w:divBdr>
      <w:divsChild>
        <w:div w:id="974945899">
          <w:marLeft w:val="0"/>
          <w:marRight w:val="0"/>
          <w:marTop w:val="0"/>
          <w:marBottom w:val="0"/>
          <w:divBdr>
            <w:top w:val="none" w:sz="0" w:space="0" w:color="auto"/>
            <w:left w:val="none" w:sz="0" w:space="0" w:color="auto"/>
            <w:bottom w:val="none" w:sz="0" w:space="0" w:color="auto"/>
            <w:right w:val="none" w:sz="0" w:space="0" w:color="auto"/>
          </w:divBdr>
        </w:div>
      </w:divsChild>
    </w:div>
    <w:div w:id="59064051">
      <w:bodyDiv w:val="1"/>
      <w:marLeft w:val="0"/>
      <w:marRight w:val="0"/>
      <w:marTop w:val="0"/>
      <w:marBottom w:val="0"/>
      <w:divBdr>
        <w:top w:val="none" w:sz="0" w:space="0" w:color="auto"/>
        <w:left w:val="none" w:sz="0" w:space="0" w:color="auto"/>
        <w:bottom w:val="none" w:sz="0" w:space="0" w:color="auto"/>
        <w:right w:val="none" w:sz="0" w:space="0" w:color="auto"/>
      </w:divBdr>
      <w:divsChild>
        <w:div w:id="1641956010">
          <w:marLeft w:val="0"/>
          <w:marRight w:val="0"/>
          <w:marTop w:val="0"/>
          <w:marBottom w:val="0"/>
          <w:divBdr>
            <w:top w:val="none" w:sz="0" w:space="0" w:color="auto"/>
            <w:left w:val="none" w:sz="0" w:space="0" w:color="auto"/>
            <w:bottom w:val="none" w:sz="0" w:space="0" w:color="auto"/>
            <w:right w:val="none" w:sz="0" w:space="0" w:color="auto"/>
          </w:divBdr>
          <w:divsChild>
            <w:div w:id="695347105">
              <w:marLeft w:val="0"/>
              <w:marRight w:val="0"/>
              <w:marTop w:val="0"/>
              <w:marBottom w:val="0"/>
              <w:divBdr>
                <w:top w:val="none" w:sz="0" w:space="0" w:color="auto"/>
                <w:left w:val="none" w:sz="0" w:space="0" w:color="auto"/>
                <w:bottom w:val="none" w:sz="0" w:space="0" w:color="auto"/>
                <w:right w:val="none" w:sz="0" w:space="0" w:color="auto"/>
              </w:divBdr>
            </w:div>
            <w:div w:id="712383916">
              <w:marLeft w:val="0"/>
              <w:marRight w:val="0"/>
              <w:marTop w:val="0"/>
              <w:marBottom w:val="0"/>
              <w:divBdr>
                <w:top w:val="none" w:sz="0" w:space="0" w:color="auto"/>
                <w:left w:val="none" w:sz="0" w:space="0" w:color="auto"/>
                <w:bottom w:val="none" w:sz="0" w:space="0" w:color="auto"/>
                <w:right w:val="none" w:sz="0" w:space="0" w:color="auto"/>
              </w:divBdr>
            </w:div>
            <w:div w:id="1320309038">
              <w:marLeft w:val="0"/>
              <w:marRight w:val="0"/>
              <w:marTop w:val="0"/>
              <w:marBottom w:val="0"/>
              <w:divBdr>
                <w:top w:val="none" w:sz="0" w:space="0" w:color="auto"/>
                <w:left w:val="none" w:sz="0" w:space="0" w:color="auto"/>
                <w:bottom w:val="none" w:sz="0" w:space="0" w:color="auto"/>
                <w:right w:val="none" w:sz="0" w:space="0" w:color="auto"/>
              </w:divBdr>
            </w:div>
            <w:div w:id="1593472071">
              <w:marLeft w:val="0"/>
              <w:marRight w:val="0"/>
              <w:marTop w:val="0"/>
              <w:marBottom w:val="0"/>
              <w:divBdr>
                <w:top w:val="none" w:sz="0" w:space="0" w:color="auto"/>
                <w:left w:val="none" w:sz="0" w:space="0" w:color="auto"/>
                <w:bottom w:val="none" w:sz="0" w:space="0" w:color="auto"/>
                <w:right w:val="none" w:sz="0" w:space="0" w:color="auto"/>
              </w:divBdr>
            </w:div>
            <w:div w:id="2010324978">
              <w:marLeft w:val="0"/>
              <w:marRight w:val="0"/>
              <w:marTop w:val="0"/>
              <w:marBottom w:val="0"/>
              <w:divBdr>
                <w:top w:val="none" w:sz="0" w:space="0" w:color="auto"/>
                <w:left w:val="none" w:sz="0" w:space="0" w:color="auto"/>
                <w:bottom w:val="none" w:sz="0" w:space="0" w:color="auto"/>
                <w:right w:val="none" w:sz="0" w:space="0" w:color="auto"/>
              </w:divBdr>
            </w:div>
          </w:divsChild>
        </w:div>
        <w:div w:id="1755543928">
          <w:marLeft w:val="0"/>
          <w:marRight w:val="0"/>
          <w:marTop w:val="0"/>
          <w:marBottom w:val="0"/>
          <w:divBdr>
            <w:top w:val="none" w:sz="0" w:space="0" w:color="auto"/>
            <w:left w:val="none" w:sz="0" w:space="0" w:color="auto"/>
            <w:bottom w:val="none" w:sz="0" w:space="0" w:color="auto"/>
            <w:right w:val="none" w:sz="0" w:space="0" w:color="auto"/>
          </w:divBdr>
        </w:div>
      </w:divsChild>
    </w:div>
    <w:div w:id="101804782">
      <w:bodyDiv w:val="1"/>
      <w:marLeft w:val="0"/>
      <w:marRight w:val="0"/>
      <w:marTop w:val="0"/>
      <w:marBottom w:val="0"/>
      <w:divBdr>
        <w:top w:val="none" w:sz="0" w:space="0" w:color="auto"/>
        <w:left w:val="none" w:sz="0" w:space="0" w:color="auto"/>
        <w:bottom w:val="none" w:sz="0" w:space="0" w:color="auto"/>
        <w:right w:val="none" w:sz="0" w:space="0" w:color="auto"/>
      </w:divBdr>
    </w:div>
    <w:div w:id="320816434">
      <w:bodyDiv w:val="1"/>
      <w:marLeft w:val="0"/>
      <w:marRight w:val="0"/>
      <w:marTop w:val="0"/>
      <w:marBottom w:val="0"/>
      <w:divBdr>
        <w:top w:val="none" w:sz="0" w:space="0" w:color="auto"/>
        <w:left w:val="none" w:sz="0" w:space="0" w:color="auto"/>
        <w:bottom w:val="none" w:sz="0" w:space="0" w:color="auto"/>
        <w:right w:val="none" w:sz="0" w:space="0" w:color="auto"/>
      </w:divBdr>
    </w:div>
    <w:div w:id="430009859">
      <w:bodyDiv w:val="1"/>
      <w:marLeft w:val="0"/>
      <w:marRight w:val="0"/>
      <w:marTop w:val="0"/>
      <w:marBottom w:val="0"/>
      <w:divBdr>
        <w:top w:val="none" w:sz="0" w:space="0" w:color="auto"/>
        <w:left w:val="none" w:sz="0" w:space="0" w:color="auto"/>
        <w:bottom w:val="none" w:sz="0" w:space="0" w:color="auto"/>
        <w:right w:val="none" w:sz="0" w:space="0" w:color="auto"/>
      </w:divBdr>
    </w:div>
    <w:div w:id="475877638">
      <w:bodyDiv w:val="1"/>
      <w:marLeft w:val="0"/>
      <w:marRight w:val="0"/>
      <w:marTop w:val="0"/>
      <w:marBottom w:val="0"/>
      <w:divBdr>
        <w:top w:val="none" w:sz="0" w:space="0" w:color="auto"/>
        <w:left w:val="none" w:sz="0" w:space="0" w:color="auto"/>
        <w:bottom w:val="none" w:sz="0" w:space="0" w:color="auto"/>
        <w:right w:val="none" w:sz="0" w:space="0" w:color="auto"/>
      </w:divBdr>
      <w:divsChild>
        <w:div w:id="1738044792">
          <w:marLeft w:val="0"/>
          <w:marRight w:val="0"/>
          <w:marTop w:val="0"/>
          <w:marBottom w:val="0"/>
          <w:divBdr>
            <w:top w:val="none" w:sz="0" w:space="0" w:color="auto"/>
            <w:left w:val="none" w:sz="0" w:space="0" w:color="auto"/>
            <w:bottom w:val="none" w:sz="0" w:space="0" w:color="auto"/>
            <w:right w:val="none" w:sz="0" w:space="0" w:color="auto"/>
          </w:divBdr>
        </w:div>
      </w:divsChild>
    </w:div>
    <w:div w:id="653726248">
      <w:bodyDiv w:val="1"/>
      <w:marLeft w:val="0"/>
      <w:marRight w:val="0"/>
      <w:marTop w:val="0"/>
      <w:marBottom w:val="0"/>
      <w:divBdr>
        <w:top w:val="none" w:sz="0" w:space="0" w:color="auto"/>
        <w:left w:val="none" w:sz="0" w:space="0" w:color="auto"/>
        <w:bottom w:val="none" w:sz="0" w:space="0" w:color="auto"/>
        <w:right w:val="none" w:sz="0" w:space="0" w:color="auto"/>
      </w:divBdr>
    </w:div>
    <w:div w:id="798492996">
      <w:bodyDiv w:val="1"/>
      <w:marLeft w:val="0"/>
      <w:marRight w:val="0"/>
      <w:marTop w:val="0"/>
      <w:marBottom w:val="0"/>
      <w:divBdr>
        <w:top w:val="none" w:sz="0" w:space="0" w:color="auto"/>
        <w:left w:val="none" w:sz="0" w:space="0" w:color="auto"/>
        <w:bottom w:val="none" w:sz="0" w:space="0" w:color="auto"/>
        <w:right w:val="none" w:sz="0" w:space="0" w:color="auto"/>
      </w:divBdr>
    </w:div>
    <w:div w:id="880676417">
      <w:bodyDiv w:val="1"/>
      <w:marLeft w:val="0"/>
      <w:marRight w:val="0"/>
      <w:marTop w:val="0"/>
      <w:marBottom w:val="0"/>
      <w:divBdr>
        <w:top w:val="none" w:sz="0" w:space="0" w:color="auto"/>
        <w:left w:val="none" w:sz="0" w:space="0" w:color="auto"/>
        <w:bottom w:val="none" w:sz="0" w:space="0" w:color="auto"/>
        <w:right w:val="none" w:sz="0" w:space="0" w:color="auto"/>
      </w:divBdr>
    </w:div>
    <w:div w:id="934900117">
      <w:bodyDiv w:val="1"/>
      <w:marLeft w:val="0"/>
      <w:marRight w:val="0"/>
      <w:marTop w:val="0"/>
      <w:marBottom w:val="0"/>
      <w:divBdr>
        <w:top w:val="none" w:sz="0" w:space="0" w:color="auto"/>
        <w:left w:val="none" w:sz="0" w:space="0" w:color="auto"/>
        <w:bottom w:val="none" w:sz="0" w:space="0" w:color="auto"/>
        <w:right w:val="none" w:sz="0" w:space="0" w:color="auto"/>
      </w:divBdr>
    </w:div>
    <w:div w:id="1043942510">
      <w:bodyDiv w:val="1"/>
      <w:marLeft w:val="0"/>
      <w:marRight w:val="0"/>
      <w:marTop w:val="0"/>
      <w:marBottom w:val="0"/>
      <w:divBdr>
        <w:top w:val="none" w:sz="0" w:space="0" w:color="auto"/>
        <w:left w:val="none" w:sz="0" w:space="0" w:color="auto"/>
        <w:bottom w:val="none" w:sz="0" w:space="0" w:color="auto"/>
        <w:right w:val="none" w:sz="0" w:space="0" w:color="auto"/>
      </w:divBdr>
    </w:div>
    <w:div w:id="1067534486">
      <w:bodyDiv w:val="1"/>
      <w:marLeft w:val="0"/>
      <w:marRight w:val="0"/>
      <w:marTop w:val="0"/>
      <w:marBottom w:val="0"/>
      <w:divBdr>
        <w:top w:val="none" w:sz="0" w:space="0" w:color="auto"/>
        <w:left w:val="none" w:sz="0" w:space="0" w:color="auto"/>
        <w:bottom w:val="none" w:sz="0" w:space="0" w:color="auto"/>
        <w:right w:val="none" w:sz="0" w:space="0" w:color="auto"/>
      </w:divBdr>
    </w:div>
    <w:div w:id="1283149611">
      <w:bodyDiv w:val="1"/>
      <w:marLeft w:val="0"/>
      <w:marRight w:val="0"/>
      <w:marTop w:val="0"/>
      <w:marBottom w:val="0"/>
      <w:divBdr>
        <w:top w:val="none" w:sz="0" w:space="0" w:color="auto"/>
        <w:left w:val="none" w:sz="0" w:space="0" w:color="auto"/>
        <w:bottom w:val="none" w:sz="0" w:space="0" w:color="auto"/>
        <w:right w:val="none" w:sz="0" w:space="0" w:color="auto"/>
      </w:divBdr>
    </w:div>
    <w:div w:id="1359625004">
      <w:bodyDiv w:val="1"/>
      <w:marLeft w:val="0"/>
      <w:marRight w:val="0"/>
      <w:marTop w:val="0"/>
      <w:marBottom w:val="0"/>
      <w:divBdr>
        <w:top w:val="none" w:sz="0" w:space="0" w:color="auto"/>
        <w:left w:val="none" w:sz="0" w:space="0" w:color="auto"/>
        <w:bottom w:val="none" w:sz="0" w:space="0" w:color="auto"/>
        <w:right w:val="none" w:sz="0" w:space="0" w:color="auto"/>
      </w:divBdr>
    </w:div>
    <w:div w:id="1507018592">
      <w:bodyDiv w:val="1"/>
      <w:marLeft w:val="0"/>
      <w:marRight w:val="0"/>
      <w:marTop w:val="0"/>
      <w:marBottom w:val="0"/>
      <w:divBdr>
        <w:top w:val="none" w:sz="0" w:space="0" w:color="auto"/>
        <w:left w:val="none" w:sz="0" w:space="0" w:color="auto"/>
        <w:bottom w:val="none" w:sz="0" w:space="0" w:color="auto"/>
        <w:right w:val="none" w:sz="0" w:space="0" w:color="auto"/>
      </w:divBdr>
    </w:div>
    <w:div w:id="1722821229">
      <w:bodyDiv w:val="1"/>
      <w:marLeft w:val="0"/>
      <w:marRight w:val="0"/>
      <w:marTop w:val="0"/>
      <w:marBottom w:val="0"/>
      <w:divBdr>
        <w:top w:val="none" w:sz="0" w:space="0" w:color="auto"/>
        <w:left w:val="none" w:sz="0" w:space="0" w:color="auto"/>
        <w:bottom w:val="none" w:sz="0" w:space="0" w:color="auto"/>
        <w:right w:val="none" w:sz="0" w:space="0" w:color="auto"/>
      </w:divBdr>
    </w:div>
    <w:div w:id="1888369831">
      <w:bodyDiv w:val="1"/>
      <w:marLeft w:val="0"/>
      <w:marRight w:val="0"/>
      <w:marTop w:val="0"/>
      <w:marBottom w:val="0"/>
      <w:divBdr>
        <w:top w:val="none" w:sz="0" w:space="0" w:color="auto"/>
        <w:left w:val="none" w:sz="0" w:space="0" w:color="auto"/>
        <w:bottom w:val="none" w:sz="0" w:space="0" w:color="auto"/>
        <w:right w:val="none" w:sz="0" w:space="0" w:color="auto"/>
      </w:divBdr>
    </w:div>
    <w:div w:id="20879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xsupport@tavant.com"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support.tavant.com"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FF0A-D6D4-4472-B0BB-280B2B45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10272</Words>
  <Characters>57655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Asthana</dc:creator>
  <cp:lastModifiedBy>Hemanthkumar Jambulingam</cp:lastModifiedBy>
  <cp:revision>2</cp:revision>
  <cp:lastPrinted>2017-05-19T01:07:00Z</cp:lastPrinted>
  <dcterms:created xsi:type="dcterms:W3CDTF">2025-06-27T04:30:00Z</dcterms:created>
  <dcterms:modified xsi:type="dcterms:W3CDTF">2025-06-27T04:30:00Z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23396/00100/FW/9541397.7</vt:lpwstr>
  </property>
</Properties>
</file>