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6432C8B2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A791EE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68BAA8D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B579801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9DC8A88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DA40CA6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E554BBF" w14:textId="3663A43B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Сценарии использования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управления проектами и мониторинга инфраструктуры для ИТ-специалиста»</w:t>
      </w:r>
    </w:p>
    <w:p w14:paraId="091869AE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8C8E4AD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9DB264B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69602F7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37B53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72409EE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E9C057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5971CC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CC60967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14:paraId="48BA89AD" w14:textId="581CCB61"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Зараменских И. А.</w:t>
      </w:r>
    </w:p>
    <w:p w14:paraId="25CDDC64" w14:textId="77777777"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Сценарий 1 представлен на рисунке 1 и в таблице 1.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5940000" cy="3122307"/>
            <wp:effectExtent l="0" t="0" r="0" b="0"/>
            <wp:docPr id="201" name="Рисунок 1" descr="Диаграмма сценар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.png"/>
                    <pic:cNvPicPr/>
                  </pic:nvPicPr>
                  <pic:blipFill>
                    <a:blip r:embed="rIdUc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 – Сценарий «Учёт времени по задаче»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Таблица 1 – Сценарий 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Учёт времени работы по задаче проекта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UC-1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проектов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авторизован в системе; создан заказчик и проект, на доске задач проекта есть задача; для проекта задана почасовая ставка.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Исполнитель открывает доску задач проекта и выбирает карточку задачи, над которой начинает работу.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Исполнитель запускает таймер учёта времени из карточки задачи.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Система создаёт запись учёта времени с отметкой начала, привязкой к задаче и проекту и признаком оплачиваемости по умолчанию и отображает работающий таймер в верхней панели интерфейса.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Исполнитель выполняет работу по задаче и останавливает таймер.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Система фиксирует время окончания, рассчитывает длительность записи и сохраняет её.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Исполнитель при необходимости уточняет описание выполненной работы и признак оплачиваемости записи.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 xml:space="preserve">Система отображает запись в журнале учёта времени проекта и обновляет итоговые показатели за период: общее число часов, число оплачиваемых часов и их стоимость по ставке проекта.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2 у исполнителя уже запущен таймер по другой задаче – система останавливает и сохраняет текущую запись, после чего запускает таймер по выбранной задаче; одновременно работает не более одного таймера.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не запустил таймер в начале работы – он добавляет запись вручную с указанием даты, времени начала и окончания; система проверяет, что окончание позже начала и интервал не пересекается с существующими записями, после чего продолжает сценарий с шага 6.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Между шагами 3 и 4 исполнитель закрывает браузер или теряет соединение – отсчёт продолжается на стороне сервера, и при следующем входе система отображает работающий таймер с фактически прошедшим временем.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6 исполнитель пытается изменить запись, уже включённую в выставленный счёт, – система запрещает изменение длительности и признака оплачиваемости и сообщает номер счёта, в который включена запись.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Запись учёта времени сохранена, привязана к задаче и проекту и доступна для включения в счёт за соответствующий период.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Длительность записи должна учитываться с точностью до 1 минуты, а в любой момент у исполнителя должно существовать не более одной записи без времени окончания (согласно требованию FR-06).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Сценарий 2 представлен на рисунке 2 и в таблице 2.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5940000" cy="3122307"/>
            <wp:effectExtent l="0" t="0" r="0" b="0"/>
            <wp:docPr id="202" name="Рисунок 2" descr="Диаграмма сценар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.png"/>
                    <pic:cNvPicPr/>
                  </pic:nvPicPr>
                  <pic:blipFill>
                    <a:blip r:embed="rIdUc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2 – Сценарий «Формирование счёта за период»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Таблица 2 – Сценарий 2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Формирование счёта за период и учёт оплаты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UC-2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проектов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авторизован в системе; заполнены платёжные реквизиты исполнителя и заказчика; по проекту есть оплачиваемые записи учёта времени или выполненные этапы работ, не включённые в ранее выставленные счета (выполнен сценарий UC-1).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Исполнитель открывает раздел «Финансы» проекта и выбирает функцию формирования счёта.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Исполнитель задаёт расчётный период.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Система отбирает оплачиваемые записи учёта времени за период и выполненные этапы работ, не включённые в другие счета, и формирует предварительный состав строк счёта с количеством часов, ставкой и суммой по каждой строке.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Исполнитель проверяет состав строк и при необходимости исключает отдельные строки из счёта.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Исполнитель подтверждает формирование счёта.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Система присваивает счёту очередной номер, фиксирует дату выставления и срок оплаты, связывает включённые записи и этапы со счётом и формирует печатную форму счёта в формате PDF с реквизитами исполнителя и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Исполнитель передаёт счёт заказчику – скачивает печатную форму либо открывает к ней доступ по ссылке заказчика (сценарий UC-5), – и система переводит счёт в состояние «Выставлен».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После поступления денежных средств исполнитель вносит в систему факт оплаты с указанием суммы, даты и способа оплаты.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 xml:space="preserve">Система привязывает оплату к счёту, пересчитывает остаток по счёту и по проекту и при полной оплате переводит счёт в состояние «Оплачен».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3 за выбранный период нет оплачиваемых записей и выполненных этапов, не включённых в другие счета, – система сообщает, что данных для счёта нет, и счёт не создаёт.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6 у заказчика или исполнителя не заполнены обязательные платёжные реквизиты – система сохраняет счёт в состоянии «Черновик», перечисляет незаполненные поля и не формирует печатную форму до их заполнения.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8 сумма оплаты меньше остатка по счёту – система фиксирует частичную оплату, счёт остаётся в состоянии «Выставлен», а в карточке счёта отображается оставшаяся сумма.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Срок оплаты истёк, а остаток по счёту больше нуля – система переводит счёт в состояние «Просрочен» и отображает его на сводном экране исполнителя.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Счёт сформирован и сохранён; включённые в него записи учёта времени и этапы работ отмечены как выставленные и не могут быть включены в другой счёт; остаток по проекту актуален.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Итоговая сумма счёта должна совпадать с суммой оплачиваемых записей по отчёту учёта времени за тот же период до копейки, а денежные величины должны рассчитываться без использования чисел с плавающей точкой (согласно требованиям FR-09 и NFR-11).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Сценарий 3 представлен на рисунке 3 и в таблице 3.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5940000" cy="3122307"/>
            <wp:effectExtent l="0" t="0" r="0" b="0"/>
            <wp:docPr id="203" name="Рисунок 3" descr="Диаграмма сценар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.png"/>
                    <pic:cNvPicPr/>
                  </pic:nvPicPr>
                  <pic:blipFill>
                    <a:blip r:embed="rIdUc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3 – Сценарий «Настройка проверки доступности»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Таблица 3 – Сценарий 3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Настройка контроля доступности ресурса заказчика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UC-3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проектов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авторизован в системе; адрес электронной почты исполнителя подтверждён; создан проект заказчика, ресурс которого требуется контролировать.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Исполнитель открывает раздел «Мониторинг» и выбирает функцию создания проверки.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Исполнитель выбирает тип проверки (доступность по HTTP(S), ключевое слово, доступность узла, TCP-порт, сертификат, домен или регламентная задача) и указывает адрес ресурса, а для проверки порта – номер порта.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Исполнитель задаёт интервал проверки, таймаут и число последовательных неуспешных проверок, после которого фиксируется инцидент, либо оставляет значения по умолчанию.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Исполнитель привязывает проверку к проекту и к активу инфраструктуры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Исполнитель подтверждает, что имеет право контролировать указанный ресурс.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Система проверяет допустимость адреса и параметров, сохраняет проверку, записывает факт подтверждения права в журнал и выполняет пробную проверку.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 xml:space="preserve">Система отображает результат пробной проверки – состояние, код ответа и время отклика – и включает проверку в расписание.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6 в качестве адреса указан диапазон адресов, адрес частной или служебной сети либо несколько портов – система отклоняет создание проверки и сообщает причину отказа.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6 заданный интервал меньше минимально допустимого значения 60 секунд – система устанавливает минимальный интервал и сообщает об этом исполнителю.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7 пробная проверка завершилась неуспешно – система сохраняет проверку, отображает причину неуспеха (истечение таймаута, ошибка разрешения имени, код ответа) и предлагает исправить адрес.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задаёт для проверки окно планового обслуживания – в течение окна проверки выполняются, но инциденты не открываются и уведомления не отправляются.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Проверка сохранена и выполняется по расписанию; результаты проверок накапливаются и используются для расчёта статистики доступности; факт подтверждения права на контроль ресурса зафиксирован в журнале.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Система должна обращаться к одному узлу не чаще 1 раза в 30 секунд по всем проверкам и передавать заголовок User-Agent с наименованием системы (согласно требованиям FR-16 и NFR-12).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Сценарий 4 представлен на рисунке 4 и в таблице 4.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5940000" cy="3122307"/>
            <wp:effectExtent l="0" t="0" r="0" b="0"/>
            <wp:docPr id="204" name="Рисунок 4" descr="Диаграмма сценария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.png"/>
                    <pic:cNvPicPr/>
                  </pic:nvPicPr>
                  <pic:blipFill>
                    <a:blip r:embed="rIdUc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4 – Сценарий «Обнаружение отказа ресурса»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Таблица 4 – Сценарий 4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Обнаружение отказа ресурса и уведомление исполнителя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UC-4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проектов (инициатор сценария – планировщик проверок системы)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Проверка ресурса создана и активна (выполнен сценарий UC-3); по проверке нет открытого инцидента; окно планового обслуживания не действует.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Планировщик в соответствии с интервалом проверки ставит задание проверки в очередь.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Обработчик проверок выполняет обращение к ресурсу и фиксирует неуспешный результат с причиной неуспеха.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Система увеличивает счётчик последовательных неуспешных проверок и выполняет повторные проверки с уменьшенным интервалом.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Счётчик достигает заданного порога – система открывает инцидент, указывая в качестве времени начала время первой неуспешной проверки.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Система отправляет исполнителю уведомление по электронной почте и внутри интерфейса с указанием ресурса, причины неуспеха, времени начала и ссылки на инцидент.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Исполнитель открывает инцидент, просматривает историю проверок и отмечает инцидент как принятый в работу.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Исполнитель устраняет неисправность на стороне ресурса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 xml:space="preserve">Система после заданного числа последовательных успешных проверок закрывает инцидент, фиксирует его длительность, отправляет уведомление о восстановлении и пересчитывает статистику доступности.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3 очередная проверка завершается успешно – система сбрасывает счётчик неуспешных проверок, инцидент не открывается, уведомление не отправляется.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6 исполнитель не отмечает инцидент как принятый в работу в течение 30 минут – система направляет повторное уведомление.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5 почтовый провайдер возвращает ошибку доставки – система повторяет отправку, отмечает уведомление как недоставленное, а уведомление внутри интерфейса сохраняется.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Обработчик проверок остановлен и результаты не поступают дольше 3 интервалов – система уведомляет исполнителя и отмечает в интерфейсе, что данные контроля доступности неактуальны.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Инцидент зафиксирован со временем начала, окончания и длительностью; исполнитель уведомлён об отказе и о восстановлении; статистика доступности ресурса обновлена.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Уведомление должно быть доставлено не позднее 5 минут с момента первой неуспешной проверки при интервале 60 секунд, а одиночный сбой проверки не должен приводить к открытию инцидента (согласно требованиям FR-17 и NFR-02).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Сценарий 5 представлен на рисунке 5 и в таблице 5.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5940000" cy="3122307"/>
            <wp:effectExtent l="0" t="0" r="0" b="0"/>
            <wp:docPr id="205" name="Рисунок 5" descr="Диаграмма сценария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.png"/>
                    <pic:cNvPicPr/>
                  </pic:nvPicPr>
                  <pic:blipFill>
                    <a:blip r:embed="rIdUc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5 – Сценарий «Доступ заказчика по ссылке»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Таблица 5 – Сценарий 5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Предоставление заказчику доступа к проекту по ссылке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UC-5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проектов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авторизован в системе; создан проект, данные которого требуется показать заказчику.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Исполнитель открывает проект и выбирает функцию доступа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Исполнитель задаёт срок действия ссылки и состав открываемых разделов: ход работ, этапы и счета, файлы, статистика доступности.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Система формирует уникальную подписанную ссылку, не содержащую идентификатора проекта в открытом виде.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Исполнитель передаёт ссылку заказчику любым внешним каналом связи.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Заказчик переходит по полученной ссылке.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Система проверяет подпись ссылки и срок её действия.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Система отображает заказчику в режиме только для чтения разрешённые разделы проекта: состояние этапов, ленту выполненных работ, счета с суммами оплаченного и остатка, файлы и статистику доступности ресурсов.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0"/>
              </w:numPr>
              <w:ind w:left="453"/>
            </w:pPr>
            <w:r>
              <w:t xml:space="preserve">Система фиксирует обращение заказчика в журнале доступа.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5 срок действия ссылки истёк либо ссылка отозвана – система сообщает заказчику, что ссылка недействительна, и предлагает запросить новую ссылку у исполнителя.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6 подпись ссылки не проходит проверку либо ссылка изменена – система отклоняет запрос, данные проекта не отображаются, а попытка обращения фиксируется в журнале доступа.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После шага 7 исполнитель отзывает ссылку – система немедленно прекращает доступ, и следующий запрос по ссылке отклоняется.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переводит проект в архив – система автоматически отзывает все ссылки доступа по проекту.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Заказчик получил сведения о состоянии работ, расчётах и файлах только по своему проекту без регистрации в системе; обращение зафиксировано в журнале доступа.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Срок действия ссылки не должен превышать 30 суток, а ссылка с изменённым хотя бы одним символом должна отклоняться (согласно требованиям FR-27 и NFR-10).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Сценарий 6 представлен на рисунке 6 и в таблице 6.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5940000" cy="3122307"/>
            <wp:effectExtent l="0" t="0" r="0" b="0"/>
            <wp:docPr id="206" name="Рисунок 6" descr="Диаграмма сценария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.png"/>
                    <pic:cNvPicPr/>
                  </pic:nvPicPr>
                  <pic:blipFill>
                    <a:blip r:embed="rIdUc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6 – Сценарий «Контроль сроков продления»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Таблица 6 – Сценарий 6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Контроль сроков регистрации домена и действия сертификата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UC-6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проектов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Исполнитель авторизован в системе; создан заказчик и проект, к которому относится домен.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Исполнитель добавляет в реестр активов актив типа «домен», указывает доменное имя, регистратора и привязывает актив к заказчику и проекту.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Система запрашивает у реестра доменных имён по протоколу RDAP дату окончания регистрации домена и устанавливает TLS-соединение с ресурсом для получения срока действия сертификата.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Система сохраняет полученные даты с отметкой источника и времени получения и отображает их в карточке актива.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Система ежесуточно повторяет получение дат.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При достижении порога 14, 7 или 1 сутки до истечения срока система отправляет исполнителю уведомление с указанием актива, заказчика и даты истечения.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Исполнитель продлевает регистрацию домена или перевыпускает сертификат во внешней среде.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901"/>
              </w:numPr>
              <w:ind w:left="453"/>
            </w:pPr>
            <w:r>
              <w:t xml:space="preserve">При очередном ежесуточном запросе система получает новую дату, обновляет её в карточке актива и прекращает напоминания по прежней дате.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2 или 4 реестр недоступен либо превышен лимит запросов – система использует последнее полученное значение, отмечает дату как неподтверждённую и повторяет запрос через 6 часов.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2 доменная зона не поддерживает протокол RDAP, и по протоколу WHOIS дату получить не удалось, – система предлагает исполнителю ввести дату вручную и отмечает источник даты как «вручную».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На шаге 2 или 4 обнаружен истёкший или недействительный сертификат – система немедленно отправляет уведомление, не дожидаясь порогов.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Даты окончания регистрации домена и действия сертификата актуальны и хранятся с указанием источника; уведомления отправлены на каждом из порогов не более одного раза.</w:t>
            </w:r>
          </w:p>
        </w:tc>
      </w:tr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Запрос сведений о регистрации каждого домена должен выполняться не чаще 1 раза в сутки, не считая повторов после ошибок (согласно требованиям FR-23, FR-24 и CON-06).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sectPr w:rsidR="00CA2D2E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673B4" w14:textId="77777777" w:rsidR="004349BB" w:rsidRDefault="004349BB">
      <w:pPr>
        <w:spacing w:before="0" w:line="240" w:lineRule="auto"/>
      </w:pPr>
      <w:r>
        <w:separator/>
      </w:r>
    </w:p>
  </w:endnote>
  <w:endnote w:type="continuationSeparator" w:id="0">
    <w:p w14:paraId="37EE98FB" w14:textId="77777777" w:rsidR="004349BB" w:rsidRDefault="004349BB">
      <w:pPr>
        <w:spacing w:before="0" w:line="240" w:lineRule="auto"/>
      </w:pPr>
      <w:r>
        <w:continuationSeparator/>
      </w:r>
    </w:p>
  </w:endnote>
  <w:endnote w:type="continuationNotice" w:id="1">
    <w:p w14:paraId="7177F7E9" w14:textId="77777777" w:rsidR="004349BB" w:rsidRDefault="004349B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70DF9" w14:textId="77777777" w:rsidR="004349BB" w:rsidRDefault="004349BB" w:rsidP="00990EAC">
      <w:pPr>
        <w:spacing w:before="0" w:line="240" w:lineRule="auto"/>
      </w:pPr>
      <w:r>
        <w:separator/>
      </w:r>
    </w:p>
  </w:footnote>
  <w:footnote w:type="continuationSeparator" w:id="0">
    <w:p w14:paraId="38FBF903" w14:textId="77777777" w:rsidR="004349BB" w:rsidRDefault="004349BB" w:rsidP="00990EAC">
      <w:pPr>
        <w:spacing w:before="0" w:line="240" w:lineRule="auto"/>
      </w:pPr>
      <w:r>
        <w:continuationSeparator/>
      </w:r>
    </w:p>
  </w:footnote>
  <w:footnote w:type="continuationNotice" w:id="1">
    <w:p w14:paraId="73E19A2A" w14:textId="77777777" w:rsidR="004349BB" w:rsidRDefault="004349B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 w:numId="900">
    <w:abstractNumId w:val="25"/>
    <w:lvlOverride w:ilvl="0">
      <w:startOverride w:val="1"/>
    </w:lvlOverride>
  </w:num>
  <w:num w:numId="901">
    <w:abstractNumId w:val="25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Uc1" Type="http://schemas.openxmlformats.org/officeDocument/2006/relationships/image" Target="media/uc1.png"/><Relationship Id="rIdUc2" Type="http://schemas.openxmlformats.org/officeDocument/2006/relationships/image" Target="media/uc2.png"/><Relationship Id="rIdUc3" Type="http://schemas.openxmlformats.org/officeDocument/2006/relationships/image" Target="media/uc3.png"/><Relationship Id="rIdUc4" Type="http://schemas.openxmlformats.org/officeDocument/2006/relationships/image" Target="media/uc4.png"/><Relationship Id="rIdUc5" Type="http://schemas.openxmlformats.org/officeDocument/2006/relationships/image" Target="media/uc5.png"/><Relationship Id="rIdUc6" Type="http://schemas.openxmlformats.org/officeDocument/2006/relationships/image" Target="media/uc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357</TotalTime>
  <Pages>5</Pages>
  <Words>874</Words>
  <Characters>6023</Characters>
  <Application>Microsoft Office Word</Application>
  <DocSecurity>0</DocSecurity>
  <Lines>286</Lines>
  <Paragraphs>153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Михаил</cp:lastModifiedBy>
  <cp:revision>18</cp:revision>
  <cp:lastPrinted>2025-04-03T08:40:00Z</cp:lastPrinted>
  <dcterms:created xsi:type="dcterms:W3CDTF">2025-09-10T15:45:00Z</dcterms:created>
  <dcterms:modified xsi:type="dcterms:W3CDTF">2026-09-19T17:22:00Z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