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Анализ полноты и непротиворечивости требований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управления проектами и мониторинга инфраструктуры для ИТ-специалиста»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Зараменских И. 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>
      <w:pPr>
        <w:spacing w:after="120" w:line="276" w:lineRule="auto"/>
        <w:jc w:val="both"/>
      </w:pPr>
      <w:r>
        <w:t xml:space="preserve">Настоящий документ содержит проверку перечня из 54 требований к системе управления проектами и мониторинга инфраструктуры для ИТ-специалиста (32 функциональных требования с FR-01 по FR-32, 13 нефункциональных требований с NFR-01 по NFR-13 и 9 ограничений с CON-01 по CON-09, см. документ «Классификация и формализация требований») на полноту по стейкхолдерам, полноту по сценариям использования, однозначность формулировок и непротиворечивость. Обозначения стейкхолдеров соответствуют разделу 3 документа «Первичный анализ продукта», идентификаторы сценариев соответствуют документу «Сценарии использования системы». Выявленные пробелы помечены кодами УТ и собраны в разделе 5.</w:t>
      </w:r>
    </w:p>
    <w:p>
      <w:pPr>
        <w:keepNext/>
        <w:spacing w:before="240" w:after="120" w:line="276" w:lineRule="auto"/>
      </w:pPr>
      <w:r>
        <w:rPr>
          <w:b/>
          <w:bCs/>
        </w:rPr>
        <w:t xml:space="preserve">1. Проверка полноты по стейкхолдерам</w:t>
      </w:r>
    </w:p>
    <w:p>
      <w:pPr>
        <w:spacing w:after="120" w:line="276" w:lineRule="auto"/>
        <w:jc w:val="both"/>
      </w:pPr>
      <w:r>
        <w:t xml:space="preserve">Для каждого из пяти стейкхолдеров проверено наличие требований, которые непосредственно отвечают на его пользовательские истории, требования и условия, приведённые в первичном анализе (таблица 1).</w:t>
      </w:r>
    </w:p>
    <w:p>
      <w:pPr>
        <w:keepNext/>
        <w:spacing w:before="120" w:after="120" w:line="240" w:lineRule="auto"/>
        <w:ind w:firstLine="0"/>
        <w:jc w:val="left"/>
      </w:pPr>
      <w:r>
        <w:t xml:space="preserve">Таблица 1 – Полнота требований по стейкхолдерам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600"/>
        <w:gridCol w:w="4300"/>
        <w:gridCol w:w="3300"/>
        <w:gridCol w:w="4900"/>
      </w:tblGrid>
      <w:tr>
        <w:trPr>
          <w:cantSplit/>
          <w:tblHeader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Стейкхолдер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Ключевая потребность или условие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Покрывающие требования</w:t>
            </w:r>
          </w:p>
        </w:tc>
        <w:tc>
          <w:tcPr>
            <w:tcW w:w="49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Результат проверки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StH-01. Исполнитель проектов</w:t>
            </w:r>
          </w:p>
        </w:tc>
        <w:tc>
          <w:tcPr>
            <w:tcW w:w="4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Видеть на одном экране сроки, недоступные ресурсы и просроченные счета; учитывать время из карточки задачи; формировать счёт за период одним действием; учитывать оплаты и остаток; получать уведомление об отказе ресурса; видеть события репозитория; получать напоминания о продлении домена и сертификата.</w:t>
            </w:r>
          </w:p>
        </w:tc>
        <w:tc>
          <w:tcPr>
            <w:tcW w:w="3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 FR-01 по FR-14, с FR-17 по FR-26, FR-30; NFR-01, NFR-02, NFR-05, NFR-07, NFR-08, NFR-11; CON-01, CON-02, CON-03</w:t>
            </w:r>
          </w:p>
        </w:tc>
        <w:tc>
          <w:tcPr>
            <w:tcW w:w="4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Основная потребность покрыта. Не закреплены почасовая ставка и признак оплачиваемости записи (УТ-3), отчёт учёта времени за период (УТ-4), спринты, указанные в границах системы (УТ-8), и страница состояния (УТ-9). Первичное требование о восстановлении данных из ежедневной резервной копии в перечень не перенесено (УТ-11).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StH-02. Заказчик работ</w:t>
            </w:r>
          </w:p>
        </w:tc>
        <w:tc>
          <w:tcPr>
            <w:tcW w:w="4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Видеть состояние и ход работ без регистрации; видеть оплаченные этапы и остаток; получать файлы проекта; видеть статистику доступности; быть уверенным, что ссылка прекращает действовать.</w:t>
            </w:r>
          </w:p>
        </w:tc>
        <w:tc>
          <w:tcPr>
            <w:tcW w:w="3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FR-21, с FR-26 по FR-29; NFR-09, NFR-10, NFR-13</w:t>
            </w:r>
          </w:p>
        </w:tc>
        <w:tc>
          <w:tcPr>
            <w:tcW w:w="4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Полнота подтверждена. Дополнительное подтверждение доступа по коду, предусмотренное этическими ограничениями первичного анализа, не закреплено (УТ-10).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StH-03. Владелец продукта</w:t>
            </w:r>
          </w:p>
        </w:tc>
        <w:tc>
          <w:tcPr>
            <w:tcW w:w="4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Отключать модули настройкой; видеть, какие модули используются; измерять время до первого счёта и первого уведомления; получать показатели возврата пользователей; собирать обращения и сообщения об ошибках.</w:t>
            </w:r>
          </w:p>
        </w:tc>
        <w:tc>
          <w:tcPr>
            <w:tcW w:w="3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FR-30; NFR-03, NFR-05, NFR-06; CON-08, CON-09</w:t>
            </w:r>
          </w:p>
        </w:tc>
        <w:tc>
          <w:tcPr>
            <w:tcW w:w="4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Покрыта только первая из пяти пользовательских историй. Сбор показателей использования (УТ-1) и приём обращений и сообщений об ошибках (УТ-2) требованиями не обеспечены.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StH-04. Владельцы и провайдеры проверяемых ресурсов</w:t>
            </w:r>
          </w:p>
        </w:tc>
        <w:tc>
          <w:tcPr>
            <w:tcW w:w="4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Ограничение частоты обращений; опознаваемость источника по User-Agent; запрет сканирования диапазонов и перебора портов; кэширование и лимиты реестров; только служебные письма на подтверждённые адреса.</w:t>
            </w:r>
          </w:p>
        </w:tc>
        <w:tc>
          <w:tcPr>
            <w:tcW w:w="3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FR-15, FR-16; NFR-12; CON-01, CON-06, CON-07</w:t>
            </w:r>
          </w:p>
        </w:tc>
        <w:tc>
          <w:tcPr>
            <w:tcW w:w="4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Полнота подтверждена. Формулировка CON-06 расходится с альтернативным потоком 1 UC-6 (см. раздел 4, п. 3).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StH-05. Регулятор в области персональных данных</w:t>
            </w:r>
          </w:p>
        </w:tc>
        <w:tc>
          <w:tcPr>
            <w:tcW w:w="4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Правовое основание, перечень категорий, целей и сроков хранения; выгрузка и удаление данных по запросу; журналирование доступа; ограниченный срок действия публичных ссылок; размещение баз данных в России.</w:t>
            </w:r>
          </w:p>
        </w:tc>
        <w:tc>
          <w:tcPr>
            <w:tcW w:w="3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FR-15, FR-27, FR-29, FR-31, FR-32; с NFR-07 по NFR-10; CON-03, CON-05</w:t>
            </w:r>
          </w:p>
        </w:tc>
        <w:tc>
          <w:tcPr>
            <w:tcW w:w="4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Основная потребность покрыта. Сроки хранения персональных данных и публикация перечня категорий и целей обработки упомянуты только в обосновании FR-32, но не в его формулировке (УТ-12).</w:t>
            </w:r>
          </w:p>
        </w:tc>
      </w:tr>
    </w:tbl>
    <w:p>
      <w:pPr>
        <w:spacing w:after="120" w:line="276" w:lineRule="auto"/>
        <w:jc w:val="both"/>
      </w:pPr>
      <w:r>
        <w:t xml:space="preserve">Стейкхолдеров, оставшихся без требований, нет. Наибольший пробел относится к владельцу продукта: четыре из пяти его пользовательских историй не отражены в перечне. Для остальных стейкхолдеров замечания касаются отдельных деталей.</w:t>
      </w:r>
    </w:p>
    <w:p>
      <w:pPr>
        <w:keepNext/>
        <w:spacing w:before="240" w:after="120" w:line="276" w:lineRule="auto"/>
      </w:pPr>
      <w:r>
        <w:rPr>
          <w:b/>
          <w:bCs/>
        </w:rPr>
        <w:t xml:space="preserve">2. Проверка полноты по сценариям использования</w:t>
      </w:r>
    </w:p>
    <w:p>
      <w:pPr>
        <w:spacing w:after="120" w:line="276" w:lineRule="auto"/>
        <w:jc w:val="both"/>
      </w:pPr>
      <w:r>
        <w:t xml:space="preserve">Каждый шаг основного потока сценариев с UC-1 по UC-6 (всего 46 шагов) сопоставлен с функциональными требованиями; альтернативные потоки проверены дополнительно (таблица 2). Три шага выполняются вне системы (UC-4, шаг 7; UC-5, шаг 4; UC-6, шаг 6) и требований не предполагают. Из 43 шагов, выполняемых системой, полностью обеспечены 38, частично 5; шагов без требований нет.</w:t>
      </w:r>
    </w:p>
    <w:p>
      <w:pPr>
        <w:keepNext/>
        <w:spacing w:before="120" w:after="120" w:line="240" w:lineRule="auto"/>
        <w:ind w:firstLine="0"/>
        <w:jc w:val="left"/>
      </w:pPr>
      <w:r>
        <w:t xml:space="preserve">Таблица 2 – Сопоставление шагов сценариев и требований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600"/>
        <w:gridCol w:w="8700"/>
        <w:gridCol w:w="3800"/>
      </w:tblGrid>
      <w:tr>
        <w:trPr>
          <w:cantSplit/>
          <w:tblHeader/>
        </w:trPr>
        <w:tc>
          <w:tcPr>
            <w:tcW w:w="2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Сценарий</w:t>
            </w:r>
          </w:p>
        </w:tc>
        <w:tc>
          <w:tcPr>
            <w:tcW w:w="8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Шаги основного потока и покрывающие требования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UC-1. Учёт времени работы по задаче проекта</w:t>
            </w:r>
          </w:p>
        </w:tc>
        <w:tc>
          <w:tcPr>
            <w:tcW w:w="8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Шаг 1: FR-03, FR-04; шаг 2: FR-06; шаг 3: FR-06 (признак оплачиваемости по умолчанию и ставка проекта не закреплены); шаг 4: FR-06; шаг 5: FR-06; шаг 6: требование на изменение описания и признака оплачиваемости невыставленной записи отсутствует (FR-10 описывает только запрет для выставленной); шаг 7: отчёт учёта времени с итогами за период явно не закреплён (упоминается только в критерии верификации FR-09).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Альтернативные потоки. Поток 1: FR-06; поток 2: FR-07; поток 3: FR-06; поток 4: FR-10.</w:t>
            </w:r>
          </w:p>
        </w:tc>
        <w:tc>
          <w:tcPr>
            <w:tcW w:w="38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4 шага покрыты полностью; шаги 3, 6 и 7 покрыты частично (УТ-3, УТ-4).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UC-2. Формирование счёта за период и учёт оплаты</w:t>
            </w:r>
          </w:p>
        </w:tc>
        <w:tc>
          <w:tcPr>
            <w:tcW w:w="8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Шаг 1: FR-09, FR-30; шаг 2: FR-09; шаг 3: FR-09, FR-10; шаг 4: исключение отдельных строк из состава счёта в FR-09 не предусмотрено; шаг 5: FR-11; шаг 6: FR-10, FR-11, NFR-11; шаг 7: FR-26, FR-27 (состояния счёта «Черновик» и «Выставлен» в перечне не определены, FR-13 задаёт только «Оплачен» и «Просрочен»); шаг 8: FR-13; шаг 9: FR-13, NFR-11.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Альтернативные потоки. Поток 1: FR-12; поток 2: FR-12 (состояние «Черновик» не определено); поток 3: FR-13; поток 4: FR-05, FR-13.</w:t>
            </w:r>
          </w:p>
        </w:tc>
        <w:tc>
          <w:tcPr>
            <w:tcW w:w="38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7 шагов покрыты полностью; шаги 4 и 7 покрыты частично (УТ-5).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UC-3. Настройка контроля доступности ресурса заказчика</w:t>
            </w:r>
          </w:p>
        </w:tc>
        <w:tc>
          <w:tcPr>
            <w:tcW w:w="8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Шаг 1: FR-14, FR-30; шаг 2: FR-14; шаг 3: FR-14; шаг 4: FR-22; шаг 5: FR-15; шаг 6: FR-14, FR-15, FR-16; шаг 7: FR-14, NFR-03.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Альтернативные потоки. Поток 1: FR-16; поток 2: минимально допустимый интервал 60 с ни в одном требовании не закреплён; поток 3: FR-14 (частично); поток 4: FR-20.</w:t>
            </w:r>
          </w:p>
        </w:tc>
        <w:tc>
          <w:tcPr>
            <w:tcW w:w="38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Все 7 шагов покрыты полностью; альтернативный поток 2 не покрыт (УТ-6).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UC-4. Обнаружение отказа ресурса и уведомление исполнителя</w:t>
            </w:r>
          </w:p>
        </w:tc>
        <w:tc>
          <w:tcPr>
            <w:tcW w:w="8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Шаг 1: FR-14, NFR-03; шаг 2: FR-17, NFR-12, CON-01; шаг 3: FR-17; шаг 4: FR-17, FR-19; шаг 5: FR-18, NFR-02; шаг 6: FR-18; шаг 7: действие вне системы; шаг 8: FR-19, FR-21.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Альтернативные потоки. Поток 1: FR-17; поток 2: FR-18; поток 3: повторная отправка письма и признак недоставленного уведомления не закреплены; поток 4: NFR-05.</w:t>
            </w:r>
          </w:p>
        </w:tc>
        <w:tc>
          <w:tcPr>
            <w:tcW w:w="38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7 системных шагов покрыты полностью; альтернативный поток 3 покрыт частично (УТ-7).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UC-5. Предоставление заказчику доступа к проекту по ссылке</w:t>
            </w:r>
          </w:p>
        </w:tc>
        <w:tc>
          <w:tcPr>
            <w:tcW w:w="8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Шаг 1: FR-27, FR-30; шаг 2: FR-27, NFR-10; шаг 3: FR-27; шаг 4: действие вне системы; шаг 5: FR-27; шаг 6: FR-27, NFR-10; шаг 7: FR-28; шаг 8: NFR-09.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Альтернативные потоки. Поток 1: FR-29, NFR-10; поток 2: FR-27, NFR-09; поток 3: FR-29; поток 4: FR-29.</w:t>
            </w:r>
          </w:p>
        </w:tc>
        <w:tc>
          <w:tcPr>
            <w:tcW w:w="38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7 системных шагов покрыты полностью.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UC-6. Контроль сроков регистрации домена и действия сертификата</w:t>
            </w:r>
          </w:p>
        </w:tc>
        <w:tc>
          <w:tcPr>
            <w:tcW w:w="8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Шаг 1: FR-22; шаг 2: FR-23; шаг 3: FR-23; шаг 4: FR-23, CON-06; шаг 5: FR-24; шаг 6: действие вне системы; шаг 7: FR-23, FR-24.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Альтернативные потоки. Поток 1: FR-23 (повтор через 6 часов противоречит формулировке CON-06, см. раздел 4); поток 2: FR-23; поток 3: FR-24.</w:t>
            </w:r>
          </w:p>
        </w:tc>
        <w:tc>
          <w:tcPr>
            <w:tcW w:w="38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6 системных шагов покрыты полностью; альтернативный поток 1 требует согласования с CON-06.</w:t>
            </w:r>
          </w:p>
        </w:tc>
      </w:tr>
    </w:tbl>
    <w:p>
      <w:pPr>
        <w:spacing w:after="120" w:line="276" w:lineRule="auto"/>
        <w:jc w:val="both"/>
      </w:pPr>
      <w:r>
        <w:t xml:space="preserve">Для устранения неполноты необходимо закрепить ставку и признак оплачиваемости записи учёта времени, отчёт учёта времени, исключение строк и модель состояний счёта, минимальный интервал проверки и обработку ошибок доставки писем (с УТ-3 по УТ-7).</w:t>
      </w:r>
    </w:p>
    <w:p>
      <w:pPr>
        <w:keepNext/>
        <w:spacing w:before="240" w:after="120" w:line="276" w:lineRule="auto"/>
      </w:pPr>
      <w:r>
        <w:rPr>
          <w:b/>
          <w:bCs/>
        </w:rPr>
        <w:t xml:space="preserve">3. Проверка на однозначность</w:t>
      </w:r>
    </w:p>
    <w:p>
      <w:pPr>
        <w:spacing w:after="120" w:line="276" w:lineRule="auto"/>
        <w:jc w:val="both"/>
      </w:pPr>
      <w:r>
        <w:t xml:space="preserve">Формулировки всех 54 требований проверены на оценочные слова и неопределённые выражения. Термины первичного анализа «вскоре», «в течение нескольких минут», «несколько последовательных проверок» уже получили в перечне числовые значения (FR-17, FR-18, NFR-02, NFR-05). Остались места, где величина приведена только в критерии верификации, не определены границы или состав либо значение отложено до согласования (таблица 3).</w:t>
      </w:r>
    </w:p>
    <w:p>
      <w:pPr>
        <w:keepNext/>
        <w:spacing w:before="120" w:after="120" w:line="240" w:lineRule="auto"/>
        <w:ind w:firstLine="0"/>
        <w:jc w:val="left"/>
      </w:pPr>
      <w:r>
        <w:t xml:space="preserve">Таблица 3 – Уточнение неоднозначных формулировок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300"/>
        <w:gridCol w:w="3700"/>
        <w:gridCol w:w="4400"/>
        <w:gridCol w:w="5700"/>
      </w:tblGrid>
      <w:tr>
        <w:trPr>
          <w:cantSplit/>
          <w:tblHeader/>
        </w:trPr>
        <w:tc>
          <w:tcPr>
            <w:tcW w:w="13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Требование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Формулировка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Проблема</w:t>
            </w:r>
          </w:p>
        </w:tc>
        <w:tc>
          <w:tcPr>
            <w:tcW w:w="5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Предлагаемое уточнение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FR-05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«активы с истекающим сроком продления»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Не определён горизонт, начиная с которого срок считается истекающим.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Отображать активы, до даты продления которых осталось не более 14 суток (согласовано с первым порогом FR-24).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FR-14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«Сразу после сохранения проверка выполняется однократно»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Слово «сразу» не имеет количественного определения; срок 15 с указан только в критерии верификации.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Заменить на «не позднее 15 с после сохранения проверки».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FR-17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«выполняя повторные проверки с уменьшенным интервалом»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Величина уменьшенного интервала не определена; при произвольном значении нарушается NFR-12.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Интервал повторной проверки равен половине интервала проверки, но не менее 30 с.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FR-18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«система направляет повторное уведомление»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Не определено, повторяется ли уведомление однократно или каждые 30 минут до подтверждения.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Повторное уведомление по электронной почте направляется однократно; далее инцидент остаётся выделенным в интерфейсе до подтверждения.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FR-25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«интеграция отмечается как неисправная»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Срок появления отметки (1 час) указан только в критерии верификации.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Перенести в формулировку: «не позднее 1 часа с момента первой неуспешной попытки обращения к сервису».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FR-26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«хранить файлы проекта»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Ограничение размера файла (50 МБ) указано только в критерии верификации.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формулировку: «размер одного файла не более 50 МБ; файл большего размера отклоняется с сообщением».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NFR-01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«основные экраны отображать не позднее 2 секунд»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Перечень основных экранов не определён.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К основным экранам относить сводный экран, доску задач, журнал учёта времени, список счетов, раздел «Мониторинг» и страницу заказчика по ссылке.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NFR-03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«Предельное число проверок ... определяется нагрузочным испытанием»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Не задано минимальное целевое значение, поэтому требование выполняется при любом результате испытания.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Установить нижнюю границу: один экземпляр обработчика обслуживает не менее 1 000 активных проверок с интервалом 60 с; значение согласовать с владельцем продукта.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NFR-04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«не должно превышать значения, согласованного с заказчиком»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Числовое значение отсутствует, требование нельзя проверить до согласования.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Зафиксировать доступность не ниже 99,5 % времени в календарный месяц без учёта заранее объявленного планового обслуживания.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NFR-06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«Сроки хранения ... должны задаваться настройкой»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Не заданы значения по умолчанию и допустимые границы.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 умолчанию хранить детальные результаты 30 суток, почасовые агрегаты 13 месяцев; срок хранения агрегатов не может быть меньше 30 суток (см. раздел 4, п. 6).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CON-06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«не чаще 1 раза в сутки»</w:t>
            </w:r>
          </w:p>
        </w:tc>
        <w:tc>
          <w:tcPr>
            <w:tcW w:w="44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Исключение для повторов после ошибок есть только в критерии верификации и в UC-6.</w:t>
            </w:r>
          </w:p>
        </w:tc>
        <w:tc>
          <w:tcPr>
            <w:tcW w:w="5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формулировку: «повторный запрос после ошибки реестра выполняется не ранее чем через 6 часов».</w:t>
            </w:r>
          </w:p>
        </w:tc>
      </w:tr>
    </w:tbl>
    <w:p>
      <w:pPr>
        <w:spacing w:after="120" w:line="276" w:lineRule="auto"/>
        <w:jc w:val="both"/>
      </w:pPr>
      <w:r>
        <w:t xml:space="preserve">С учётом указанных замен каждое из перечисленных требований может быть однозначно реализовано и проверено при приёмке. Остальные количественные критерии (FR-06, FR-09, FR-24, FR-31, NFR-02, NFR-05, с NFR-08 по NFR-12) уточнений не требуют.</w:t>
      </w:r>
    </w:p>
    <w:p>
      <w:pPr>
        <w:keepNext/>
        <w:spacing w:before="240" w:after="120" w:line="276" w:lineRule="auto"/>
      </w:pPr>
      <w:r>
        <w:rPr>
          <w:b/>
          <w:bCs/>
        </w:rPr>
        <w:t xml:space="preserve">4. Проверка на непротиворечивость</w:t>
      </w:r>
    </w:p>
    <w:p>
      <w:pPr>
        <w:spacing w:after="120" w:line="276" w:lineRule="auto"/>
        <w:jc w:val="both"/>
      </w:pPr>
      <w:r>
        <w:t xml:space="preserve">Требования, относящиеся к одной функции или характеристике системы, проверены попарно на возможность одновременного выполнения. Пар, которые невозможно выполнить вместе, не найдено; выявлено девять мест, где требования могут вступить в конфликт при реализации (таблица 4).</w:t>
      </w:r>
    </w:p>
    <w:p>
      <w:pPr>
        <w:keepNext/>
        <w:spacing w:before="120" w:after="120" w:line="240" w:lineRule="auto"/>
        <w:ind w:firstLine="0"/>
        <w:jc w:val="left"/>
      </w:pPr>
      <w:r>
        <w:t xml:space="preserve">Таблица 4 – Проверка непротиворечивости требований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5600"/>
        <w:gridCol w:w="6200"/>
      </w:tblGrid>
      <w:tr>
        <w:trPr>
          <w:cantSplit/>
          <w:tblHeader/>
        </w:trP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Пара требований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Потенциальное противоречие</w:t>
            </w:r>
          </w:p>
        </w:tc>
        <w:tc>
          <w:tcPr>
            <w:tcW w:w="62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Стратегия разрешения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CON-02, CON-03, CON-04 и FR-11, FR-13, NFR-08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Ограничения были отнесены к приоритету Won't Have. Для ограничения, сформулированного как «система не должна...», это означает, что само ограничение в текущем объёме не соблюдается. Это противоречит FR-11 (пометка о расчётном характере счёта), FR-13 (вносится только факт оплаты) и границам системы.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Ограничения являются обязательными условиями, сужающими пространство решений: приоритет CON-02, CON-03 и CON-04 изменён на Must Have (внесено в документ «Классификация и формализация требований»), их соблюдение проверяется при приёмке наравне с остальными требованиями Must Have.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FR-17 и NFR-12, NFR-02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Повторные проверки с уменьшенным интервалом могут нарушить предел «не чаще 1 раза в 30 с к одному узлу», особенно если один узел контролируют несколько исполнителей.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Интервал повторной проверки должен быть не менее 30 с (см. раздел 3); проверки одного адреса разными исполнителями объединяются планировщиком, результат передаётся всем владельцам проверки. При интервале 60 с и пороге 3 инцидент открывается через 60 с после первой неуспешной проверки, что укладывается в 5 минут по NFR-02.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CON-06 и FR-23, UC-6 (альтернативный поток 1)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CON-06 запрещает запрашивать сведения о домене чаще 1 раза в сутки, а сценарий предусматривает повтор через 6 часов при ошибке реестра.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Повторы после ошибки разрешены не ранее чем через 6 часов и не более 3 раз в сутки; формулировка CON-06 дополняется этим исключением, ответы реестров кэшируются.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NFR-10 и FR-27, FR-29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В базе данных хранится только хеш ссылки, поэтому исполнитель не может повторно получить ранее выданную ссылку для пересылки заказчику.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Ссылка показывается исполнителю один раз при формировании; для повторной передачи формируется новая ссылка, прежняя может быть отозвана. Отзыв (FR-29) выполняется по идентификатору записи, а не по значению ссылки.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FR-31 и NFR-09, FR-32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FR-31 требует удалить учётную запись со связанными данными, а NFR-09 требует хранить неизменяемый журнал доступа не менее 1 года; FR-32 требует хранить факт и дату согласия.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Приоритет исполнения обязанностей оператора: записи журнала и журнала согласий сохраняются до истечения срока хранения с заменой персональных данных на обезличенный идентификатор; основание хранения указывается в политике обработки персональных данных (УТ-12).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6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FR-21 и NFR-06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Если срок хранения результатов проверок задать меньше 30 суток, статистику доступности за 30 суток рассчитать невозможно.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Статистика за 7 и 30 суток рассчитывается по почасовым агрегатам; настройка не допускает срок хранения агрегатов меньше 30 суток.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7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FR-30 и FR-17, FR-28, FR-29, NFR-05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Отключение модуля «Мониторинг» останавливает проверки, что NFR-05 может расценить как отказ подсистемы; отключение модуля «Доступ заказчика» не определяет судьбу действующих ссылок.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При отключении «Мониторинга» проверки исполнителя приостанавливаются и исключаются из контроля NFR-05; при отключении «Доступа заказчика» запросы по всем ссылкам отклоняются, при повторном включении ссылки с неистёкшим сроком снова действуют.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FR-18, FR-24 и CON-07, CON-09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Повторные уведомления об инцидентах и напоминания о продлении увеличивают число писем, которое при 100 исполнителях может превысить лимит бесплатного тарифа почтового провайдера.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Повторное письмо по FR-18 отправляется однократно (см. раздел 3); при приближении к суточному лимиту письма о восстановлении ресурса доставляются только внутри интерфейса. Прогноз числа писем выполняется по критерию CON-09.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7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FR-10 и UC-2, шаг 4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Строка, исключённая исполнителем из счёта, должна остаться доступной для последующих счетов, тогда как FR-10 связывает со счётом все отобранные записи.</w:t>
            </w:r>
          </w:p>
        </w:tc>
        <w:tc>
          <w:tcPr>
            <w:tcW w:w="62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Со счётом связываются только строки, оставшиеся в составе при подтверждении (шаг 5); исключённые записи не отмечаются как выставленные (УТ-5).</w:t>
            </w:r>
          </w:p>
        </w:tc>
      </w:tr>
    </w:tbl>
    <w:p>
      <w:pPr>
        <w:spacing w:after="120" w:line="276" w:lineRule="auto"/>
        <w:jc w:val="both"/>
      </w:pPr>
      <w:r>
        <w:t xml:space="preserve">При соблюдении указанных стратегий конфликты снимаются. Остальные проверенные пары совместимы: FR-11 и CON-03 (счёт формируется как расчётный документ с пометкой), FR-13 и CON-02 (вносится только факт оплаты), FR-25 и CON-09 (приём событий через веб-перехватчик не расходует лимиты программного интерфейса GitHub), FR-14 и CON-01 (проверки используют только методы чтения), FR-31 и CON-05 (удаление выполняется в хранилищах на территории России).</w:t>
      </w:r>
    </w:p>
    <w:p>
      <w:pPr>
        <w:keepNext/>
        <w:spacing w:before="240" w:after="120" w:line="276" w:lineRule="auto"/>
      </w:pPr>
      <w:r>
        <w:rPr>
          <w:b/>
          <w:bCs/>
        </w:rPr>
        <w:t xml:space="preserve">5. Требования, подлежащие уточнению</w:t>
      </w:r>
    </w:p>
    <w:p>
      <w:pPr>
        <w:spacing w:after="120" w:line="276" w:lineRule="auto"/>
        <w:jc w:val="both"/>
      </w:pPr>
      <w:r>
        <w:t xml:space="preserve">Перечисленные ниже пункты не препятствуют реализации основных функций, но должны быть закрыты до утверждения перечня. После согласования изменения вносятся в документы «Классификация и формализация требований» и «Техническое задание».</w:t>
      </w:r>
    </w:p>
    <w:p>
      <w:pPr>
        <w:keepNext/>
        <w:spacing w:before="120" w:after="120" w:line="240" w:lineRule="auto"/>
        <w:ind w:firstLine="0"/>
        <w:jc w:val="left"/>
      </w:pPr>
      <w:r>
        <w:t xml:space="preserve">Таблица 5 – Требования, подлежащие уточнению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3600"/>
        <w:gridCol w:w="7100"/>
      </w:tblGrid>
      <w:tr>
        <w:trPr>
          <w:cantSplit/>
          <w:tblHeader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Что подлежит уточнению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Связь с перечнем / сценарием</w:t>
            </w:r>
          </w:p>
        </w:tc>
        <w:tc>
          <w:tcPr>
            <w:tcW w:w="71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 xml:space="preserve">Предлагаемая формулировка или порядок уточнения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УТ-1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Показатели использования продукта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FR-30 / StH-03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Добавить требование (Could Have): система собирает обезличенные показатели (число активных пользователей по модулям, время от регистрации до первого счёта и первого уведомления, долю вернувшихся пользователей за 7 и 30 суток) и отображает их владельцу продукта.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УТ-2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Обращения и сообщения об ошибках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StH-03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Добавить требование (Could Have): исполнитель отправляет обращение из интерфейса, к нему автоматически прикладываются адрес страницы и версия браузера; обращения доступны владельцу продукта в отдельном списке.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УТ-3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Почасовая ставка и признак оплачиваемости записи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FR-03, FR-06, FR-09 / UC-1, шаги 3 и 6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FR-03: для проекта задаётся почасовая ставка и валюта. Дополнить FR-06: новая запись создаётся оплачиваемой по умолчанию; до включения в счёт исполнитель может изменить её описание и признак оплачиваемости.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УТ-4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Отчёт учёта времени за период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FR-09 / UC-1, шаг 7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Добавить требование: система формирует отчёт учёта времени по проекту за выбранный период с общим числом часов, числом оплачиваемых часов и их стоимостью по ставке проекта.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УТ-5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Исключение строк и состояния счёта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 FR-09 по FR-13 / UC-2, шаги 4 и 7, альтернативный поток 2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FR-09: исполнитель может исключить строки из предварительного состава. Дополнить FR-11 и FR-13 моделью состояний: «Черновик», затем «Выставлен», затем «Оплачен»; из «Выставлен» возможен переход в «Просрочен».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УТ-6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Минимальный интервал проверки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FR-14, NFR-12 / UC-3, альтернативный поток 2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FR-14: интервал проверки должен быть не менее 60 с; при вводе меньшего значения устанавливается 60 с и исполнитель получает сообщение.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УТ-7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Ошибка доставки уведомления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FR-18 / UC-4, альтернативный поток 3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FR-18: при ошибке почтового провайдера отправка повторяется до 3 раз с интервалом 1 минута, затем уведомление отмечается как недоставленное; уведомление внутри интерфейса сохраняется.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УТ-8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Спринты в модуле задач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FR-04 / раздел 4 первичного анализа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Согласовать с владельцем продукта: дополнить FR-04 группировкой задач по спринтам либо исключить спринты из границ системы.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УТ-9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Публичная страница состояния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FR-21 / разделы 4 и 7 первичного анализа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Добавить требование (Could Have): публикация страницы состояния ресурсов проекта только после отметки о согласии заказчика, с выбором отображаемых ресурсов; либо исключить страницу состояния из границ системы.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УТ-10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Подтверждение доступа заказчика по коду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FR-27, CON-07 / раздел 7 первичного анализа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FR-27: исполнитель может включить для ссылки подтверждение одноразовым кодом, отправляемым на адрес контактного лица заказчика; код действует 10 минут.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УТ-11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Резервное копирование и восстановление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NFR-04 / первичное требование 6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Добавить нефункциональное требование: ежедневная резервная копия базы данных и объектного хранилища хранится не менее 7 суток на территории России; восстановление на чистом стенде проверяется не реже 1 раза в месяц.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УТ-12</w:t>
            </w:r>
          </w:p>
        </w:tc>
        <w:tc>
          <w:tcPr>
            <w:tcW w:w="3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Сроки хранения и политика обработки персональных данных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FR-32, FR-31, NFR-09 / StH-05</w:t>
            </w:r>
          </w:p>
        </w:tc>
        <w:tc>
          <w:tcPr>
            <w:tcW w:w="71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cs="Times New Roman"/>
                <w:sz w:val="20"/>
                <w:szCs w:val="20"/>
              </w:rPr>
              <w:t xml:space="preserve">Дополнить FR-32: система публикует политику обработки персональных данных с перечнем категорий, целей и сроков хранения; сроки хранения журналов и согласий после удаления учётной записи определяются этой политикой.</w:t>
            </w:r>
          </w:p>
        </w:tc>
      </w:tr>
    </w:tbl>
    <w:p>
      <w:pPr>
        <w:keepNext/>
        <w:spacing w:before="240" w:after="120" w:line="276" w:lineRule="auto"/>
      </w:pPr>
      <w:r>
        <w:rPr>
          <w:b/>
          <w:bCs/>
        </w:rPr>
        <w:t xml:space="preserve">6. Итог проверки</w:t>
      </w:r>
    </w:p>
    <w:p>
      <w:pPr>
        <w:spacing w:after="120" w:line="276" w:lineRule="auto"/>
        <w:jc w:val="both"/>
      </w:pPr>
      <w:r>
        <w:t xml:space="preserve">Перечень из 54 требований в целом полон и непротиворечив для реализации основных процессов системы: учёта времени, формирования счетов и учёта оплат, контроля доступности ресурсов, контроля сроков продления и доступа заказчика по ссылке. Каждый стейкхолдер обеспечен требованиями; наибольший пробел относится к пользовательским историям владельца продукта. Из 43 шагов основных потоков, выполняемых системой, 38 обеспечены полностью и 5 частично. Найдено 11 формулировок с неопределёнными границами и 9 потенциальных конфликтов, для каждого выбрана стратегия разрешения; прямых противоречий нет. Несогласованность приоритетов ограничений с CON-02 по CON-04 устранена. До утверждения перечня необходимо закрыть уточнения с УТ-1 по УТ-12 и внести соответствующие изменения в требования, сценарии и техническое задание.</w:t>
      </w:r>
    </w:p>
    <w:p>
      <w:pPr>
        <w:ind w:firstLine="0"/>
      </w:pPr>
    </w:p>
    <w:sectPr>
      <w:headerReference w:type="default" r:id="rId12"/>
      <w:pgSz w:w="16838" w:h="11906" w:orient="landscape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75B" w:rsidRDefault="00E6275B">
      <w:pPr>
        <w:spacing w:before="0" w:line="240" w:lineRule="auto"/>
      </w:pPr>
      <w:r>
        <w:separator/>
      </w:r>
    </w:p>
  </w:endnote>
  <w:endnote w:type="continuationSeparator" w:id="0">
    <w:p w:rsidR="00E6275B" w:rsidRDefault="00E6275B">
      <w:pPr>
        <w:spacing w:before="0" w:line="240" w:lineRule="auto"/>
      </w:pPr>
      <w:r>
        <w:continuationSeparator/>
      </w:r>
    </w:p>
  </w:endnote>
  <w:endnote w:type="continuationNotice" w:id="1">
    <w:p w:rsidR="00E6275B" w:rsidRDefault="00E6275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75B" w:rsidRDefault="00E6275B" w:rsidP="00990EAC">
      <w:pPr>
        <w:spacing w:before="0" w:line="240" w:lineRule="auto"/>
      </w:pPr>
      <w:r>
        <w:separator/>
      </w:r>
    </w:p>
  </w:footnote>
  <w:footnote w:type="continuationSeparator" w:id="0">
    <w:p w:rsidR="00E6275B" w:rsidRDefault="00E6275B" w:rsidP="00990EAC">
      <w:pPr>
        <w:spacing w:before="0" w:line="240" w:lineRule="auto"/>
      </w:pPr>
      <w:r>
        <w:continuationSeparator/>
      </w:r>
    </w:p>
  </w:footnote>
  <w:footnote w:type="continuationNotice" w:id="1">
    <w:p w:rsidR="00E6275B" w:rsidRDefault="00E6275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EF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621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17F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95290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0E7D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15B9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2D0F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275B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0B76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0C4A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4391</Words>
  <Characters>28851</Characters>
  <Application>Microsoft Office Word</Application>
  <DocSecurity>0</DocSecurity>
  <Lines>1202</Lines>
  <Paragraphs>488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Илья Зараменских</cp:lastModifiedBy>
  <cp:revision>24</cp:revision>
  <cp:lastPrinted>2025-04-03T08:40:00Z</cp:lastPrinted>
  <dcterms:created xsi:type="dcterms:W3CDTF">2025-09-10T15:45:00Z</dcterms:created>
  <dcterms:modified xsi:type="dcterms:W3CDTF">2026-09-24T17:48:00Z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