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>Классификация и формализация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управления проектами и мониторинга инфраструктуры для ИТ-специалиста»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Зараменских И. 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 w:rsidP="00795290">
      <w:pPr>
        <w:spacing w:after="120" w:line="276" w:lineRule="auto"/>
      </w:pPr>
      <w:r>
        <w:lastRenderedPageBreak/>
        <w:t>Требования к системе разделены на три группы: функциональные требования (FR), определяющие функции системы; нефункциональные требования (NFR), задающие характеристики качества; ограничения (CON), сужающие пространство решений. Для каждого требования указаны наименование, формулировка, источник, обоснование, приоритет по модели MoSCoW и критерий верификации. В столбце «Источник» используются обозначения стейкхолдеров по разделу 3 первичного анализа продукта: StH-01 – исполнитель проектов, StH-02 – заказчик работ, StH-03 – владелец продукта, StH-04 – владельцы и провайдеры проверяемых ресурсов, StH-05 – регулятор в области персональных данных; 152-ФЗ – Федеральный закон «О персональных данных» от 27.07.2006 № 152-ФЗ.</w:t>
      </w:r>
    </w:p>
    <w:p w:rsidR="001A72F0" w:rsidRDefault="00000000" w:rsidP="00795290">
      <w:pPr>
        <w:spacing w:after="120" w:line="276" w:lineRule="auto"/>
      </w:pPr>
      <w:r>
        <w:t>Функциональные требования приведены в таблице 1.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1 – 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Регистрация и вход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регистрацию исполнителя по адресу электронной почты и паролю с подтверждением адреса по ссылке из письма и предоставлять доступ к данным только после успешного входа.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Предусловие всех сценариев UC-1 – UC-6; подтверждённый адрес используется как канал доставки уведомлений об инцидентах.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контрольной учётной записи вход без подтверждения адреса и с неверным паролем отклоняется во всех 10 попытках; после перехода по ссылке из письма вход выполняется.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заказчиков, контактных лиц и платёжных реквизитов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создавать, изменять и архивировать записи заказчиков и их контактных лиц. Для заказчика хранятся платёжные реквизиты: наименование, ИНН, юридический адрес, расчётный счёт и БИК. При вводе ИНН проверяются контрольные разряды.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является корневой сущностью, к которой привязываются проекты, счета и активы инфраструктуры. Реквизиты подставляются в печатную форму счёта, поэтому ошибка в них приводит к оплате по неверным данным.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6 заказчиков заполнены реквизиты и по два контактных лица; ИНН с неверным контрольным разрядом система отклоняет, остальные значения сохраняются без искажений и подставляются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Ведение проектов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вести проекты заказчика с указанием состояния (активен, приостановлен, завершён, в архиве), сроков и бюджета и отображать по каждому проекту единую ленту событий.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Проект объединяет задачи, учёт времени, этапы работ, счета, файлы и проверки доступности одного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 проект, изменено его состояние; в ленте проекта отображаются события смены состояния, создания задач и выставления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Доска задач и дефектов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задачи проекта на доске со столбцами состояний (очередь, к выполнению, в работе, на проверке, выполнено), допускать перемещение карточек между столбцами и вести отдельный перечень дефектов с приоритетом и серьёзностью.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Задача является объектом, к которому привязывается учёт времени в сценарии UC-1.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карточка задачи перемещена из столбца «В работе» в «Выполнено», после обновления страницы положение сохранено.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Сводный экран исполнителя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на главном экране ближайшие сроки задач и этапов, ресурсы с открытыми инцидентами, просроченные счета и активы с истекающим сроком продления.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исполнителя «видеть на одном экране ближайшие сроки, недоступные ресурсы и просроченные счета».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на подготовленном наборе данных главный экран содержит все четыре блока, количество элементов в каждом совпадает с данными соответствующих разделов.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времени таймером из карточки задачи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запускать таймер учёта времени из карточки задачи и создавать запись с отметкой начала, привязанную к задаче и проекту. При остановке таймера фиксируются время окончания и длительность записи. Отметка начала хранится на сервере, поэтому при повторном входе исполнителя работающий таймер отображается с фактически прошедшим временем. Одновременно допускается не более одной работающей записи.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2–5 основного потока и альтернативные потоки 1 и 3 UC-1; пользовательская история «запускать учёт времени прямо из карточки задачи». Потеря записи при закрытии вкладки или два одновременных таймера означают потерю или двойной учёт оплачиваемого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 10 запусков длительность записи совпадает с фактическим интервалом с точностью до 1 минуты. После закрытия браузера на полчаса таймер показывает 30 ± 1 минуту. При последовательном запуске таймеров по трём задачам в любой момент остаётся не более одной записи без времени окончания.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Ручной ввод записи учёта времени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добавить запись учёта времени вручную с указанием даты, времени начала и окончания, отклоняя записи, у которых окончание не позже начала либо интервал пересекается с существующей записью.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2 UC-1; исполнитель не всегда запускает таймер вовремя.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записи с пересекающимися интервалами и записи с окончанием раньше начала система не принимает (проверено по 5 случаев каждого вида), корректные записи сохраняются.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Этапы работ по проекту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по проекту этапы работ (аванс, промежуточный этап, финальный этап) с суммой, валютой, сроком и состоянием (ожидает, выполнен, выставлен, оплачен).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Оплата по этапам является второй, наряду с почасовой, моделью расчётов с заказчиком.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проекту созданы 3 этапа, этап переведён в состояние «Выполнен» и становится доступен для включения в счёт.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Формирование состава счёта за период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выбранному проекту и периоду формировать предварительный состав счёта из всех оплачиваемых записей учёта времени и выполненных этапов работ, не включённых в другие счета, с расчётом количества часов, ставки и суммы по каждой строке.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2–3 основного потока UC-2; ключевая измеримая цель системы – подготовка счёта без повторного ввода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контрольном наборе из 40 записей (30 оплачиваемых, 10 неоплачиваемых) и 2 выполненных этапов в счёт попадают 30 записей и 2 этапа, итог совпадает с отчётом учёта времени до копейки.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повторного выставления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связывать записи учёта времени и этапы работ с включившим их счётом, исключать их из состава последующих счетов и запрещать изменение длительности, ставки и признака оплачиваемости выставленной записи с указанием номера счёта.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Постусловие UC-2 и альтернативный поток 4 UC-1; дублирование строк в счетах и изменение выставленных записей приводят к расхождению счёта и отчёта учёта времени.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повторном формировании счёта за тот же период состав счёта пуст; 5 попыток изменить выставленную запись через интерфейс и программный интерфейс отклонены, сообщение содержит номер счёта.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Нумерация и печатная форма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присваивать счёту уникальный в пределах исполнителя последовательный номер, фиксировать дату выставления и срок оплаты и формировать печатную форму счёта в формате PDF с реквизитами исполнителя и заказчика и пометкой о том, что документ не является первичным учётным документом.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6 основного потока UC-2; этическое ограничение первичного анализа об указании на расчётный характер документа.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номера 20 сформированных счетов уникальны и идут подряд; PDF содержит реквизиты сторон, строки, итог и пометку о характере документа.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Проверки перед формированием счёта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отказывать в формировании печатной формы счёта при незаполненных обязательных реквизитах, указывая требуемые поля, и сообщать об отсутствии за выбранный период оплачиваемых записей и выполненных этапов, не создавая пустой счёт.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 и 2 UC-2.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отсутствии ИНН заказчика печатная форма не формируется и перечисляются незаполненные поля; для периода без оплачиваемых записей счёт не создаётся.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Учёт оплат и расчёт остатка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регистрировать факт оплаты с указанием суммы, даты и способа и привязывать оплату к счёту и этапу работ. По каждому счёту и проекту рассчитывается остаток. При полной оплате счёт переходит в состояние «Оплачен», а при истечении срока оплаты с ненулевым остатком – в состояние «Просрочен».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8–9 основного потока и альтернативные потоки 3 и 4 UC-2; пользовательская история «отмечать полученные оплаты и видеть остаток по проекту».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счёт на 10 000 ₽ после оплаты 4 000 ₽ имеет остаток 6 000 ₽, после оплаты 6 000 ₽ переходит в состояние «Оплачен»; счёт с истёкшим сроком и ненулевым остатком получает состояние «Просрочен».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Создание проверок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создать проверку ресурса одного из семи типов: доступность по HTTP(S), наличие ключевого слова на странице, доступность узла, доступность TCP-порта, срок действия сертификата, срок регистрации домена и контроль выполнения регламентной задачи. Для каждой проверки задаются интервал, таймаут и порог последовательных неуспешных проверок. Сразу после сохранения проверка выполняется однократно.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1–4, 6 и 7 основного потока UC-3; контроль инфраструктуры является отличительной особенностью продукта, а ошибка в адресе должна обнаруживаться сразу, а не при первом инциденте.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создано по одной проверке каждого из 7 типов, каждая выполняет первую проверку и отображает её результат в течение 15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права на контроль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создании проверки требовать от исполнителя подтверждения права контролировать указанный ресурс и фиксировать это подтверждение в журнале с указанием субъекта, времени и адреса ресурса.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UC-3; этическое ограничение первичного анализа – регулярный опрос чужой инфраструктуры формально неотличим от разведки перед атакой.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подтверждения проверка не сохраняется; для каждой созданной проверки в журнале есть запись о подтверждении.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FR-16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Запрет недопустимых целей проверки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отклонять создание проверки, если в качестве цели указан диапазон адресов, адрес частной или служебной сети, несколько портов или диапазон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1 UC-3; требование владельцев проверяемых ресурсов о недопустимости сканирования диапазонов и перебора портов.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ни одна из 10 заведомо недопустимых целей (CIDR-диапазон, 127.0.0.1, 10.0.0.1, 192.168.0.1, перечень портов и другие) не принимается системой.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Подтверждение отказа ресурса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открывать инцидент только после заданного числа (по умолчанию 3) последовательных неуспешных проверок, выполняя повторные проверки с уменьшенным интервалом, и сбрасывать счётчик неуспехов при первой успешной проверке.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альтернативный поток 1 UC-4; ложные срабатывания – основной риск обесценивания функции контроля.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на стенде с управляемым ресурсом одиночный сбой ни разу за 10 испытаний не приводит к инциденту, тогда как отключение ресурса открывает инцидент в каждом из 10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Уведомление об инциденте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открытии инцидента отправлять исполнителю уведомление по электронной почте и внутри интерфейса. В уведомлении указываются ресурс, причина неуспеха, время начала и ссылка на инцидент. Исполнитель может отметить инцидент как принятый в работу; если отметки нет в течение 30 минут, система направляет повторное уведомление.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5 и 6 основного потока и альтернативный поток 2 UC-4; уведомление, пропущенное ночью, не должно оставаться единственным.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отключении ресурса уведомление приходит и на почту, и в интерфейс во всех 10 испытаниях. Если инцидент не подтверждён, повторное уведомление уходит через 30 ± 1 минуту; после подтверждения повторов нет.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FR-19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Закрытие инцидента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закрывать инцидент после заданного числа (по умолчанию 2) последовательных успешных проверок, фиксировать его длительность и отправлять уведомление о восстановлении.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8 основного потока UC-4; длительность инцидента используется при расчёте статистики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после включения ресурса инцидент закрыт, длительность совпадает с интервалом от первой неуспешной до первой успешной проверки с точностью до интервала проверки.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Окна планового обслуживания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возможность задать окно планового обслуживания для проверки или для всех проверок исполнителя, в течение которого инциденты не открываются и уведомления не отправляются.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Альтернативный поток 4 UC-3; плановые работы на ресурсе не должны порождать ложных инцидентов.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отключение ресурса внутри окна обслуживания не приводит к инциденту и уведомлению, после окончания окна – приводит.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Статистика доступности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рассчитывать и отображать процент доступности ресурса, число и суммарную длительность инцидентов и среднее время отклика за 24 часа, 7 и 30 суток, исключая периоды окон обслуживания.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«видеть статистику доступности своего ресурса за прошедший период».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контрольном наборе результатов проверок рассчитанный процент доступности совпадает с расчётом вручную с точностью до 0,01 %.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Реестр активов инфраструктуры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вести реестр активов заказчика (домен, хостинг, сервер, сертификат, лицензия, сервис) с указанием поставщика, стоимости, даты продления и признака автопродления и связывать актив с проектом и проверкой.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1 основного потока UC-6; сведения об инфраструктуре заказчика иначе хранятся в разрозненных таблицах.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созданы активы трёх типов, привязанные к заказчику и проекту; карточка актива отображает дату продления.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Получение сроков домена и сертификата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ежесуточно получать дату окончания регистрации домена из реестра по протоколу RDAP, а при его недоступности – по протоколу WHOIS. Дата окончания действия сертификата определяется при TLS-соединении с ресурсом. Для каждой даты сохраняются источник и время получения. Если дату получить не удалось, она отмечается как неподтверждённая, и исполнителю доступен ручной ввод.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2–4 основного потока и альтернативные потоки 1 и 2 UC-6; часть доменных зон не поддерживает RDAP.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для контрольного набора из 10 доменов и 10 сертификатов даты совпадают с данными реестра и сертификата; при блокировке обращений к реестру карточка актива показывает признак «дата не подтверждена» и последнее известное значение.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Напоминания о продлении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направлять уведомление за 14, 7 и 1 сутки до истечения срока регистрации домена, действия сертификата или даты продления актива, не более одного уведомления на каждый порог, и немедленно – при обнаружении уже истёкшего сертификата.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5 основного потока и альтернативный поток 3 UC-6; пользовательская история «получать напоминание за 14 дней до истечения домена и сертификата».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смещении системной даты уведомления отправлены на каждом из порогов ровно по одному разу; после продления уведомления прекращаются.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событий репозитория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принимать события сервиса GitHub о коммитах и запросах на слияние через веб-перехватчик, проверяя подпись запроса. Принятые события отображаются в ленте проекта с автором, временем и ссылкой. При отзыве токена доступа или ошибке сервиса интеграция отмечается как неисправная.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«видеть события репозитория в ленте проекта»; риск первичного анализа – потеря связи с сервисом репозиториев останавливает пополнение ленты без явного признака ошибки.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20 отправленных событий отображены в ленте, 5 запросов с неверной подписью отклонены, повторная доставка дубликата не создаёт; после отзыва токена отметка о неисправности появляется в течение 1 часа.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Файлы и документы проекта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файлы проекта (договоры, акты, вложения) в объектном хранилище с указанием имени, типа, размера и даты загрузки и предоставлять их скачивание исполнителю и заказчику по ссылке доступа.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заказчика «получить переданные по проекту файлы и документы».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10 загруженных файлов объёмом до 50 МБ скачиваются без искажений, контрольные суммы совпадают.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FR-27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Ссылка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формировать для проекта ссылку доступа заказчика: исполнитель задаёт срок её действия и состав открываемых разделов. Ссылка заверяется электронной подписью сервера, содержит случайную часть длиной не менее 128 бит и не раскрывает идентификатор проекта. Страница, открываемая по ссылке, должна запрещать индексирование поисковыми системами.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Шаги 1–3 основного потока UC-5; заказчик не заводит учётную запись, поэтому доступ определяется владением ссылкой, а подобрать её перебором должно быть невозможно.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 и испытание: ссылки, сформированные для 50 проектов, не повторяются, идентификатор проекта из них не восстанавливается, ссылка с изменённым символом отклоняется, а в ответе страницы присутствует запрет индексирования.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Просмотр проекта заказчиком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отображать заказчику в режиме только для чтения разрешённые исполнителем разделы проекта: состояние этапов, ленту выполненных работ, счета с суммами оплаченного и остатка, файлы и статистику доступности ресурсов проекта.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Шаг 7 основного потока UC-5; пользовательские истории заказчика о состоянии работ, оплатах, файлах и доступности.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 действительной ссылке отображаются только разрешённые разделы только данного проекта; элементы изменения данных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FR-29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Отзыв ссылки доступа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немедленно отозвать ссылку доступа и автоматически отзывать все ссылки проекта при его переводе в архив.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Альтернативные потоки 1, 3 и 4 UC-5; пользовательская история «быть уверенным, что ссылка прекращает действовать после завершения работ».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и после отзыва ссылки, и после перевода проекта в архив очередной запрос по ней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FR-30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Отключение модулей системы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исполнителю возможность включать и отключать модули (задачи, учёт времени, финансы, мониторинг, активы, интеграции, доступ заказчика) в настройках своего рабочего пространства, скрывая элементы интерфейса отключённых модулей.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Пользовательская история владельца продукта «отключать отдельные модули настройкой, чтобы выпускать версии разного объёма без ветвления кода»; исполнителю это позволяет убрать из интерфейса то, чем он не пользуется.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после отключения модуля «Финансы» пункт меню и вкладка проекта скрыты, запросы к программному интерфейсу модуля возвращают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Выгрузка и удаление данных пользователя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по запросу исполнителя формировать архив со всеми его данными в машиночитаемом формате JSON в срок не более 24 часов. По отдельному запросу учётная запись удаляется вместе со связанными данными – включая персональные данные контактных лиц заказчиков и загруженные файлы – в срок не более 10 рабочих дней.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регулятора о выгрузке и удалении данных пользователя по его запросу; исполнитель является оператором данных своих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сформированный архив содержит все записи тестовой учётной записи; после исполнения запроса на удаление в базе данных и объектном хранилище записи и файлы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FR-32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Согласие и сведения об обработке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при регистрации получать согласие исполнителя на обработку его персональных данных и принятие соглашения о поручении обработки персональных данных его заказчиков и хранить факт, дату и версию принятых документов.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StH-05, 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Платформа выступает обработчиком по поручению исполнителя, что требует соглашения об обработке и публикации целей и категорий данных.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без отметки согласия регистрация не выполняется; в журнале согласий хранятся дата, время и версия документов для каждой учётной записи.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lastRenderedPageBreak/>
        <w:t>Нефункциональные требования приведены в таблице 2.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2 – Нефункциональные требования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1300"/>
        <w:gridCol w:w="1900"/>
        <w:gridCol w:w="3600"/>
        <w:gridCol w:w="900"/>
        <w:gridCol w:w="2600"/>
        <w:gridCol w:w="1100"/>
        <w:gridCol w:w="28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13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3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26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8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отклика системы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отвечать на запросы программного интерфейса не позднее 500 мс, а основные экраны отображать не позднее 2 секунд при числе одновременно работающих исполнителей до 100. Предварительный состав счёта из не более чем 500 записей учёта времени формируется не позднее 3 секунд.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Работа с доской задач и таймером выполняется многократно в течение дня, а сокращение времени подготовки счёта является целью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100 виртуальных пользователях время ответа не превышает 500 мс не менее чем в 95 % из 1000 запросов; в 20 измерениях состав счёта из 500 записей сформирован не более чем за 3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Производительность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Время и содержание уведомления об отказе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доставлять уведомление об инциденте не позднее 5 минут с момента первой неуспешной проверки при интервале проверки 60 секунд и пороге 3 неуспешные проверки, указывая в уведомлении причину неуспеха, число неуспешных проверок и время первой из них.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Цель системы – узнавать об отказе ресурса раньше, чем о нём сообщит заказчик; решение о срочности реагирования принимается по содержанию уведомления, без открытия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 и инспекция: в 20 испытаниях уведомление получено не позднее 5 минут; для 5 классов отказов тексты уведомлений различны и содержат причину, число проверок и время начала.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Масштабируемость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Число активных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выполнять все активные проверки исполнителей без накопления очереди заданий: фактический момент проверки не должен отклоняться от расписания более чем на 10 % интервала. Предельное число проверок, обслуживаемых одним экземпляром обработчика, определяется нагрузочным испытанием и фиксируется в протоколе испытаний; при его превышении число экземпляров обработчика увеличивается.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Рост числа исполнителей и их ресурсов не должен нарушать сроки обнаружения отказов.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в ходе нагрузочного испытания число активных проверок повышается до появления отклонения от расписания свыше 10 % интервала; полученное предельное значение заносится в протокол, при меньшей нагрузке очередь заданий не растёт.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NFR-04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Доступность веб-интерфейса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Суммарное время недоступности веб-интерфейса и программного интерфейса за календарный месяц, не считая планового обслуживания, не должно превышать значения, согласованного с заказчиком и зафиксированного в протоколе приёмочных испытаний.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Недоступность системы в конце расчётного периода откладывает выставление счетов.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журналам системы за календарный месяц подсчитывается суммарное время недоступности и сопоставляется с согласованным значением; плановое обслуживание в расчёт не включается.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NFR-05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Обнаружение отказа подсистемы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обнаруживать отсутствие результатов проверок в течение 3 интервалов и не позднее 5 минут с момента остановки обработчика уведомлять исполнителя и отмечать в интерфейсе, что данные контроля доступности неактуальны.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отсутствие уведомлений при остановленном обработчике воспринимается как отсутствие проблем.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при учебной остановке обработчика уведомление исполнителю и отметка в интерфейсе появляются не позднее 5 минут в каждом из 5 испытаний.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NFR-06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Надёжность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Глубина хранения результатов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Сроки хранения детальных результатов проверок и почасовых агрегатов должны задаваться настройкой; записи, срок хранения которых истёк, удаляются автоматически по расписанию.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StH-03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неконтролируемый рост объёма результатов проверок замедляет сводные экраны и увеличивает стоимость хранения.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настройках заданы сроки хранения детальных результатов и агрегатов; после выполнения задачи очистки записи старше заданного срока в базе данных отсутствуют, более свежие сохранены.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NFR-07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Изоляция данных исполнителей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предоставлять доступ к любой записи только её владельцу, возвращая при обращении к чужому идентификатору ответ «не найдено» без раскрытия факта существования записи.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Утечка данных одного исполнителя другому раскрывает реквизиты и инфраструктуру третьих лиц.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Испытание: автоматические тесты обращаются к чужим идентификаторам через каждый контроллер программного интерфейса и всякий раз получают отказ.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NFR-08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Защита учётных данных и хранимых секретов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пароли только в виде хеша, вычисленного алгоритмом Argon2id, и передавать данные исключительно по протоколу TLS версии не ниже 1.2. Число попыток входа ограничивается десятью в течение 15 минут с одного адреса. Токены доступа внешних интеграций и банковские реквизиты хранятся зашифрованными алгоритмом AES-256-GCM, ключ шифрования размещается вне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Компрометация учётной записи исполнителя или базы данных раскрывает данные всех его заказчиков.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базе данных отсутствуют пароли в открытом виде, значения токенов и номеров счетов нечитаемы; соединение без TLS и одиннадцатая попытка входа за 15 минут отклоняются.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NFR-09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Журнал доступа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фиксировать в неизменяемом журнале каждое обращение к финансовым данным, платёжным реквизитам и по ссылкам доступа заказчика с указанием субъекта, действия, времени, адреса и результата и хранить записи не менее 1 года.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– доступ к персональным и финансовым данным должен фиксироваться, чтобы утечка могла быть расследована.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для 20 обращений к финансовым данным и по ссылке заказчика в журнале присутствуют 20 записей со всеми полями; изменение записей журнала средствами приложения невозможно.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NFR-10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Безопасность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Параметры ссылки доступа заказчика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ограничивать срок действия ссылки доступа заказчика значением не более 30 суток и хранить в базе данных только хеш ссылки, чтобы её нельзя было восстановить из выгрузки базы данных.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StH-02, StH-05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регулятора об ограниченном сроке действия публичных ссылок на данные проекта; при компрометации выгрузки базы данных ссылка не должна оставаться действующей.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задать срок действия ссылки больше 30 суток невозможно; в базе данных хранится только хеш ссылки, исходное значение из него не восстанавливается.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NFR-11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Корректность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Точность денежных расчётов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хранить и рассчитывать денежные величины в десятичном формате с фиксированной точностью без использования чисел с плавающей точкой и округлять суммы до копеек только в строках и итоге счёта.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Риск первичного анализа – ошибка округления приводит к отказу заказчика от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на наборе из 100 записей с дробной длительностью итог счёта совпадает с эталонным расчётом, расхождение 0,00 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NFR-12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Идентификация и частота проверок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передавать при проверках заголовок User-Agent с наименованием системы и адресом страницы с описанием проверок и обращаться к одному узлу не чаще 1 раза в 30 секунд по всем проверкам всех исполнителей.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Требования владельцев проверяемых ресурсов об опознаваемости источника и отсутствии нецелевой нагрузки.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журнале проверяемого стенда все запросы содержат заданный User-Agent, интервал между запросами к одному узлу не менее 30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NFR-13</w:t>
            </w:r>
          </w:p>
        </w:tc>
        <w:tc>
          <w:tcPr>
            <w:tcW w:w="13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Совместимость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Поддерживаемые браузеры</w:t>
            </w:r>
          </w:p>
        </w:tc>
        <w:tc>
          <w:tcPr>
            <w:tcW w:w="3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корректно функционировать в двух последних версиях браузеров Google Chrome, Mozilla Firefox, Apple Safari и Microsoft Edge и при ширине окна от 360 пикселей.</w:t>
            </w:r>
          </w:p>
        </w:tc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StH-01, StH-02</w:t>
            </w:r>
          </w:p>
        </w:tc>
        <w:tc>
          <w:tcPr>
            <w:tcW w:w="26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Заказчик открывает ссылку доступа с произвольного устройства, в том числе с телефона.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Should Have</w:t>
            </w:r>
          </w:p>
        </w:tc>
        <w:tc>
          <w:tcPr>
            <w:tcW w:w="28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Демонстрация: сценарии UC-1 и UC-5 выполнены в 4 браузерах и при ширине окна 360 пикселей без нарушения отображения.</w:t>
            </w:r>
          </w:p>
        </w:tc>
      </w:tr>
    </w:tbl>
    <w:p w:rsidR="009F742D" w:rsidRDefault="009F742D"/>
    <w:p w:rsidR="001A72F0" w:rsidRDefault="00000000">
      <w:pPr>
        <w:spacing w:after="120" w:line="240" w:lineRule="auto"/>
        <w:ind w:firstLine="0"/>
        <w:jc w:val="left"/>
      </w:pPr>
      <w:r>
        <w:t>Ограничения, накладываемые на систему, приведены в таблице 3.</w:t>
      </w:r>
    </w:p>
    <w:p w:rsidR="001A72F0" w:rsidRDefault="00000000">
      <w:pPr>
        <w:spacing w:after="120" w:line="240" w:lineRule="auto"/>
        <w:ind w:firstLine="0"/>
        <w:jc w:val="left"/>
      </w:pPr>
      <w:r>
        <w:t>Таблица 3 – Ограничения</w:t>
      </w:r>
    </w:p>
    <w:tbl>
      <w:tblPr>
        <w:tblStyle w:val="ac"/>
        <w:tblW w:w="151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900"/>
        <w:gridCol w:w="2200"/>
        <w:gridCol w:w="4200"/>
        <w:gridCol w:w="1100"/>
        <w:gridCol w:w="3100"/>
        <w:gridCol w:w="1100"/>
        <w:gridCol w:w="25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2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42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3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11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25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CON-01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Невмешательство в инфраструктуру заказчика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изменять состояние инфраструктуры заказчика; взаимодействие с ресурсами ограничивается чтением ответа на проверочный запрос.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Инфраструктура заказчика является объектом наблюдения, а не управления.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обработчики проверок используют только методы чтения (GET, HEAD, установление соединения) и не передают данных, изменяющих состояние ресурса.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CON-02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платёжных операций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проводить платежи и хранить данные банковских карт; в систему вносится только факт полученной оплаты.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Приём платежей потребовал бы специальных мер защиты, поэтому в объём работ не входит.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интеграции с платёжными шлюзами и поля хранения данных банковских карт.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CON-03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бухгалтерского учёта и заверенной отчётности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формировать первичные учётные документы и вести бухгалтерский и налоговый учёт; счёт является расчётным документом, а статистика доступности не является заверенным отчётом об уровне обслуживания, о чём в интерфейсе должно быть явное указание.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системы, StH-05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Этические ограничения первичного анализа: система не является бухгалтерской, а статистика строится по проверкам из одной точки и не может служить единственным доказательством в споре сторон.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перечень функций не содержит формирования актов, счетов-фактур и налоговой отчётности; на экранах счёта и статистики доступности присутствуют соответствующие пометки.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CON-04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Исключение функций вне текущего объёма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не должна в текущем объёме предоставлять многопользовательскую работу с разграничением ролей, интеграции с мессенджерами и хранение секретов доступа к инфраструктуре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Функции вынесены за пределы текущего объёма первичным анализом для снижения риска превышения объёма разработки.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перечне функций и в интерфейсе системы перечисленные функции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CON-05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Локализация персональных данных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База данных и объектное хранилище, содержащие персональные данные граждан Российской Федерации, должны размещаться на серверах, находящихся на территории Российской Федерации.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152-ФЗ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Требование части 5 статьи 18 Федерального закона № 152-ФЗ.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договор с провайдером размещения подтверждает расположение серверов на территории России.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CON-06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Соблюдение лимитов реестров доменных имён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запрашивать сведения о регистрации каждого домена не чаще 1 раза в сутки и кэшировать ответы реестров, соблюдая установленные ими лимиты запросов.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Превышение лимитов реестра приводит к блокировке исходящего адреса системы.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по журналу обращений за 7 суток число запросов к реестру по каждому домену не превышает 1 в сутки, не считая повторов после ошибок.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CON-07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Ограничение почтовых отправлений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отправлять по электронной почте только служебные сообщения (подтверждение адреса, уведомления, коды доступа) на адреса, подтверждённые владельцем или указанные исполнителем как адрес контактного лица заказчика.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StH-04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Условие почтового провайдера – рассылка на неподтверждённые адреса ухудшает репутацию домена отправителя вплоть до блокировки.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в системе отсутствуют функции массовой и рекламной рассылки; все шаблоны писем относятся к служебным.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CON-08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Технологический стек и состав интеграций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Система должна разрабатываться на языке TypeScript с использованием Next.js, Nest.js, PostgreSQL, Redis и S3-совместимого объектного хранилища и разворачиваться в Docker-контейнерах; приём событий разработки должен выполняться только из сервиса GitHub.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StH-03, Границы системы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Единый язык клиентской и серверной частей снижает объём разработки; поддержка других сервисов репозиториев выходит за границы текущего объёма.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Инспекция: состав исходного кода и файлов развёртывания соответствует перечисленным технологиям, модуль интеграций содержит только обработчик событий GitHub.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lastRenderedPageBreak/>
              <w:t>CON-09</w:t>
            </w:r>
          </w:p>
        </w:tc>
        <w:tc>
          <w:tcPr>
            <w:tcW w:w="2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Бюджетное ограничение</w:t>
            </w:r>
          </w:p>
        </w:tc>
        <w:tc>
          <w:tcPr>
            <w:tcW w:w="42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Разработка и эксплуатация системы должны выполняться на одном виртуальном сервере и в пределах бесплатных тарифов программного интерфейса GitHub и почтового провайдера.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StH-03</w:t>
            </w:r>
          </w:p>
        </w:tc>
        <w:tc>
          <w:tcPr>
            <w:tcW w:w="3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Затраты на платные тарифы внешних сервисов в проекте не закладываются.</w:t>
            </w:r>
          </w:p>
        </w:tc>
        <w:tc>
          <w:tcPr>
            <w:tcW w:w="11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Must Have</w:t>
            </w:r>
          </w:p>
        </w:tc>
        <w:tc>
          <w:tcPr>
            <w:tcW w:w="25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>Анализ: прогнозное число писем и запросов к GitHub при 100 исполнителях в сутки не превышает лимитов бесплатного тарифа.</w:t>
            </w:r>
          </w:p>
        </w:tc>
      </w:tr>
    </w:tbl>
    <w:p w:rsidR="009F742D" w:rsidRDefault="009F742D" w:rsidP="00FE0C4A">
      <w:pPr>
        <w:ind w:firstLine="0"/>
      </w:pPr>
    </w:p>
    <w:sectPr w:rsidR="009F742D">
      <w:headerReference w:type="default" r:id="rId12"/>
      <w:pgSz w:w="16838" w:h="11906" w:orient="landscape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275B" w:rsidRDefault="00E6275B">
      <w:pPr>
        <w:spacing w:before="0" w:line="240" w:lineRule="auto"/>
      </w:pPr>
      <w:r>
        <w:separator/>
      </w:r>
    </w:p>
  </w:endnote>
  <w:endnote w:type="continuationSeparator" w:id="0">
    <w:p w:rsidR="00E6275B" w:rsidRDefault="00E6275B">
      <w:pPr>
        <w:spacing w:before="0" w:line="240" w:lineRule="auto"/>
      </w:pPr>
      <w:r>
        <w:continuationSeparator/>
      </w:r>
    </w:p>
  </w:endnote>
  <w:endnote w:type="continuationNotice" w:id="1">
    <w:p w:rsidR="00E6275B" w:rsidRDefault="00E6275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275B" w:rsidRDefault="00E6275B" w:rsidP="00990EAC">
      <w:pPr>
        <w:spacing w:before="0" w:line="240" w:lineRule="auto"/>
      </w:pPr>
      <w:r>
        <w:separator/>
      </w:r>
    </w:p>
  </w:footnote>
  <w:footnote w:type="continuationSeparator" w:id="0">
    <w:p w:rsidR="00E6275B" w:rsidRDefault="00E6275B" w:rsidP="00990EAC">
      <w:pPr>
        <w:spacing w:before="0" w:line="240" w:lineRule="auto"/>
      </w:pPr>
      <w:r>
        <w:continuationSeparator/>
      </w:r>
    </w:p>
  </w:footnote>
  <w:footnote w:type="continuationNotice" w:id="1">
    <w:p w:rsidR="00E6275B" w:rsidRDefault="00E6275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EF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621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17F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95290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0E7D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15B9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2D0F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275B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0B76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0C4A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12</Pages>
  <Words>4391</Words>
  <Characters>28851</Characters>
  <Application>Microsoft Office Word</Application>
  <DocSecurity>0</DocSecurity>
  <Lines>1202</Lines>
  <Paragraphs>488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32754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>Транснефть</dc:subject>
  <dc:creator>Microsoft</dc:creator>
  <cp:keywords/>
  <dc:description/>
  <cp:lastModifiedBy>Илья Зараменских</cp:lastModifiedBy>
  <cp:revision>24</cp:revision>
  <cp:lastPrinted>2025-04-03T08:40:00Z</cp:lastPrinted>
  <dcterms:created xsi:type="dcterms:W3CDTF">2025-09-10T15:45:00Z</dcterms:created>
  <dcterms:modified xsi:type="dcterms:W3CDTF">2026-09-24T17:48:00Z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