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이전 캠페인 반응 이력 기반</w:t>
      </w:r>
    </w:p>
    <w:p>
      <w:pPr>
        <w:spacing w:after="300" w:before="1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CRM 재타겟팅 전략 분석 보고서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2E74B5"/>
          <w:sz w:val="24"/>
          <w:szCs w:val="24"/>
        </w:rPr>
        <w:t xml:space="preserve">선택편향 검증 및 세그먼트별 예산 배분 제안</w:t>
      </w:r>
    </w:p>
    <w:p>
      <w:pPr>
        <w:spacing w:before="80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WeJump 투자전략연구소 · 데이터분석팀</w:t>
      </w:r>
    </w:p>
    <w:p>
      <w:pPr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분석 데이터: marketing_campaign.csv (n=2,240 → 정제 후 2,036)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비즈니스 문제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차기 CRM 캠페인의 접촉 예산을 배분해야 한다. 실무 관행인 "과거 캠페인 수락 고객 재타겟팅" 규칙은 반응률 40% 이상으로 유일하게 흑자를 내는 것으로 관찰되나, 이 규칙의 성과가 캠페인 자체의 효과에서 오는지 아니면 원래 반응성이 높은 고객이 그 그룹에 선택적으로 축적된 결과인지 구분되지 않는다.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 데이터에는 캠페인 발송 대상(노출) 정보가 없어 처치군을 엄밀히 정의할 수 없으므로, 인과효과 추정은 분석 범위에서 제외한다. 대신 (1) 관측 가능한 참여도 프록시로 설명되는 연관성의 크기를 정량화하고, (2) 이 연관성이 고객 세그먼트에 따라 어떻게 달라지는지 확인하여, (3) 손익분기 반응률을 넘는 세그먼트에 예산을 우선 배분하는 실행 규칙을 도출하는 것을 목표로 한다.</w:t>
      </w:r>
    </w:p>
    <w:p>
      <w:pPr>
        <w:pBdr>
          <w:left w:val="single" w:color="2E74B5" w:sz="24" w:space="8"/>
        </w:pBdr>
        <w:shd w:fill="F2F2F2" w:val="clear"/>
        <w:spacing w:after="200" w:before="10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※ 본 보고서는 인과추론이 아닌 연관성·예측 관점의 분석입니다. 처치(발송) 노출 여부가 데이터에 기록되어 있지 않아 인과효과를 확정할 수 없습니다.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핵심 질문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Q1. 과거 캠페인 참여 이력(AnyAccepted)은 이번 캠페인 반응(Response)과 유의한 연관성을 갖는가?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Q2. 이 연관성은 웹방문·최근성·지출액 등 "원래 참여도가 높은 고객"의 프록시로 설명되는가, 아니면 통제 후에도 남는가?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Q3. 이 연관성은 모든 고객에게 균일한가, 아니면 특정 고객 세그먼트에서 더 강하게 나타나는가?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Q4. (부가 체크) 직전 캠페인 수락 여부가 그 이전 캠페인들보다 더 강한 최근성 효과를 갖는가?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→ 위 결과를 바탕으로, 다음 캠페인에서 어느 세그먼트에 예산을 우선 투입해야 하는가?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데이터 및 전처리 요약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원본 2,240행 중 완전중복 182건, 결과변수(Response)만 상충하는 중복 19그룹(38～40건)을 식별하여 제거했다. 소득 결측 24건은 중앙값으로, 극단값(666,666) 1건도 중앙값으로 대체했다. 출생연도 1893/1899/1900년(114～121세) 3건을 제외하고, 혼인상태의 비표준 범주(Alone/Absurd/YOLO)는 Single로 병합했다. 최종 분석셋은 2,036행이다.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Z_CostContact(＝3)와 Z_Revenue(＝11)는 상수 컬럼으로 모델 변수에서는 제외했으나, 손익분기 반응률(27.3%)의 기준값으로 전 분석에 사용했다.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분석 방법 및 한계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4.1 인과추론이 아닌 이유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AcceptedCmp1～5는 "수락 여부"만 기록되어 있고 "발송 대상 여부"가 없다. 즉 값이 0인 고객은 발송받고 거절한 경우와 애초에 대상이 아니었던 경우가 섞여 있어 처치군 정의가 불가능하다. 이에 따라 본 분석은 로지스틱 회귀의 결과를 "효과"가 아닌 "연관성"으로만 해석한다.</w:t>
      </w:r>
    </w:p>
    <w:p>
      <w:pPr>
        <w:pStyle w:val="Heading2"/>
        <w:spacing w:after="120" w:before="300"/>
      </w:pPr>
      <w:r>
        <w:rPr>
          <w:rFonts w:ascii="맑은 고딕" w:cs="맑은 고딕" w:eastAsia="맑은 고딕" w:hAnsi="맑은 고딕"/>
          <w:b/>
          <w:bCs/>
          <w:color w:val="2E74B5"/>
          <w:sz w:val="24"/>
          <w:szCs w:val="24"/>
        </w:rPr>
        <w:t xml:space="preserve">4.2 라그(순서) 가정의 한계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AcceptedCmp1～5 컬럼 순서가 실제 캠페인 집행 순서와 일치한다는 보장이 없다. Cmp3→Cmp4 구간에서 라그 방향이 반전되는 현상(Cmp3 수락자의 Cmp4 수락률 0%)이 관찰되어, 이 가정 자체가 틀렸을 가능성을 시사한다. H4 분석 결과와 함께 해석에 주의가 필요하다.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가설 검증 결과</w:t>
      </w:r>
    </w:p>
    <w:tbl>
      <w:tblPr>
        <w:tblW w:type="dxa" w:w="11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2600"/>
        <w:gridCol w:w="3000"/>
        <w:gridCol w:w="13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가설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판정기준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13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판정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H1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참여이력이 있으면 Response 오즈가 유의하게 높다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OR&gt;1, p&lt;.05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OR=7.54
(95% CI 5.81～9.79)</w:t>
            </w:r>
          </w:p>
        </w:tc>
        <w:tc>
          <w:tcPr>
            <w:tcW w:type="dxa" w:w="13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H2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참여도 프록시 통제 후에도 효과 일부 잔존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유의 + 잔존율≥50%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무보정 OR 7.54 → 통제후 OR 3.85
(잔존율 51.1%)</w:t>
            </w:r>
          </w:p>
        </w:tc>
        <w:tc>
          <w:tcPr>
            <w:tcW w:type="dxa" w:w="1300"/>
            <w:shd w:fill="FFF2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
(경계)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H3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관련성이 특정 고객 특성과 결합해 더 강하게 나타난다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세그먼트간 격차비율≥1.5배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최대 gap 39.9%p / 최소 gap 8.4%p
(비율 4.76배)</w:t>
            </w:r>
          </w:p>
        </w:tc>
        <w:tc>
          <w:tcPr>
            <w:tcW w:type="dxa" w:w="13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성립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H4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직전 캠페인(Cmp5)이 최근성 효과로 가장 강한 개별 계수를 갖는다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Cmp5 계수가 5개 중 최댓값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1위=AcceptedCmp3 (OR 6.52)
Cmp5는 2위 (OR 4.91)</w:t>
            </w:r>
          </w:p>
        </w:tc>
        <w:tc>
          <w:tcPr>
            <w:tcW w:type="dxa" w:w="13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기각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H2는 잔존율 51.1%로 판정기준(50%)을 근소하게 넘는 경계 사례다. 참여도 프록시가 연관성의 절반가량을 설명하므로, "편향이 있다"는 결론과 "편향만으로는 설명 안 되는 부분이 남는다"는 결론이 동시에 성립한다.</w:t>
      </w:r>
    </w:p>
    <w:p>
      <w:pPr>
        <w:spacing w:after="140" w:line="300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H4는 기각되었고, 1위 캠페인(Cmp3)이 라그 방향반전 구간과 겹쳐 순서 가정의 문제를 재확인시켜 준다. 따라서 "최근성 효과"로 서술하지 않고 "일부 캠페인의 강한 개별 연관성, 원인 불명"으로 보고한다.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세그먼트별 이질성 분석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인구통계·행동 피처(연령, 소득, 자녀수, 최근성, 총지출, 총구매횟수, 웹방문수, 딜구매횟수) 8개를 투입한 K-means(K=4)로 세그먼트를 도출했다. 결과 유출 방지를 위해 참여이력(AnyAccepted)과 Response는 클러스터링에서 제외하고 사후 프로파일링에만 사용했다.</w:t>
      </w:r>
    </w:p>
    <w:tbl>
      <w:tblPr>
        <w:tblW w:type="dxa" w:w="10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00"/>
        <w:gridCol w:w="1600"/>
        <w:gridCol w:w="1600"/>
        <w:gridCol w:w="1600"/>
        <w:gridCol w:w="1900"/>
        <w:gridCol w:w="2000"/>
      </w:tblGrid>
      <w:tr>
        <w:trPr>
          <w:tblHeader/>
        </w:trPr>
        <w:tc>
          <w:tcPr>
            <w:tcW w:type="dxa" w:w="1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세그먼트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평균연령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평균소득(＄)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평균지출(＄)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AnyAcc=1 반응률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AnyAcc=0 반응률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 (고소득·고참여)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615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46.7세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74,869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1,273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46.6%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12.1%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B (저소득·젊음)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579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36.9세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30,711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109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48.1%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8.2%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 (중고소득)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435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48.1세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57,348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774</w:t>
            </w:r>
          </w:p>
        </w:tc>
        <w:tc>
          <w:tcPr>
            <w:tcW w:type="dxa" w:w="1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34.9%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9.7%</w:t>
            </w:r>
          </w:p>
        </w:tc>
      </w:tr>
      <w:tr>
        <w:tc>
          <w:tcPr>
            <w:tcW w:type="dxa" w:w="1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D (중저소득·저참여)</w:t>
            </w:r>
          </w:p>
        </w:tc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407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51.3세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42,206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125</w:t>
            </w:r>
          </w:p>
        </w:tc>
        <w:tc>
          <w:tcPr>
            <w:tcW w:type="dxa" w:w="19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12.9%</w:t>
            </w:r>
          </w:p>
        </w:tc>
        <w:tc>
          <w:tcPr>
            <w:tcW w:type="dxa" w:w="2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4.5%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세그먼트 D(중저소득·저참여)는 참여이력 유무와 무관하게 전 구간 반응률이 가장 낮다(4.5～12.9%). 반면 세그먼트 A·B·C는 참여이력이 있을 때 반응률이 35～48%로 크게 상승한다. 세그먼트 간 격차 비율이 4.76배로, 연관성이 균일하지 않고 특정 세그먼트에 집중되어 있음을 확인했다(H3 성립).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투자 우선순위 제안</w:t>
      </w: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세그먼트 단독 기준으로는 전체 발송 시 대부분 손익분기(27.3%)에 미달한다. 따라서 투자 우선순위는 "세그먼트"가 아닌 "세그먼트 × 참여이력" 교차 조건으로 판단해야 한다.</w:t>
      </w:r>
    </w:p>
    <w:tbl>
      <w:tblPr>
        <w:tblW w:type="dxa" w:w="10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1400"/>
        <w:gridCol w:w="2400"/>
        <w:gridCol w:w="26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세그먼트 × 참여이력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반응률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건당 기대이익(＄)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예상 순이익(＄)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B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48%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+2.29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+119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A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234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47%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+2.12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+497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C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106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35%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+0.84</w:t>
            </w:r>
          </w:p>
        </w:tc>
        <w:tc>
          <w:tcPr>
            <w:tcW w:type="dxa" w:w="2600"/>
            <w:shd w:fill="D9EAD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+89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D × AnyAccepted=1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31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13%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−1.58</w:t>
            </w:r>
          </w:p>
        </w:tc>
        <w:tc>
          <w:tcPr>
            <w:tcW w:type="dxa" w:w="26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−49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전 세그먼트 × AnyAccepted=0</w:t>
            </w:r>
          </w:p>
        </w:tc>
        <w:tc>
          <w:tcPr>
            <w:tcW w:type="dxa" w:w="1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1,613</w:t>
            </w:r>
          </w:p>
        </w:tc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5～12%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−1.67 ～ −2.50</w:t>
            </w:r>
          </w:p>
        </w:tc>
        <w:tc>
          <w:tcPr>
            <w:tcW w:type="dxa" w:w="2600"/>
            <w:shd w:fill="F4CCC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−3,321</w:t>
            </w:r>
          </w:p>
        </w:tc>
      </w:tr>
    </w:tbl>
    <w:p>
      <w:pPr>
        <w:spacing w:after="100" w:before="200"/>
      </w:pPr>
    </w:p>
    <w:p>
      <w:pPr>
        <w:spacing w:after="14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흑자 조합 3개(B×1, A×1, C×1)의 예상 순이익 합은 ＋＄705이다. 전체 무차별 발송 시 예상 순손실(약 −＄3,046, 원본 표본 기준)과 비교하면, 세그먼트×참여이력 교차 타겟팅만으로 약 ＄3,750 규모의 개선이 가능하다.</w:t>
      </w:r>
    </w:p>
    <w:p>
      <w:pPr>
        <w:pBdr>
          <w:left w:val="single" w:color="2E74B5" w:sz="24" w:space="8"/>
        </w:pBdr>
        <w:shd w:fill="F2F2F2" w:val="clear"/>
        <w:spacing w:after="200" w:before="100"/>
        <w:ind w:left="200"/>
      </w:pPr>
      <w:r>
        <w:rPr>
          <w:rFonts w:ascii="맑은 고딕" w:cs="맑은 고딕" w:eastAsia="맑은 고딕" w:hAnsi="맑은 고딕"/>
          <w:i/>
          <w:iCs/>
          <w:color w:val="666666"/>
          <w:sz w:val="20"/>
          <w:szCs w:val="20"/>
        </w:rPr>
        <w:t xml:space="preserve">실행 제안: 1순위 세그먼트 B×AnyAccepted=1(n=52), 2순위 세그먼트 A×AnyAccepted=1(n=234, 표본 규모와 수익성을 모두 갖춘 주력 타겟). 세그먼트 D는 참여이력과 무관하게 투자 후순위.</w:t>
      </w:r>
    </w:p>
    <w:p>
      <w:pPr>
        <w:pStyle w:val="Heading1"/>
        <w:pBdr>
          <w:bottom w:val="single" w:color="1F3864" w:sz="8" w:space="4"/>
        </w:pBdr>
        <w:spacing w:after="200" w:before="40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8. 한계 및 후속 과제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처치(발송) 노출 정보 부재로 인과효과 확정 불가 — 향후 무작위 홀드아웃 실험(A/B 테스트) 설계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H4의 전제인 "컬럼 순서=캠페인 집행 순서" 가정이 데이터로 검증되지 않음 — 원본 캠페인 집행 일정 확보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ID가 원 모집단(추정 약 11,192명)에서 20% 무작위 추출된 표본으로 보임 — 절대 금액(예산, 순이익)은 표본 기준이며, 모집단 확대 적용 시 별도 환산 필요</w:t>
      </w:r>
    </w:p>
    <w:p>
      <w:pPr>
        <w:pStyle w:val="ListParagraph"/>
        <w:numPr>
          <w:ilvl w:val="0"/>
          <w:numId w:val="1"/>
        </w:numPr>
        <w:spacing w:after="80" w:line="280"/>
      </w:pPr>
      <w:r>
        <w:rPr>
          <w:rFonts w:ascii="맑은 고딕" w:cs="맑은 고딕" w:eastAsia="맑은 고딕" w:hAnsi="맑은 고딕"/>
          <w:sz w:val="21"/>
          <w:szCs w:val="21"/>
        </w:rPr>
        <w:t xml:space="preserve">H2의 51.1% 잔존율은 임계값(50%) 근처의 경계 사례 — 임계값 변경 시 결론이 뒤집힐 수 있어 민감도 분석 권장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CRM 캠페인 재타겟팅 분석 보고서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2026-08-21T06:40:00.473Z</dcterms:created>
  <dcterms:modified xsi:type="dcterms:W3CDTF">2026-08-21T06:40:00.486Z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