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이전 캠페인 반응 이력 기반</w:t>
      </w:r>
    </w:p>
    <w:p>
      <w:pPr>
        <w:spacing w:after="300" w:before="1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CRM 재타겟팅 전략 분석 보고서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2E74B5"/>
          <w:sz w:val="24"/>
          <w:szCs w:val="24"/>
        </w:rPr>
        <w:t xml:space="preserve">선택편향 검증 및 세그먼트별 예산 배분 제안</w:t>
      </w:r>
    </w:p>
    <w:p>
      <w:pPr>
        <w:spacing w:before="80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WeJump 투자전략연구소 · 데이터분석팀</w:t>
      </w:r>
    </w:p>
    <w:p>
      <w:pPr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분석 데이터: marketing_campaign.csv (n=2,240 → 정제 후 2,036)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비즈니스 문제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차기 CRM 캠페인의 접촉 예산을 배분해야 한다. 실무 관행인 "과거 캠페인 수락 고객 재타겟팅" 규칙은 반응률 40% 이상으로 유일하게 흑자를 내는 것으로 관찰되나, 이 규칙의 성과가 캠페인 자체의 효과에서 오는지 아니면 원래 반응성이 높은 고객이 그 그룹에 선택적으로 축적된 결과인지 구분되지 않는다.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본 데이터에는 캠페인 발송 대상(노출) 정보가 없어 처치군을 엄밀히 정의할 수 없으므로, 인과효과 추정은 분석 범위에서 제외한다. 대신 (1) 관측 가능한 참여도 프록시로 설명되는 연관성의 크기를 정량화하고, (2) 이 연관성이 고객 세그먼트에 따라 어떻게 달라지는지 확인하여, (3) 손익분기 반응률을 넘는 세그먼트에 예산을 우선 배분하는 실행 규칙을 도출하는 것을 목표로 한다.</w:t>
      </w:r>
    </w:p>
    <w:p>
      <w:pPr>
        <w:pBdr>
          <w:left w:val="single" w:color="2E74B5" w:sz="24" w:space="8"/>
        </w:pBdr>
        <w:shd w:fill="F2F2F2" w:val="clear"/>
        <w:spacing w:after="200" w:before="10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20"/>
          <w:szCs w:val="20"/>
        </w:rPr>
        <w:t xml:space="preserve">※ 본 보고서는 인과추론이 아닌 연관성·예측 관점의 분석입니다. 처치(발송) 노출 여부가 데이터에 기록되어 있지 않아 인과효과를 확정할 수 없습니다.</w:t>
      </w:r>
    </w:p>
    <w:p>
      <w:pPr>
        <w:pStyle w:val="Heading1"/>
        <w:pBdr>
          <w:bottom w:val="single" w:color="1F3864" w:sz="8" w:space="4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핵심 질문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Q1. 과거 캠페인 참여 이력(AnyAccepted)은 이번 캠페인 반응(Response)과 유의한 연관성을 갖는가?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Q2. 이 연관성은 웹방문·최근성·지출액 등 "원래 참여도가 높은 고객"의 프록시로 설명되는가, 아니면 통제 후에도 남는가?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Q3. 이 연관성은 모든 고객에게 균일한가, 아니면 특정 고객 세그먼트에서 더 강하게 나타나는가?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Q4. (부가 체크) 직전 캠페인 수락 여부가 그 이전 캠페인들보다 더 강한 최근성 효과를 갖는가?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→ 위 결과를 바탕으로, 다음 캠페인에서 어느 세그먼트에 예산을 우선 투입해야 하는가?</w:t>
      </w:r>
    </w:p>
    <w:p>
      <w:pPr>
        <w:pStyle w:val="Heading1"/>
        <w:pBdr>
          <w:bottom w:val="single" w:color="1F3864" w:sz="8" w:space="4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데이터 및 전처리 요약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원본 2,240행 중 완전중복 182건, 결과변수(Response)만 상충하는 중복 19그룹(38～40건)을 식별하여 제거했다. 소득 결측 24건은 중앙값으로, 극단값(666,666) 1건도 중앙값으로 대체했다. 출생연도 1893/1899/1900년(114～121세) 3건을 제외하고, 혼인상태의 비표준 범주(Alone/Absurd/YOLO)는 Single로 병합했다. 최종 분석셋은 2,036행이다.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Z_CostContact(＝3)와 Z_Revenue(＝11)는 상수 컬럼으로 모델 변수에서는 제외했으나, 손익분기 반응률(27.3%)의 기준값으로 전 분석에 사용했다.</w:t>
      </w:r>
    </w:p>
    <w:p>
      <w:pPr>
        <w:pStyle w:val="Heading1"/>
        <w:pBdr>
          <w:bottom w:val="single" w:color="1F3864" w:sz="8" w:space="4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분석 방법 및 한계</w:t>
      </w:r>
    </w:p>
    <w:p>
      <w:pPr>
        <w:pStyle w:val="Heading2"/>
        <w:spacing w:after="120" w:before="300"/>
      </w:pPr>
      <w:r>
        <w:rPr>
          <w:rFonts w:ascii="맑은 고딕" w:cs="맑은 고딕" w:eastAsia="맑은 고딕" w:hAnsi="맑은 고딕"/>
          <w:b/>
          <w:bCs/>
          <w:color w:val="2E74B5"/>
          <w:sz w:val="24"/>
          <w:szCs w:val="24"/>
        </w:rPr>
        <w:t xml:space="preserve">4.1 인과추론이 아닌 이유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AcceptedCmp1～5는 "수락 여부"만 기록되어 있고 "발송 대상 여부"가 없다. 즉 값이 0인 고객은 발송받고 거절한 경우와 애초에 대상이 아니었던 경우가 섞여 있어 처치군 정의가 불가능하다. 이에 따라 본 분석은 로지스틱 회귀의 결과를 "효과"가 아닌 "연관성"으로만 해석한다.</w:t>
      </w:r>
    </w:p>
    <w:p>
      <w:pPr>
        <w:pStyle w:val="Heading2"/>
        <w:spacing w:after="120" w:before="300"/>
      </w:pPr>
      <w:r>
        <w:rPr>
          <w:rFonts w:ascii="맑은 고딕" w:cs="맑은 고딕" w:eastAsia="맑은 고딕" w:hAnsi="맑은 고딕"/>
          <w:b/>
          <w:bCs/>
          <w:color w:val="2E74B5"/>
          <w:sz w:val="24"/>
          <w:szCs w:val="24"/>
        </w:rPr>
        <w:t xml:space="preserve">4.2 라그(순서) 가정의 한계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AcceptedCmp1～5 컬럼 순서가 실제 캠페인 집행 순서와 일치한다는 보장이 없다. Cmp3→Cmp4 구간에서 라그 방향이 반전되는 현상(Cmp3 수락자의 Cmp4 수락률 0%)이 관찰되어, 이 가정 자체가 틀렸을 가능성을 시사한다. H4 분석 결과와 함께 해석에 주의가 필요하다.</w:t>
      </w:r>
    </w:p>
    <w:p>
      <w:pPr>
        <w:pStyle w:val="Heading1"/>
        <w:pBdr>
          <w:bottom w:val="single" w:color="1F3864" w:sz="8" w:space="4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가설 검증 결과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2600"/>
        <w:gridCol w:w="3000"/>
        <w:gridCol w:w="130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가설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판정기준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판정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H1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참여이력이 있으면 Response 오즈가 유의하게 높다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OR&gt;1, p&lt;.05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OR=7.54
(95% CI 5.81～9.79)</w:t>
            </w:r>
          </w:p>
        </w:tc>
        <w:tc>
          <w:tcPr>
            <w:tcW w:type="dxa" w:w="1300"/>
            <w:shd w:fill="D9EAD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성립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H2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참여도 프록시 통제 후에도 효과 일부 잔존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유의 + 잔존율≥50%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무보정 OR 7.54 → 통제후 OR 3.85
(잔존율 51.1%)</w:t>
            </w:r>
          </w:p>
        </w:tc>
        <w:tc>
          <w:tcPr>
            <w:tcW w:type="dxa" w:w="1300"/>
            <w:shd w:fill="FFF2C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성립
(경계)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H3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관련성이 특정 고객 특성과 결합해 더 강하게 나타난다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세그먼트간 격차비율≥1.5배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최대 gap 39.9%p / 최소 gap 8.4%p
(비율 4.76배)</w:t>
            </w:r>
          </w:p>
        </w:tc>
        <w:tc>
          <w:tcPr>
            <w:tcW w:type="dxa" w:w="1300"/>
            <w:shd w:fill="D9EAD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성립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H4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직전 캠페인(Cmp5)이 최근성 효과로 가장 강한 개별 계수를 갖는다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Cmp5 계수가 5개 중 최댓값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1위=AcceptedCmp3 (OR 6.52)
Cmp5는 2위 (OR 4.91)</w:t>
            </w:r>
          </w:p>
        </w:tc>
        <w:tc>
          <w:tcPr>
            <w:tcW w:type="dxa" w:w="1300"/>
            <w:shd w:fill="F4CCC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기각</w:t>
            </w:r>
          </w:p>
        </w:tc>
      </w:tr>
    </w:tbl>
    <w:p>
      <w:pPr>
        <w:spacing w:after="100" w:before="200"/>
      </w:pPr>
    </w:p>
    <w:p>
      <w:pPr>
        <w:spacing w:after="140" w:line="3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H2는 잔존율 51.1%로 판정기준(50%)을 근소하게 넘는 경계 사례다. 참여도 프록시가 연관성의 절반가량을 설명하므로, "편향이 있다"는 결론과 "편향만으로는 설명 안 되는 부분이 남는다"는 결론이 동시에 성립한다.</w:t>
      </w:r>
    </w:p>
    <w:p>
      <w:pPr>
        <w:spacing w:after="140" w:line="3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H4는 기각되었고, 1위 캠페인(Cmp3)이 라그 방향반전 구간과 겹쳐 순서 가정의 문제를 재확인시켜 준다. 따라서 "최근성 효과"로 서술하지 않고 "일부 캠페인의 강한 개별 연관성, 원인 불명"으로 보고한다.</w:t>
      </w:r>
    </w:p>
    <w:p>
      <w:pPr>
        <w:pStyle w:val="Heading1"/>
        <w:pBdr>
          <w:bottom w:val="single" w:color="1F3864" w:sz="8" w:space="4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세그먼트별 이질성 분석</w:t>
      </w:r>
    </w:p>
    <w:p>
      <w:pPr>
        <w:pStyle w:val="Heading2"/>
        <w:spacing w:after="120" w:before="300"/>
      </w:pPr>
      <w:r>
        <w:rPr>
          <w:rFonts w:ascii="맑은 고딕" w:cs="맑은 고딕" w:eastAsia="맑은 고딕" w:hAnsi="맑은 고딕"/>
          <w:b/>
          <w:bCs/>
          <w:color w:val="2E74B5"/>
          <w:sz w:val="24"/>
          <w:szCs w:val="24"/>
        </w:rPr>
        <w:t xml:space="preserve">6.1 클러스터링 방법론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인구통계·행동 피처 8개(연령, 소득, 자녀수, 최근성, 총지출, 총구매횟수, 웹방문수, 딜구매횟수)를 표준화(z-score)한 뒤, 8차원 공간에서 K-means(K=4)로 세그먼트를 기계적으로 도출했다. 세그먼트는 소득이나 참여율 같은 특정 기준을 미리 정해 나눈 것이 아니라, 8개 피처 전체를 동시에 고려해 거리가 가까운 고객끼리 알고리즘이 묶은 결과다.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참여이력(AnyAccepted)과 Response는 결과 유출을 방지하기 위해 클러스터링 입력에서 제외했다. 두 변수는 세그먼트가 확정된 이후, 각 세그먼트의 반응 패턴을 확인하는 사후 프로파일링에만 사용했다. 아래 세그먼트 이름은 각 그룹에서 실제로 값이 크게 벌어진(|z-score|&gt;0.5) 피처를 기준으로 사후에 붙인 요약 명칭이며, 참여율은 이름 결정에 사용하지 않았다.</w:t>
      </w:r>
    </w:p>
    <w:p>
      <w:pPr>
        <w:pBdr>
          <w:left w:val="single" w:color="2E74B5" w:sz="24" w:space="8"/>
        </w:pBdr>
        <w:shd w:fill="F2F2F2" w:val="clear"/>
        <w:spacing w:after="200" w:before="10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20"/>
          <w:szCs w:val="20"/>
        </w:rPr>
        <w:t xml:space="preserve">주의: 세그먼트 간 분리도는 균일하지 않다. 클러스터 중심 간 유클리드 거리는 Ⅰ-Ⅱ 3.88(가장 이질적)부터 Ⅰ-Ⅲ 1.93(가장 유사)까지 폭넓게 분포한다. 실루엣 계수는 K=2에서 가장 높아(0.30), K=4는 해석 가능한 스토리를 위한 선택이지 데이터가 4개 군집을 강하게 요구하는 것은 아니다.</w:t>
      </w:r>
    </w:p>
    <w:p>
      <w:pPr>
        <w:pStyle w:val="Heading2"/>
        <w:spacing w:after="120" w:before="300"/>
      </w:pPr>
      <w:r>
        <w:rPr>
          <w:rFonts w:ascii="맑은 고딕" w:cs="맑은 고딕" w:eastAsia="맑은 고딕" w:hAnsi="맑은 고딕"/>
          <w:b/>
          <w:bCs/>
          <w:color w:val="2E74B5"/>
          <w:sz w:val="24"/>
          <w:szCs w:val="24"/>
        </w:rPr>
        <w:t xml:space="preserve">6.2 세그먼트 전체 프로파일 (클러스터링 투입 8개 피처)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650"/>
        <w:gridCol w:w="850"/>
        <w:gridCol w:w="1200"/>
        <w:gridCol w:w="700"/>
        <w:gridCol w:w="700"/>
        <w:gridCol w:w="1000"/>
        <w:gridCol w:w="1150"/>
        <w:gridCol w:w="900"/>
      </w:tblGrid>
      <w:tr>
        <w:trPr>
          <w:tblHeader/>
        </w:trPr>
        <w:tc>
          <w:tcPr>
            <w:tcW w:type="dxa" w:w="17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세그먼트</w:t>
            </w:r>
          </w:p>
        </w:tc>
        <w:tc>
          <w:tcPr>
            <w:tcW w:type="dxa" w:w="6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8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연령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소득(＄)</w:t>
            </w:r>
          </w:p>
        </w:tc>
        <w:tc>
          <w:tcPr>
            <w:tcW w:type="dxa" w:w="7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자녀수</w:t>
            </w:r>
          </w:p>
        </w:tc>
        <w:tc>
          <w:tcPr>
            <w:tcW w:type="dxa" w:w="7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최근성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총지출(＄)</w:t>
            </w:r>
          </w:p>
        </w:tc>
        <w:tc>
          <w:tcPr>
            <w:tcW w:type="dxa" w:w="11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총구매횟수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웹방문수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Ⅰ. 저소득·저구매형
(웹방문 잦음, 젊음)</w:t>
            </w:r>
          </w:p>
        </w:tc>
        <w:tc>
          <w:tcPr>
            <w:tcW w:type="dxa" w:w="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578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36.9세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30,686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0.8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47.3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6.1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6.8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Ⅱ. 고소득·고지출형
(웹방문 적음)</w:t>
            </w:r>
          </w:p>
        </w:tc>
        <w:tc>
          <w:tcPr>
            <w:tcW w:type="dxa" w:w="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615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46.7세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74,869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0.3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49.1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1,273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19.0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2.9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Ⅲ. 자녀다수·저구매형
(중저소득)</w:t>
            </w:r>
          </w:p>
        </w:tc>
        <w:tc>
          <w:tcPr>
            <w:tcW w:type="dxa" w:w="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407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51.3세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42,220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1.8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51.8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6.6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5.8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Ⅳ. 딜/프로모션 민감형</w:t>
            </w:r>
          </w:p>
        </w:tc>
        <w:tc>
          <w:tcPr>
            <w:tcW w:type="dxa" w:w="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436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48.1세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57,309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1.3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48.9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773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17.5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6.3</w:t>
            </w:r>
          </w:p>
        </w:tc>
      </w:tr>
    </w:tbl>
    <w:p>
      <w:pPr>
        <w:spacing w:after="100" w:before="15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50"/>
        <w:gridCol w:w="1650"/>
        <w:gridCol w:w="1650"/>
        <w:gridCol w:w="1650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6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Ⅰ(저소득·저구매)</w:t>
            </w:r>
          </w:p>
        </w:tc>
        <w:tc>
          <w:tcPr>
            <w:tcW w:type="dxa" w:w="16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Ⅱ(고소득·고지출)</w:t>
            </w:r>
          </w:p>
        </w:tc>
        <w:tc>
          <w:tcPr>
            <w:tcW w:type="dxa" w:w="16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Ⅲ(자녀다수)</w:t>
            </w:r>
          </w:p>
        </w:tc>
        <w:tc>
          <w:tcPr>
            <w:tcW w:type="dxa" w:w="16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Ⅳ(딜민감)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딜구매횟수(평균)</w:t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1.8</w:t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2.3</w:t>
            </w:r>
          </w:p>
        </w:tc>
        <w:tc>
          <w:tcPr>
            <w:tcW w:type="dxa" w:w="1650"/>
            <w:shd w:fill="FFF2C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4.8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AnyAccepted=1 비율</w:t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9.0%</w:t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38.0%</w:t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7.6%</w:t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24.3%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Response 비율</w:t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11.6%</w:t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25.2%</w:t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5.4%</w:t>
            </w:r>
          </w:p>
        </w:tc>
        <w:tc>
          <w:tcPr>
            <w:tcW w:type="dxa" w:w="1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15.8%</w:t>
            </w:r>
          </w:p>
        </w:tc>
      </w:tr>
    </w:tbl>
    <w:p>
      <w:pPr>
        <w:spacing w:after="100" w:before="200"/>
      </w:pPr>
    </w:p>
    <w:p>
      <w:pPr>
        <w:pStyle w:val="Heading2"/>
        <w:spacing w:after="120" w:before="300"/>
      </w:pPr>
      <w:r>
        <w:rPr>
          <w:rFonts w:ascii="맑은 고딕" w:cs="맑은 고딕" w:eastAsia="맑은 고딕" w:hAnsi="맑은 고딕"/>
          <w:b/>
          <w:bCs/>
          <w:color w:val="2E74B5"/>
          <w:sz w:val="24"/>
          <w:szCs w:val="24"/>
        </w:rPr>
        <w:t xml:space="preserve">6.3 세그먼트별 실제 판별 근거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아래는 각 세그먼트를 실제로 갈라낸 피처를 표준화 값(z-score) 기준 영향력 순으로 정리한 것이다. 세그먼트 이름은 이 표를 근거로 붙였다.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3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세그먼트</w:t>
            </w:r>
          </w:p>
        </w:tc>
        <w:tc>
          <w:tcPr>
            <w:tcW w:type="dxa" w:w="8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실제 판별 피처 (|z-score| 큰 순, 클러스터링은 8개 피처 전체를 동시에 사용)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Ⅰ</w:t>
            </w:r>
          </w:p>
        </w:tc>
        <w:tc>
          <w:tcPr>
            <w:tcW w:type="dxa" w:w="8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소득 ↓↓ (-0.99) · 총구매횟수 ↓↓ (-0.89) · 총지출 ↓ (-0.83) · 연령 ↓ (-0.71) · 웹방문수 ↑ (+0.60)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Ⅱ</w:t>
            </w:r>
          </w:p>
        </w:tc>
        <w:tc>
          <w:tcPr>
            <w:tcW w:type="dxa" w:w="8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총지출 ↑↑ (+1.11) · 소득 ↑↑ (+1.06) · 웹방문수 ↓↓ (-1.00) · 자녀수 ↓↓ (-0.91) · 총구매횟수 ↑ (+0.90) · 딜구매 ↓ (-0.59)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Ⅲ</w:t>
            </w:r>
          </w:p>
        </w:tc>
        <w:tc>
          <w:tcPr>
            <w:tcW w:type="dxa" w:w="8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자녀수 ↑↑ (+1.13) · 총구매횟수 ↓ (-0.82) · 총지출 ↓ (-0.80) · 연령 ↑ (+0.53)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Ⅳ</w:t>
            </w:r>
          </w:p>
        </w:tc>
        <w:tc>
          <w:tcPr>
            <w:tcW w:type="dxa" w:w="8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딜구매횟수 ↑↑ (+1.25) · 총구매횟수 ↑ (+0.68)</w:t>
            </w:r>
          </w:p>
        </w:tc>
      </w:tr>
    </w:tbl>
    <w:p>
      <w:pPr>
        <w:spacing w:after="100" w:before="200"/>
      </w:pP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세그먼트 Ⅱ는 AnyAccepted=1 비율이 38.0%로 가장 높게 관찰되지만, 이는 클러스터링 결과 나타난 특성이지 클러스터를 나눈 기준이 아니다. 세그먼트 Ⅱ를 실제로 규정하는 것은 총지출·소득·낮은 웹방문수·적은 자녀수다. 세그먼트 Ⅳ는 딜구매횟수(평균 4.8회, 전체 중 최고)가 가장 두드러지는 프로모션 민감형으로, 이전 버전에서 "중고소득"으로만 불렸던 이름은 이 핵심 특성을 반영하지 못했다.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세그먼트 Ⅲ(자녀다수·저구매)는 참여이력 유무와 무관하게 전 구간 반응률이 가장 낮다(4.5～12.9%). 세그먼트 Ⅰ·Ⅱ·Ⅳ는 참여이력이 있을 때 반응률이 35～48%로 크게 상승한다. 세그먼트 간 격차 비율이 4.76배로, 연관성이 균일하지 않고 특정 세그먼트에 집중되어 있음을 확인했다(H3 성립).</w:t>
      </w:r>
    </w:p>
    <w:p>
      <w:pPr>
        <w:pStyle w:val="Heading1"/>
        <w:pBdr>
          <w:bottom w:val="single" w:color="1F3864" w:sz="8" w:space="4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투자 우선순위 제안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세그먼트 단독 기준으로는 전체 발송 시 대부분 손익분기(27.3%)에 미달한다. 따라서 투자 우선순위는 "세그먼트"가 아닌 "세그먼트 × 참여이력" 교차 조건으로 판단해야 한다.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1400"/>
        <w:gridCol w:w="24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세그먼트 × 참여이력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반응률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건당 기대이익(＄)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예상 순이익(＄)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Ⅰ × AnyAccepted=1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52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48%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+2.29</w:t>
            </w:r>
          </w:p>
        </w:tc>
        <w:tc>
          <w:tcPr>
            <w:tcW w:type="dxa" w:w="2600"/>
            <w:shd w:fill="D9EAD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+119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Ⅱ × AnyAccepted=1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234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47%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+2.12</w:t>
            </w:r>
          </w:p>
        </w:tc>
        <w:tc>
          <w:tcPr>
            <w:tcW w:type="dxa" w:w="2600"/>
            <w:shd w:fill="D9EAD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+497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Ⅳ × AnyAccepted=1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106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35%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+0.84</w:t>
            </w:r>
          </w:p>
        </w:tc>
        <w:tc>
          <w:tcPr>
            <w:tcW w:type="dxa" w:w="2600"/>
            <w:shd w:fill="D9EAD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+89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Ⅲ × AnyAccepted=1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31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13%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−1.58</w:t>
            </w:r>
          </w:p>
        </w:tc>
        <w:tc>
          <w:tcPr>
            <w:tcW w:type="dxa" w:w="2600"/>
            <w:shd w:fill="F4CCC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−49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전 세그먼트 × AnyAccepted=0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1,613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5～12%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−1.67 ～ −2.50</w:t>
            </w:r>
          </w:p>
        </w:tc>
        <w:tc>
          <w:tcPr>
            <w:tcW w:type="dxa" w:w="2600"/>
            <w:shd w:fill="F4CCC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−3,321</w:t>
            </w:r>
          </w:p>
        </w:tc>
      </w:tr>
    </w:tbl>
    <w:p>
      <w:pPr>
        <w:spacing w:after="100" w:before="200"/>
      </w:pP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흑자 조합 3개(Ⅰ×1, Ⅱ×1, Ⅳ×1)의 예상 순이익 합은 ＋＄705이다. 전체 무차별 발송 시 예상 순손실(약 −＄3,046, 원본 표본 기준)과 비교하면, 세그먼트×참여이력 교차 타겟팅만으로 약 ＄3,750 규모의 개선이 가능하다.</w:t>
      </w:r>
    </w:p>
    <w:p>
      <w:pPr>
        <w:pBdr>
          <w:left w:val="single" w:color="2E74B5" w:sz="24" w:space="8"/>
        </w:pBdr>
        <w:shd w:fill="F2F2F2" w:val="clear"/>
        <w:spacing w:after="200" w:before="10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20"/>
          <w:szCs w:val="20"/>
        </w:rPr>
        <w:t xml:space="preserve">실행 제안: 1순위 세그먼트 Ⅰ(저소득·저구매형)×AnyAccepted=1(n=52), 2순위 세그먼트 Ⅱ(고소득·고지출형)×AnyAccepted=1(n=234, 표본 규모와 수익성을 모두 갖춘 주력 타겟). 세그먼트 Ⅲ(자녀다수·저구매형)은 참여이력과 무관하게 투자 후순위.</w:t>
      </w:r>
    </w:p>
    <w:p>
      <w:pPr>
        <w:pStyle w:val="Heading1"/>
        <w:pBdr>
          <w:bottom w:val="single" w:color="1F3864" w:sz="8" w:space="4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8. 한계 및 후속 과제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처치(발송) 노출 정보 부재로 인과효과 확정 불가 — 향후 무작위 홀드아웃 실험(A/B 테스트) 설계 필요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H4의 전제인 "컬럼 순서=캠페인 집행 순서" 가정이 데이터로 검증되지 않음 — 원본 캠페인 집행 일정 확보 필요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ID가 원 모집단(추정 약 11,192명)에서 20% 무작위 추출된 표본으로 보임 — 절대 금액(예산, 순이익)은 표본 기준이며, 모집단 확대 적용 시 별도 환산 필요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H2의 51.1% 잔존율은 임계값(50%) 근처의 경계 사례 — 임계값 변경 시 결론이 뒤집힐 수 있어 민감도 분석 권장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CRM 캠페인 재타겟팅 분석 보고서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2026-08-21T07:57:14.013Z</dcterms:created>
  <dcterms:modified xsi:type="dcterms:W3CDTF">2026-08-21T07:57:14.013Z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