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jc w:val="center"/>
        <w:rPr/>
      </w:pPr>
      <w:r>
        <w:rPr>
          <w:rFonts w:ascii="맑은 고딕" w:hAnsi="맑은 고딕" w:cs="맑은 고딕"/>
          <w:b/>
          <w:bCs/>
          <w:color w:val="1F3864"/>
          <w:sz w:val="40"/>
          <w:szCs w:val="40"/>
        </w:rPr>
        <w:t>이전 캠페인 반응 이력 기반</w:t>
      </w:r>
    </w:p>
    <w:p>
      <w:pPr>
        <w:pStyle w:val="Normal"/>
        <w:spacing w:before="100" w:after="300"/>
        <w:jc w:val="center"/>
        <w:rPr/>
      </w:pPr>
      <w:r>
        <w:rPr>
          <w:rFonts w:eastAsia="맑은 고딕" w:cs="맑은 고딕" w:ascii="맑은 고딕" w:hAnsi="맑은 고딕"/>
          <w:b/>
          <w:bCs/>
          <w:color w:val="1F3864"/>
          <w:sz w:val="40"/>
          <w:szCs w:val="40"/>
        </w:rPr>
        <w:t xml:space="preserve">CRM </w:t>
      </w:r>
      <w:r>
        <w:rPr>
          <w:rFonts w:ascii="맑은 고딕" w:hAnsi="맑은 고딕" w:cs="맑은 고딕"/>
          <w:b/>
          <w:bCs/>
          <w:color w:val="1F3864"/>
          <w:sz w:val="40"/>
          <w:szCs w:val="40"/>
        </w:rPr>
        <w:t>재타겟팅 전략 분석 보고서</w:t>
      </w:r>
    </w:p>
    <w:p>
      <w:pPr>
        <w:pStyle w:val="Normal"/>
        <w:spacing w:before="0" w:after="100"/>
        <w:jc w:val="center"/>
        <w:rPr/>
      </w:pPr>
      <w:r>
        <w:rPr>
          <w:rFonts w:ascii="맑은 고딕" w:hAnsi="맑은 고딕" w:cs="맑은 고딕"/>
          <w:color w:val="2E74B5"/>
          <w:sz w:val="24"/>
          <w:szCs w:val="24"/>
        </w:rPr>
        <w:t>선택편향 검증 및 세그먼트별 예산 배분 제안</w:t>
      </w:r>
    </w:p>
    <w:p>
      <w:pPr>
        <w:pStyle w:val="Normal"/>
        <w:spacing w:before="800" w:after="0"/>
        <w:jc w:val="center"/>
        <w:rPr/>
      </w:pPr>
      <w:r>
        <w:rPr>
          <w:rFonts w:eastAsia="맑은 고딕" w:cs="맑은 고딕" w:ascii="맑은 고딕" w:hAnsi="맑은 고딕"/>
          <w:color w:val="666666"/>
          <w:sz w:val="20"/>
          <w:szCs w:val="20"/>
        </w:rPr>
        <w:t xml:space="preserve">WeJump 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투자전략연구소 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 xml:space="preserve">· </w:t>
      </w:r>
      <w:r>
        <w:rPr>
          <w:rFonts w:ascii="맑은 고딕" w:hAnsi="맑은 고딕" w:cs="맑은 고딕"/>
          <w:color w:val="666666"/>
          <w:sz w:val="20"/>
          <w:szCs w:val="20"/>
        </w:rPr>
        <w:t>데이터분석팀</w:t>
      </w:r>
    </w:p>
    <w:p>
      <w:pPr>
        <w:pStyle w:val="Normal"/>
        <w:jc w:val="center"/>
        <w:rPr/>
      </w:pPr>
      <w:r>
        <w:rPr>
          <w:rFonts w:ascii="맑은 고딕" w:hAnsi="맑은 고딕" w:cs="맑은 고딕"/>
          <w:color w:val="666666"/>
          <w:sz w:val="20"/>
          <w:szCs w:val="20"/>
        </w:rPr>
        <w:t>분석 데이터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 xml:space="preserve">: marketing_campaign.csv (n=2,240 → 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정제 후 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2,036)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F3864"/>
        </w:pBdr>
        <w:spacing w:before="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0"/>
          <w:szCs w:val="30"/>
        </w:rPr>
        <w:t xml:space="preserve">1. </w:t>
      </w:r>
      <w:r>
        <w:rPr>
          <w:rFonts w:ascii="맑은 고딕" w:hAnsi="맑은 고딕" w:cs="맑은 고딕"/>
          <w:b/>
          <w:bCs/>
          <w:color w:val="1F3864"/>
          <w:sz w:val="30"/>
          <w:szCs w:val="30"/>
        </w:rPr>
        <w:t>비즈니스 문제</w:t>
      </w:r>
    </w:p>
    <w:p>
      <w:pPr>
        <w:pStyle w:val="Normal"/>
        <w:spacing w:lineRule="auto" w:line="300" w:before="0" w:after="140"/>
        <w:rPr/>
      </w:pPr>
      <w:r>
        <w:rPr>
          <w:rFonts w:ascii="맑은 고딕" w:hAnsi="맑은 고딕" w:cs="맑은 고딕"/>
          <w:sz w:val="21"/>
          <w:szCs w:val="21"/>
        </w:rPr>
        <w:t xml:space="preserve">차기 </w:t>
      </w:r>
      <w:r>
        <w:rPr>
          <w:rFonts w:eastAsia="맑은 고딕" w:cs="맑은 고딕" w:ascii="맑은 고딕" w:hAnsi="맑은 고딕"/>
          <w:sz w:val="21"/>
          <w:szCs w:val="21"/>
        </w:rPr>
        <w:t xml:space="preserve">CRM </w:t>
      </w:r>
      <w:r>
        <w:rPr>
          <w:rFonts w:ascii="맑은 고딕" w:hAnsi="맑은 고딕" w:cs="맑은 고딕"/>
          <w:sz w:val="21"/>
          <w:szCs w:val="21"/>
        </w:rPr>
        <w:t>캠페인의 접촉 예산을 배분해야 한다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 xml:space="preserve">실무 관행인 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과거 캠페인 수락 고객 재타겟팅</w:t>
      </w:r>
      <w:r>
        <w:rPr>
          <w:rFonts w:eastAsia="맑은 고딕" w:cs="맑은 고딕" w:ascii="맑은 고딕" w:hAnsi="맑은 고딕"/>
          <w:sz w:val="21"/>
          <w:szCs w:val="21"/>
        </w:rPr>
        <w:t xml:space="preserve">" </w:t>
      </w:r>
      <w:r>
        <w:rPr>
          <w:rFonts w:ascii="맑은 고딕" w:hAnsi="맑은 고딕" w:cs="맑은 고딕"/>
          <w:sz w:val="21"/>
          <w:szCs w:val="21"/>
        </w:rPr>
        <w:t xml:space="preserve">규칙은 반응률 </w:t>
      </w:r>
      <w:r>
        <w:rPr>
          <w:rFonts w:eastAsia="맑은 고딕" w:cs="맑은 고딕" w:ascii="맑은 고딕" w:hAnsi="맑은 고딕"/>
          <w:sz w:val="21"/>
          <w:szCs w:val="21"/>
        </w:rPr>
        <w:t xml:space="preserve">40% </w:t>
      </w:r>
      <w:r>
        <w:rPr>
          <w:rFonts w:ascii="맑은 고딕" w:hAnsi="맑은 고딕" w:cs="맑은 고딕"/>
          <w:sz w:val="21"/>
          <w:szCs w:val="21"/>
        </w:rPr>
        <w:t>이상으로 유일하게 흑자를 내는 것으로 관찰되나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이 규칙의 성과가 캠페인 자체의 효과에서 오는지 아니면 원래 반응성이 높은 고객이 그 그룹에 선택적으로 축적된 결과인지 구분되지 않는다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p>
      <w:pPr>
        <w:pStyle w:val="Normal"/>
        <w:spacing w:lineRule="auto" w:line="300" w:before="0" w:after="140"/>
        <w:rPr/>
      </w:pPr>
      <w:r>
        <w:rPr>
          <w:rFonts w:ascii="맑은 고딕" w:hAnsi="맑은 고딕" w:cs="맑은 고딕"/>
          <w:sz w:val="21"/>
          <w:szCs w:val="21"/>
        </w:rPr>
        <w:t>본 데이터에는 캠페인 발송 대상</w:t>
      </w:r>
      <w:r>
        <w:rPr>
          <w:rFonts w:eastAsia="맑은 고딕" w:cs="맑은 고딕" w:ascii="맑은 고딕" w:hAnsi="맑은 고딕"/>
          <w:sz w:val="21"/>
          <w:szCs w:val="21"/>
        </w:rPr>
        <w:t>(</w:t>
      </w:r>
      <w:r>
        <w:rPr>
          <w:rFonts w:ascii="맑은 고딕" w:hAnsi="맑은 고딕" w:cs="맑은 고딕"/>
          <w:sz w:val="21"/>
          <w:szCs w:val="21"/>
        </w:rPr>
        <w:t>노출</w:t>
      </w:r>
      <w:r>
        <w:rPr>
          <w:rFonts w:eastAsia="맑은 고딕" w:cs="맑은 고딕" w:ascii="맑은 고딕" w:hAnsi="맑은 고딕"/>
          <w:sz w:val="21"/>
          <w:szCs w:val="21"/>
        </w:rPr>
        <w:t xml:space="preserve">) </w:t>
      </w:r>
      <w:r>
        <w:rPr>
          <w:rFonts w:ascii="맑은 고딕" w:hAnsi="맑은 고딕" w:cs="맑은 고딕"/>
          <w:sz w:val="21"/>
          <w:szCs w:val="21"/>
        </w:rPr>
        <w:t>정보가 없어 처치군을 엄밀히 정의할 수 없으므로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인과효과 추정은 분석 범위에서 제외한다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 xml:space="preserve">대신 </w:t>
      </w:r>
      <w:r>
        <w:rPr>
          <w:rFonts w:eastAsia="맑은 고딕" w:cs="맑은 고딕" w:ascii="맑은 고딕" w:hAnsi="맑은 고딕"/>
          <w:sz w:val="21"/>
          <w:szCs w:val="21"/>
        </w:rPr>
        <w:t xml:space="preserve">(1) </w:t>
      </w:r>
      <w:r>
        <w:rPr>
          <w:rFonts w:ascii="맑은 고딕" w:hAnsi="맑은 고딕" w:cs="맑은 고딕"/>
          <w:sz w:val="21"/>
          <w:szCs w:val="21"/>
        </w:rPr>
        <w:t>관측 가능한 참여도 프록시로 설명되는 연관성의 크기를 정량화하고</w:t>
      </w:r>
      <w:r>
        <w:rPr>
          <w:rFonts w:eastAsia="맑은 고딕" w:cs="맑은 고딕" w:ascii="맑은 고딕" w:hAnsi="맑은 고딕"/>
          <w:sz w:val="21"/>
          <w:szCs w:val="21"/>
        </w:rPr>
        <w:t xml:space="preserve">, (2) </w:t>
      </w:r>
      <w:r>
        <w:rPr>
          <w:rFonts w:ascii="맑은 고딕" w:hAnsi="맑은 고딕" w:cs="맑은 고딕"/>
          <w:sz w:val="21"/>
          <w:szCs w:val="21"/>
        </w:rPr>
        <w:t>이 연관성이 고객 세그먼트에 따라 어떻게 달라지는지 확인하여</w:t>
      </w:r>
      <w:r>
        <w:rPr>
          <w:rFonts w:eastAsia="맑은 고딕" w:cs="맑은 고딕" w:ascii="맑은 고딕" w:hAnsi="맑은 고딕"/>
          <w:sz w:val="21"/>
          <w:szCs w:val="21"/>
        </w:rPr>
        <w:t xml:space="preserve">, (3) </w:t>
      </w:r>
      <w:r>
        <w:rPr>
          <w:rFonts w:ascii="맑은 고딕" w:hAnsi="맑은 고딕" w:cs="맑은 고딕"/>
          <w:sz w:val="21"/>
          <w:szCs w:val="21"/>
        </w:rPr>
        <w:t>손익분기 반응률을 넘는 세그먼트에 예산을 우선 배분하는 실행 규칙을 도출하는 것을 목표로 한다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p>
      <w:pPr>
        <w:pStyle w:val="Normal"/>
        <w:pBdr>
          <w:left w:val="single" w:sz="24" w:space="8" w:color="2E74B5"/>
        </w:pBdr>
        <w:shd w:val="clear" w:fill="F2F2F2"/>
        <w:spacing w:before="100" w:after="200"/>
        <w:ind w:start="200"/>
        <w:rPr/>
      </w:pP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 xml:space="preserve">※ 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본 보고서는 인과추론이 아닌 연관성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·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예측 관점의 분석입니다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 xml:space="preserve">. 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처치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(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발송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 xml:space="preserve">) 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노출 여부가 데이터에 기록되어 있지 않아 인과효과를 확정할 수 없습니다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.</w:t>
      </w:r>
    </w:p>
    <w:p>
      <w:pPr>
        <w:pStyle w:val="Heading1"/>
        <w:pBdr>
          <w:bottom w:val="single" w:sz="8" w:space="4" w:color="1F3864"/>
        </w:pBdr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0"/>
          <w:szCs w:val="30"/>
        </w:rPr>
        <w:t xml:space="preserve">2. </w:t>
      </w:r>
      <w:r>
        <w:rPr>
          <w:rFonts w:ascii="맑은 고딕" w:hAnsi="맑은 고딕" w:cs="맑은 고딕"/>
          <w:b/>
          <w:bCs/>
          <w:color w:val="1F3864"/>
          <w:sz w:val="30"/>
          <w:szCs w:val="30"/>
        </w:rPr>
        <w:t>핵심 질문</w:t>
      </w:r>
    </w:p>
    <w:p>
      <w:pPr>
        <w:pStyle w:val="ListParagraph"/>
        <w:numPr>
          <w:ilvl w:val="0"/>
          <w:numId w:val="3"/>
        </w:numPr>
        <w:spacing w:lineRule="auto" w:line="281" w:before="0" w:after="80"/>
        <w:rPr/>
      </w:pPr>
      <w:r>
        <w:rPr>
          <w:rFonts w:eastAsia="맑은 고딕" w:cs="맑은 고딕" w:ascii="맑은 고딕" w:hAnsi="맑은 고딕"/>
          <w:sz w:val="21"/>
          <w:szCs w:val="21"/>
        </w:rPr>
        <w:t xml:space="preserve">Q1. </w:t>
      </w:r>
      <w:r>
        <w:rPr>
          <w:rFonts w:ascii="맑은 고딕" w:hAnsi="맑은 고딕" w:cs="맑은 고딕"/>
          <w:sz w:val="21"/>
          <w:szCs w:val="21"/>
        </w:rPr>
        <w:t>과거 캠페인 참여 이력</w:t>
      </w:r>
      <w:r>
        <w:rPr>
          <w:rFonts w:eastAsia="맑은 고딕" w:cs="맑은 고딕" w:ascii="맑은 고딕" w:hAnsi="맑은 고딕"/>
          <w:sz w:val="21"/>
          <w:szCs w:val="21"/>
        </w:rPr>
        <w:t>(AnyAccepted)</w:t>
      </w:r>
      <w:r>
        <w:rPr>
          <w:rFonts w:ascii="맑은 고딕" w:hAnsi="맑은 고딕" w:cs="맑은 고딕"/>
          <w:sz w:val="21"/>
          <w:szCs w:val="21"/>
        </w:rPr>
        <w:t>은 이번 캠페인 반응</w:t>
      </w:r>
      <w:r>
        <w:rPr>
          <w:rFonts w:eastAsia="맑은 고딕" w:cs="맑은 고딕" w:ascii="맑은 고딕" w:hAnsi="맑은 고딕"/>
          <w:sz w:val="21"/>
          <w:szCs w:val="21"/>
        </w:rPr>
        <w:t>(Response)</w:t>
      </w:r>
      <w:r>
        <w:rPr>
          <w:rFonts w:ascii="맑은 고딕" w:hAnsi="맑은 고딕" w:cs="맑은 고딕"/>
          <w:sz w:val="21"/>
          <w:szCs w:val="21"/>
        </w:rPr>
        <w:t>과 유의한 연관성을 갖는가</w:t>
      </w:r>
      <w:r>
        <w:rPr>
          <w:rFonts w:eastAsia="맑은 고딕" w:cs="맑은 고딕" w:ascii="맑은 고딕" w:hAnsi="맑은 고딕"/>
          <w:sz w:val="21"/>
          <w:szCs w:val="21"/>
        </w:rPr>
        <w:t>?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rFonts w:eastAsia="맑은 고딕" w:cs="맑은 고딕" w:ascii="맑은 고딕" w:hAnsi="맑은 고딕"/>
          <w:sz w:val="21"/>
          <w:szCs w:val="21"/>
        </w:rPr>
        <w:t xml:space="preserve">Q2. </w:t>
      </w:r>
      <w:r>
        <w:rPr>
          <w:rFonts w:ascii="맑은 고딕" w:hAnsi="맑은 고딕" w:cs="맑은 고딕"/>
          <w:sz w:val="21"/>
          <w:szCs w:val="21"/>
        </w:rPr>
        <w:t>이 연관성은 웹방문</w:t>
      </w:r>
      <w:r>
        <w:rPr>
          <w:rFonts w:eastAsia="맑은 고딕" w:cs="맑은 고딕" w:ascii="맑은 고딕" w:hAnsi="맑은 고딕"/>
          <w:sz w:val="21"/>
          <w:szCs w:val="21"/>
        </w:rPr>
        <w:t>·</w:t>
      </w:r>
      <w:r>
        <w:rPr>
          <w:rFonts w:ascii="맑은 고딕" w:hAnsi="맑은 고딕" w:cs="맑은 고딕"/>
          <w:sz w:val="21"/>
          <w:szCs w:val="21"/>
        </w:rPr>
        <w:t>최근성</w:t>
      </w:r>
      <w:r>
        <w:rPr>
          <w:rFonts w:eastAsia="맑은 고딕" w:cs="맑은 고딕" w:ascii="맑은 고딕" w:hAnsi="맑은 고딕"/>
          <w:sz w:val="21"/>
          <w:szCs w:val="21"/>
        </w:rPr>
        <w:t>·</w:t>
      </w:r>
      <w:r>
        <w:rPr>
          <w:rFonts w:ascii="맑은 고딕" w:hAnsi="맑은 고딕" w:cs="맑은 고딕"/>
          <w:sz w:val="21"/>
          <w:szCs w:val="21"/>
        </w:rPr>
        <w:t xml:space="preserve">지출액 등 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원래 참여도가 높은 고객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의 프록시로 설명되는가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아니면 통제 후에도 남는가</w:t>
      </w:r>
      <w:r>
        <w:rPr>
          <w:rFonts w:eastAsia="맑은 고딕" w:cs="맑은 고딕" w:ascii="맑은 고딕" w:hAnsi="맑은 고딕"/>
          <w:sz w:val="21"/>
          <w:szCs w:val="21"/>
        </w:rPr>
        <w:t>?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rFonts w:eastAsia="맑은 고딕" w:cs="맑은 고딕" w:ascii="맑은 고딕" w:hAnsi="맑은 고딕"/>
          <w:sz w:val="21"/>
          <w:szCs w:val="21"/>
        </w:rPr>
        <w:t xml:space="preserve">Q3. </w:t>
      </w:r>
      <w:r>
        <w:rPr>
          <w:rFonts w:ascii="맑은 고딕" w:hAnsi="맑은 고딕" w:cs="맑은 고딕"/>
          <w:sz w:val="21"/>
          <w:szCs w:val="21"/>
        </w:rPr>
        <w:t>이 연관성은 모든 고객에게 균일한가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아니면 특정 고객 세그먼트에서 더 강하게 나타나는가</w:t>
      </w:r>
      <w:r>
        <w:rPr>
          <w:rFonts w:eastAsia="맑은 고딕" w:cs="맑은 고딕" w:ascii="맑은 고딕" w:hAnsi="맑은 고딕"/>
          <w:sz w:val="21"/>
          <w:szCs w:val="21"/>
        </w:rPr>
        <w:t>?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rFonts w:eastAsia="맑은 고딕" w:cs="맑은 고딕" w:ascii="맑은 고딕" w:hAnsi="맑은 고딕"/>
          <w:sz w:val="21"/>
          <w:szCs w:val="21"/>
        </w:rPr>
        <w:t>Q4. (</w:t>
      </w:r>
      <w:r>
        <w:rPr>
          <w:rFonts w:ascii="맑은 고딕" w:hAnsi="맑은 고딕" w:cs="맑은 고딕"/>
          <w:sz w:val="21"/>
          <w:szCs w:val="21"/>
        </w:rPr>
        <w:t>부가 체크</w:t>
      </w:r>
      <w:r>
        <w:rPr>
          <w:rFonts w:eastAsia="맑은 고딕" w:cs="맑은 고딕" w:ascii="맑은 고딕" w:hAnsi="맑은 고딕"/>
          <w:sz w:val="21"/>
          <w:szCs w:val="21"/>
        </w:rPr>
        <w:t xml:space="preserve">) </w:t>
      </w:r>
      <w:r>
        <w:rPr>
          <w:rFonts w:ascii="맑은 고딕" w:hAnsi="맑은 고딕" w:cs="맑은 고딕"/>
          <w:sz w:val="21"/>
          <w:szCs w:val="21"/>
        </w:rPr>
        <w:t>직전 캠페인 수락 여부가 그 이전 캠페인들보다 더 강한 최근성 효과를 갖는가</w:t>
      </w:r>
      <w:r>
        <w:rPr>
          <w:rFonts w:eastAsia="맑은 고딕" w:cs="맑은 고딕" w:ascii="맑은 고딕" w:hAnsi="맑은 고딕"/>
          <w:sz w:val="21"/>
          <w:szCs w:val="21"/>
        </w:rPr>
        <w:t>?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rFonts w:ascii="맑은 고딕" w:hAnsi="맑은 고딕" w:cs="맑은 고딕"/>
          <w:sz w:val="21"/>
          <w:szCs w:val="21"/>
        </w:rPr>
        <w:t xml:space="preserve">→ </w:t>
      </w:r>
      <w:r>
        <w:rPr>
          <w:rFonts w:ascii="맑은 고딕" w:hAnsi="맑은 고딕" w:cs="맑은 고딕"/>
          <w:sz w:val="21"/>
          <w:szCs w:val="21"/>
        </w:rPr>
        <w:t>위 결과를 바탕으로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다음 캠페인에서 어느 세그먼트에 예산을 우선 투입해야 하는가</w:t>
      </w:r>
      <w:r>
        <w:rPr>
          <w:rFonts w:eastAsia="맑은 고딕" w:cs="맑은 고딕" w:ascii="맑은 고딕" w:hAnsi="맑은 고딕"/>
          <w:sz w:val="21"/>
          <w:szCs w:val="21"/>
        </w:rPr>
        <w:t>?</w:t>
      </w:r>
    </w:p>
    <w:p>
      <w:pPr>
        <w:pStyle w:val="Heading1"/>
        <w:pBdr>
          <w:bottom w:val="single" w:sz="8" w:space="4" w:color="1F3864"/>
        </w:pBdr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0"/>
          <w:szCs w:val="30"/>
        </w:rPr>
        <w:t xml:space="preserve">3. </w:t>
      </w:r>
      <w:r>
        <w:rPr>
          <w:rFonts w:ascii="맑은 고딕" w:hAnsi="맑은 고딕" w:cs="맑은 고딕"/>
          <w:b/>
          <w:bCs/>
          <w:color w:val="1F3864"/>
          <w:sz w:val="30"/>
          <w:szCs w:val="30"/>
        </w:rPr>
        <w:t>데이터 및 전처리 요약</w:t>
      </w:r>
    </w:p>
    <w:p>
      <w:pPr>
        <w:pStyle w:val="Normal"/>
        <w:spacing w:lineRule="auto" w:line="300" w:before="0" w:after="140"/>
        <w:rPr/>
      </w:pPr>
      <w:r>
        <w:rPr>
          <w:rFonts w:ascii="맑은 고딕" w:hAnsi="맑은 고딕" w:cs="맑은 고딕"/>
          <w:sz w:val="21"/>
          <w:szCs w:val="21"/>
        </w:rPr>
        <w:t xml:space="preserve">원본 </w:t>
      </w:r>
      <w:r>
        <w:rPr>
          <w:rFonts w:eastAsia="맑은 고딕" w:cs="맑은 고딕" w:ascii="맑은 고딕" w:hAnsi="맑은 고딕"/>
          <w:sz w:val="21"/>
          <w:szCs w:val="21"/>
        </w:rPr>
        <w:t>2,240</w:t>
      </w:r>
      <w:r>
        <w:rPr>
          <w:rFonts w:ascii="맑은 고딕" w:hAnsi="맑은 고딕" w:cs="맑은 고딕"/>
          <w:sz w:val="21"/>
          <w:szCs w:val="21"/>
        </w:rPr>
        <w:t xml:space="preserve">행 중 완전중복 </w:t>
      </w:r>
      <w:r>
        <w:rPr>
          <w:rFonts w:eastAsia="맑은 고딕" w:cs="맑은 고딕" w:ascii="맑은 고딕" w:hAnsi="맑은 고딕"/>
          <w:sz w:val="21"/>
          <w:szCs w:val="21"/>
        </w:rPr>
        <w:t>182</w:t>
      </w:r>
      <w:r>
        <w:rPr>
          <w:rFonts w:ascii="맑은 고딕" w:hAnsi="맑은 고딕" w:cs="맑은 고딕"/>
          <w:sz w:val="21"/>
          <w:szCs w:val="21"/>
        </w:rPr>
        <w:t>건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결과변수</w:t>
      </w:r>
      <w:r>
        <w:rPr>
          <w:rFonts w:eastAsia="맑은 고딕" w:cs="맑은 고딕" w:ascii="맑은 고딕" w:hAnsi="맑은 고딕"/>
          <w:sz w:val="21"/>
          <w:szCs w:val="21"/>
        </w:rPr>
        <w:t>(Response)</w:t>
      </w:r>
      <w:r>
        <w:rPr>
          <w:rFonts w:ascii="맑은 고딕" w:hAnsi="맑은 고딕" w:cs="맑은 고딕"/>
          <w:sz w:val="21"/>
          <w:szCs w:val="21"/>
        </w:rPr>
        <w:t xml:space="preserve">만 상충하는 중복 </w:t>
      </w:r>
      <w:r>
        <w:rPr>
          <w:rFonts w:eastAsia="맑은 고딕" w:cs="맑은 고딕" w:ascii="맑은 고딕" w:hAnsi="맑은 고딕"/>
          <w:sz w:val="21"/>
          <w:szCs w:val="21"/>
        </w:rPr>
        <w:t>19</w:t>
      </w:r>
      <w:r>
        <w:rPr>
          <w:rFonts w:ascii="맑은 고딕" w:hAnsi="맑은 고딕" w:cs="맑은 고딕"/>
          <w:sz w:val="21"/>
          <w:szCs w:val="21"/>
        </w:rPr>
        <w:t>그룹</w:t>
      </w:r>
      <w:r>
        <w:rPr>
          <w:rFonts w:eastAsia="맑은 고딕" w:cs="맑은 고딕" w:ascii="맑은 고딕" w:hAnsi="맑은 고딕"/>
          <w:sz w:val="21"/>
          <w:szCs w:val="21"/>
        </w:rPr>
        <w:t>(38</w:t>
      </w:r>
      <w:r>
        <w:rPr>
          <w:rFonts w:ascii="맑은 고딕" w:hAnsi="맑은 고딕" w:cs="맑은 고딕"/>
          <w:sz w:val="21"/>
          <w:szCs w:val="21"/>
        </w:rPr>
        <w:t>～</w:t>
      </w:r>
      <w:r>
        <w:rPr>
          <w:rFonts w:eastAsia="맑은 고딕" w:cs="맑은 고딕" w:ascii="맑은 고딕" w:hAnsi="맑은 고딕"/>
          <w:sz w:val="21"/>
          <w:szCs w:val="21"/>
        </w:rPr>
        <w:t>40</w:t>
      </w:r>
      <w:r>
        <w:rPr>
          <w:rFonts w:ascii="맑은 고딕" w:hAnsi="맑은 고딕" w:cs="맑은 고딕"/>
          <w:sz w:val="21"/>
          <w:szCs w:val="21"/>
        </w:rPr>
        <w:t>건</w:t>
      </w:r>
      <w:r>
        <w:rPr>
          <w:rFonts w:eastAsia="맑은 고딕" w:cs="맑은 고딕" w:ascii="맑은 고딕" w:hAnsi="맑은 고딕"/>
          <w:sz w:val="21"/>
          <w:szCs w:val="21"/>
        </w:rPr>
        <w:t>)</w:t>
      </w:r>
      <w:r>
        <w:rPr>
          <w:rFonts w:ascii="맑은 고딕" w:hAnsi="맑은 고딕" w:cs="맑은 고딕"/>
          <w:sz w:val="21"/>
          <w:szCs w:val="21"/>
        </w:rPr>
        <w:t>을 식별하여 제거했다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 xml:space="preserve">소득 결측 </w:t>
      </w:r>
      <w:r>
        <w:rPr>
          <w:rFonts w:eastAsia="맑은 고딕" w:cs="맑은 고딕" w:ascii="맑은 고딕" w:hAnsi="맑은 고딕"/>
          <w:sz w:val="21"/>
          <w:szCs w:val="21"/>
        </w:rPr>
        <w:t>24</w:t>
      </w:r>
      <w:r>
        <w:rPr>
          <w:rFonts w:ascii="맑은 고딕" w:hAnsi="맑은 고딕" w:cs="맑은 고딕"/>
          <w:sz w:val="21"/>
          <w:szCs w:val="21"/>
        </w:rPr>
        <w:t>건은 중앙값으로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극단값</w:t>
      </w:r>
      <w:r>
        <w:rPr>
          <w:rFonts w:eastAsia="맑은 고딕" w:cs="맑은 고딕" w:ascii="맑은 고딕" w:hAnsi="맑은 고딕"/>
          <w:sz w:val="21"/>
          <w:szCs w:val="21"/>
        </w:rPr>
        <w:t>(666,666) 1</w:t>
      </w:r>
      <w:r>
        <w:rPr>
          <w:rFonts w:ascii="맑은 고딕" w:hAnsi="맑은 고딕" w:cs="맑은 고딕"/>
          <w:sz w:val="21"/>
          <w:szCs w:val="21"/>
        </w:rPr>
        <w:t>건도 중앙값으로 대체했다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 xml:space="preserve">출생연도 </w:t>
      </w:r>
      <w:r>
        <w:rPr>
          <w:rFonts w:eastAsia="맑은 고딕" w:cs="맑은 고딕" w:ascii="맑은 고딕" w:hAnsi="맑은 고딕"/>
          <w:sz w:val="21"/>
          <w:szCs w:val="21"/>
        </w:rPr>
        <w:t>1893/1899/1900</w:t>
      </w:r>
      <w:r>
        <w:rPr>
          <w:rFonts w:ascii="맑은 고딕" w:hAnsi="맑은 고딕" w:cs="맑은 고딕"/>
          <w:sz w:val="21"/>
          <w:szCs w:val="21"/>
        </w:rPr>
        <w:t>년</w:t>
      </w:r>
      <w:r>
        <w:rPr>
          <w:rFonts w:eastAsia="맑은 고딕" w:cs="맑은 고딕" w:ascii="맑은 고딕" w:hAnsi="맑은 고딕"/>
          <w:sz w:val="21"/>
          <w:szCs w:val="21"/>
        </w:rPr>
        <w:t>(114</w:t>
      </w:r>
      <w:r>
        <w:rPr>
          <w:rFonts w:ascii="맑은 고딕" w:hAnsi="맑은 고딕" w:cs="맑은 고딕"/>
          <w:sz w:val="21"/>
          <w:szCs w:val="21"/>
        </w:rPr>
        <w:t>～</w:t>
      </w:r>
      <w:r>
        <w:rPr>
          <w:rFonts w:eastAsia="맑은 고딕" w:cs="맑은 고딕" w:ascii="맑은 고딕" w:hAnsi="맑은 고딕"/>
          <w:sz w:val="21"/>
          <w:szCs w:val="21"/>
        </w:rPr>
        <w:t>121</w:t>
      </w:r>
      <w:r>
        <w:rPr>
          <w:rFonts w:ascii="맑은 고딕" w:hAnsi="맑은 고딕" w:cs="맑은 고딕"/>
          <w:sz w:val="21"/>
          <w:szCs w:val="21"/>
        </w:rPr>
        <w:t>세</w:t>
      </w:r>
      <w:r>
        <w:rPr>
          <w:rFonts w:eastAsia="맑은 고딕" w:cs="맑은 고딕" w:ascii="맑은 고딕" w:hAnsi="맑은 고딕"/>
          <w:sz w:val="21"/>
          <w:szCs w:val="21"/>
        </w:rPr>
        <w:t>) 3</w:t>
      </w:r>
      <w:r>
        <w:rPr>
          <w:rFonts w:ascii="맑은 고딕" w:hAnsi="맑은 고딕" w:cs="맑은 고딕"/>
          <w:sz w:val="21"/>
          <w:szCs w:val="21"/>
        </w:rPr>
        <w:t>건을 제외하고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혼인상태의 비표준 범주</w:t>
      </w:r>
      <w:r>
        <w:rPr>
          <w:rFonts w:eastAsia="맑은 고딕" w:cs="맑은 고딕" w:ascii="맑은 고딕" w:hAnsi="맑은 고딕"/>
          <w:sz w:val="21"/>
          <w:szCs w:val="21"/>
        </w:rPr>
        <w:t>(Alone/Absurd/YOLO)</w:t>
      </w:r>
      <w:r>
        <w:rPr>
          <w:rFonts w:ascii="맑은 고딕" w:hAnsi="맑은 고딕" w:cs="맑은 고딕"/>
          <w:sz w:val="21"/>
          <w:szCs w:val="21"/>
        </w:rPr>
        <w:t xml:space="preserve">는 </w:t>
      </w:r>
      <w:r>
        <w:rPr>
          <w:rFonts w:eastAsia="맑은 고딕" w:cs="맑은 고딕" w:ascii="맑은 고딕" w:hAnsi="맑은 고딕"/>
          <w:sz w:val="21"/>
          <w:szCs w:val="21"/>
        </w:rPr>
        <w:t>Single</w:t>
      </w:r>
      <w:r>
        <w:rPr>
          <w:rFonts w:ascii="맑은 고딕" w:hAnsi="맑은 고딕" w:cs="맑은 고딕"/>
          <w:sz w:val="21"/>
          <w:szCs w:val="21"/>
        </w:rPr>
        <w:t>로 병합했다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 xml:space="preserve">최종 분석셋은 </w:t>
      </w:r>
      <w:r>
        <w:rPr>
          <w:rFonts w:eastAsia="맑은 고딕" w:cs="맑은 고딕" w:ascii="맑은 고딕" w:hAnsi="맑은 고딕"/>
          <w:sz w:val="21"/>
          <w:szCs w:val="21"/>
        </w:rPr>
        <w:t>2,036</w:t>
      </w:r>
      <w:r>
        <w:rPr>
          <w:rFonts w:ascii="맑은 고딕" w:hAnsi="맑은 고딕" w:cs="맑은 고딕"/>
          <w:sz w:val="21"/>
          <w:szCs w:val="21"/>
        </w:rPr>
        <w:t>행이다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p>
      <w:pPr>
        <w:pStyle w:val="Normal"/>
        <w:spacing w:lineRule="auto" w:line="300" w:before="0" w:after="140"/>
        <w:rPr/>
      </w:pPr>
      <w:r>
        <w:rPr>
          <w:rFonts w:eastAsia="맑은 고딕" w:cs="맑은 고딕" w:ascii="맑은 고딕" w:hAnsi="맑은 고딕"/>
          <w:sz w:val="21"/>
          <w:szCs w:val="21"/>
        </w:rPr>
        <w:t>Z_CostContact(</w:t>
      </w:r>
      <w:r>
        <w:rPr>
          <w:rFonts w:ascii="맑은 고딕" w:hAnsi="맑은 고딕" w:cs="맑은 고딕"/>
          <w:sz w:val="21"/>
          <w:szCs w:val="21"/>
        </w:rPr>
        <w:t>＝</w:t>
      </w:r>
      <w:r>
        <w:rPr>
          <w:rFonts w:eastAsia="맑은 고딕" w:cs="맑은 고딕" w:ascii="맑은 고딕" w:hAnsi="맑은 고딕"/>
          <w:sz w:val="21"/>
          <w:szCs w:val="21"/>
        </w:rPr>
        <w:t>3)</w:t>
      </w:r>
      <w:r>
        <w:rPr>
          <w:rFonts w:ascii="맑은 고딕" w:hAnsi="맑은 고딕" w:cs="맑은 고딕"/>
          <w:sz w:val="21"/>
          <w:szCs w:val="21"/>
        </w:rPr>
        <w:t xml:space="preserve">와 </w:t>
      </w:r>
      <w:r>
        <w:rPr>
          <w:rFonts w:eastAsia="맑은 고딕" w:cs="맑은 고딕" w:ascii="맑은 고딕" w:hAnsi="맑은 고딕"/>
          <w:sz w:val="21"/>
          <w:szCs w:val="21"/>
        </w:rPr>
        <w:t>Z_Revenue(</w:t>
      </w:r>
      <w:r>
        <w:rPr>
          <w:rFonts w:ascii="맑은 고딕" w:hAnsi="맑은 고딕" w:cs="맑은 고딕"/>
          <w:sz w:val="21"/>
          <w:szCs w:val="21"/>
        </w:rPr>
        <w:t>＝</w:t>
      </w:r>
      <w:r>
        <w:rPr>
          <w:rFonts w:eastAsia="맑은 고딕" w:cs="맑은 고딕" w:ascii="맑은 고딕" w:hAnsi="맑은 고딕"/>
          <w:sz w:val="21"/>
          <w:szCs w:val="21"/>
        </w:rPr>
        <w:t>11)</w:t>
      </w:r>
      <w:r>
        <w:rPr>
          <w:rFonts w:ascii="맑은 고딕" w:hAnsi="맑은 고딕" w:cs="맑은 고딕"/>
          <w:sz w:val="21"/>
          <w:szCs w:val="21"/>
        </w:rPr>
        <w:t>는 상수 컬럼으로 모델 변수에서는 제외했으나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손익분기 반응률</w:t>
      </w:r>
      <w:r>
        <w:rPr>
          <w:rFonts w:eastAsia="맑은 고딕" w:cs="맑은 고딕" w:ascii="맑은 고딕" w:hAnsi="맑은 고딕"/>
          <w:sz w:val="21"/>
          <w:szCs w:val="21"/>
        </w:rPr>
        <w:t>(27.3%)</w:t>
      </w:r>
      <w:r>
        <w:rPr>
          <w:rFonts w:ascii="맑은 고딕" w:hAnsi="맑은 고딕" w:cs="맑은 고딕"/>
          <w:sz w:val="21"/>
          <w:szCs w:val="21"/>
        </w:rPr>
        <w:t>의 기준값으로 전 분석에 사용했다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p>
      <w:pPr>
        <w:pStyle w:val="Heading1"/>
        <w:pBdr>
          <w:bottom w:val="single" w:sz="8" w:space="4" w:color="1F3864"/>
        </w:pBdr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0"/>
          <w:szCs w:val="30"/>
        </w:rPr>
        <w:t xml:space="preserve">4. </w:t>
      </w:r>
      <w:r>
        <w:rPr>
          <w:rFonts w:ascii="맑은 고딕" w:hAnsi="맑은 고딕" w:cs="맑은 고딕"/>
          <w:b/>
          <w:bCs/>
          <w:color w:val="1F3864"/>
          <w:sz w:val="30"/>
          <w:szCs w:val="30"/>
        </w:rPr>
        <w:t>분석 방법 및 한계</w:t>
      </w:r>
    </w:p>
    <w:p>
      <w:pPr>
        <w:pStyle w:val="Heading2"/>
        <w:spacing w:before="300" w:after="120"/>
        <w:rPr/>
      </w:pPr>
      <w:r>
        <w:rPr>
          <w:rFonts w:eastAsia="맑은 고딕" w:cs="맑은 고딕" w:ascii="맑은 고딕" w:hAnsi="맑은 고딕"/>
          <w:b/>
          <w:bCs/>
          <w:color w:val="2E74B5"/>
          <w:sz w:val="24"/>
          <w:szCs w:val="24"/>
        </w:rPr>
        <w:t xml:space="preserve">4.1 </w:t>
      </w:r>
      <w:r>
        <w:rPr>
          <w:rFonts w:ascii="맑은 고딕" w:hAnsi="맑은 고딕" w:cs="맑은 고딕"/>
          <w:b/>
          <w:bCs/>
          <w:color w:val="2E74B5"/>
          <w:sz w:val="24"/>
          <w:szCs w:val="24"/>
        </w:rPr>
        <w:t>인과추론이 아닌 이유</w:t>
      </w:r>
    </w:p>
    <w:p>
      <w:pPr>
        <w:pStyle w:val="Normal"/>
        <w:spacing w:lineRule="auto" w:line="300" w:before="0" w:after="140"/>
        <w:rPr/>
      </w:pPr>
      <w:r>
        <w:rPr>
          <w:rFonts w:eastAsia="맑은 고딕" w:cs="맑은 고딕" w:ascii="맑은 고딕" w:hAnsi="맑은 고딕"/>
          <w:sz w:val="21"/>
          <w:szCs w:val="21"/>
        </w:rPr>
        <w:t>AcceptedCmp1</w:t>
      </w:r>
      <w:r>
        <w:rPr>
          <w:rFonts w:ascii="맑은 고딕" w:hAnsi="맑은 고딕" w:cs="맑은 고딕"/>
          <w:sz w:val="21"/>
          <w:szCs w:val="21"/>
        </w:rPr>
        <w:t>～</w:t>
      </w:r>
      <w:r>
        <w:rPr>
          <w:rFonts w:eastAsia="맑은 고딕" w:cs="맑은 고딕" w:ascii="맑은 고딕" w:hAnsi="맑은 고딕"/>
          <w:sz w:val="21"/>
          <w:szCs w:val="21"/>
        </w:rPr>
        <w:t>5</w:t>
      </w:r>
      <w:r>
        <w:rPr>
          <w:rFonts w:ascii="맑은 고딕" w:hAnsi="맑은 고딕" w:cs="맑은 고딕"/>
          <w:sz w:val="21"/>
          <w:szCs w:val="21"/>
        </w:rPr>
        <w:t xml:space="preserve">는 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수락 여부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 xml:space="preserve">만 기록되어 있고 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발송 대상 여부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가 없다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 xml:space="preserve">즉 값이 </w:t>
      </w:r>
      <w:r>
        <w:rPr>
          <w:rFonts w:eastAsia="맑은 고딕" w:cs="맑은 고딕" w:ascii="맑은 고딕" w:hAnsi="맑은 고딕"/>
          <w:sz w:val="21"/>
          <w:szCs w:val="21"/>
        </w:rPr>
        <w:t>0</w:t>
      </w:r>
      <w:r>
        <w:rPr>
          <w:rFonts w:ascii="맑은 고딕" w:hAnsi="맑은 고딕" w:cs="맑은 고딕"/>
          <w:sz w:val="21"/>
          <w:szCs w:val="21"/>
        </w:rPr>
        <w:t>인 고객은 발송받고 거절한 경우와 애초에 대상이 아니었던 경우가 섞여 있어 처치군 정의가 불가능하다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 xml:space="preserve">이에 따라 본 분석은 로지스틱 회귀의 결과를 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효과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 xml:space="preserve">가 아닌 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연관성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으로만 해석한다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p>
      <w:pPr>
        <w:pStyle w:val="Heading2"/>
        <w:spacing w:before="300" w:after="120"/>
        <w:rPr/>
      </w:pPr>
      <w:r>
        <w:rPr>
          <w:rFonts w:eastAsia="맑은 고딕" w:cs="맑은 고딕" w:ascii="맑은 고딕" w:hAnsi="맑은 고딕"/>
          <w:b/>
          <w:bCs/>
          <w:color w:val="2E74B5"/>
          <w:sz w:val="24"/>
          <w:szCs w:val="24"/>
        </w:rPr>
        <w:t xml:space="preserve">4.2 </w:t>
      </w:r>
      <w:r>
        <w:rPr>
          <w:rFonts w:ascii="맑은 고딕" w:hAnsi="맑은 고딕" w:cs="맑은 고딕"/>
          <w:b/>
          <w:bCs/>
          <w:color w:val="2E74B5"/>
          <w:sz w:val="24"/>
          <w:szCs w:val="24"/>
        </w:rPr>
        <w:t>라그</w:t>
      </w:r>
      <w:r>
        <w:rPr>
          <w:rFonts w:eastAsia="맑은 고딕" w:cs="맑은 고딕" w:ascii="맑은 고딕" w:hAnsi="맑은 고딕"/>
          <w:b/>
          <w:bCs/>
          <w:color w:val="2E74B5"/>
          <w:sz w:val="24"/>
          <w:szCs w:val="24"/>
        </w:rPr>
        <w:t>(</w:t>
      </w:r>
      <w:r>
        <w:rPr>
          <w:rFonts w:ascii="맑은 고딕" w:hAnsi="맑은 고딕" w:cs="맑은 고딕"/>
          <w:b/>
          <w:bCs/>
          <w:color w:val="2E74B5"/>
          <w:sz w:val="24"/>
          <w:szCs w:val="24"/>
        </w:rPr>
        <w:t>순서</w:t>
      </w:r>
      <w:r>
        <w:rPr>
          <w:rFonts w:eastAsia="맑은 고딕" w:cs="맑은 고딕" w:ascii="맑은 고딕" w:hAnsi="맑은 고딕"/>
          <w:b/>
          <w:bCs/>
          <w:color w:val="2E74B5"/>
          <w:sz w:val="24"/>
          <w:szCs w:val="24"/>
        </w:rPr>
        <w:t xml:space="preserve">) </w:t>
      </w:r>
      <w:r>
        <w:rPr>
          <w:rFonts w:ascii="맑은 고딕" w:hAnsi="맑은 고딕" w:cs="맑은 고딕"/>
          <w:b/>
          <w:bCs/>
          <w:color w:val="2E74B5"/>
          <w:sz w:val="24"/>
          <w:szCs w:val="24"/>
        </w:rPr>
        <w:t>가정의 한계</w:t>
      </w:r>
    </w:p>
    <w:p>
      <w:pPr>
        <w:pStyle w:val="Normal"/>
        <w:spacing w:lineRule="auto" w:line="300" w:before="0" w:after="140"/>
        <w:rPr/>
      </w:pPr>
      <w:r>
        <w:rPr>
          <w:rFonts w:eastAsia="맑은 고딕" w:cs="맑은 고딕" w:ascii="맑은 고딕" w:hAnsi="맑은 고딕"/>
          <w:sz w:val="21"/>
          <w:szCs w:val="21"/>
        </w:rPr>
        <w:t>AcceptedCmp1</w:t>
      </w:r>
      <w:r>
        <w:rPr>
          <w:rFonts w:ascii="맑은 고딕" w:hAnsi="맑은 고딕" w:cs="맑은 고딕"/>
          <w:sz w:val="21"/>
          <w:szCs w:val="21"/>
        </w:rPr>
        <w:t>～</w:t>
      </w:r>
      <w:r>
        <w:rPr>
          <w:rFonts w:eastAsia="맑은 고딕" w:cs="맑은 고딕" w:ascii="맑은 고딕" w:hAnsi="맑은 고딕"/>
          <w:sz w:val="21"/>
          <w:szCs w:val="21"/>
        </w:rPr>
        <w:t xml:space="preserve">5 </w:t>
      </w:r>
      <w:r>
        <w:rPr>
          <w:rFonts w:ascii="맑은 고딕" w:hAnsi="맑은 고딕" w:cs="맑은 고딕"/>
          <w:sz w:val="21"/>
          <w:szCs w:val="21"/>
        </w:rPr>
        <w:t>컬럼 순서가 실제 캠페인 집행 순서와 일치한다는 보장이 없다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Cmp3→Cmp4 </w:t>
      </w:r>
      <w:r>
        <w:rPr>
          <w:rFonts w:ascii="맑은 고딕" w:hAnsi="맑은 고딕" w:cs="맑은 고딕"/>
          <w:sz w:val="21"/>
          <w:szCs w:val="21"/>
        </w:rPr>
        <w:t>구간에서 라그 방향이 반전되는 현상</w:t>
      </w:r>
      <w:r>
        <w:rPr>
          <w:rFonts w:eastAsia="맑은 고딕" w:cs="맑은 고딕" w:ascii="맑은 고딕" w:hAnsi="맑은 고딕"/>
          <w:sz w:val="21"/>
          <w:szCs w:val="21"/>
        </w:rPr>
        <w:t xml:space="preserve">(Cmp3 </w:t>
      </w:r>
      <w:r>
        <w:rPr>
          <w:rFonts w:ascii="맑은 고딕" w:hAnsi="맑은 고딕" w:cs="맑은 고딕"/>
          <w:sz w:val="21"/>
          <w:szCs w:val="21"/>
        </w:rPr>
        <w:t xml:space="preserve">수락자의 </w:t>
      </w:r>
      <w:r>
        <w:rPr>
          <w:rFonts w:eastAsia="맑은 고딕" w:cs="맑은 고딕" w:ascii="맑은 고딕" w:hAnsi="맑은 고딕"/>
          <w:sz w:val="21"/>
          <w:szCs w:val="21"/>
        </w:rPr>
        <w:t xml:space="preserve">Cmp4 </w:t>
      </w:r>
      <w:r>
        <w:rPr>
          <w:rFonts w:ascii="맑은 고딕" w:hAnsi="맑은 고딕" w:cs="맑은 고딕"/>
          <w:sz w:val="21"/>
          <w:szCs w:val="21"/>
        </w:rPr>
        <w:t xml:space="preserve">수락률 </w:t>
      </w:r>
      <w:r>
        <w:rPr>
          <w:rFonts w:eastAsia="맑은 고딕" w:cs="맑은 고딕" w:ascii="맑은 고딕" w:hAnsi="맑은 고딕"/>
          <w:sz w:val="21"/>
          <w:szCs w:val="21"/>
        </w:rPr>
        <w:t>0%)</w:t>
      </w:r>
      <w:r>
        <w:rPr>
          <w:rFonts w:ascii="맑은 고딕" w:hAnsi="맑은 고딕" w:cs="맑은 고딕"/>
          <w:sz w:val="21"/>
          <w:szCs w:val="21"/>
        </w:rPr>
        <w:t>이 관찰되어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이 가정 자체가 틀렸을 가능성을 시사한다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H4 </w:t>
      </w:r>
      <w:r>
        <w:rPr>
          <w:rFonts w:ascii="맑은 고딕" w:hAnsi="맑은 고딕" w:cs="맑은 고딕"/>
          <w:sz w:val="21"/>
          <w:szCs w:val="21"/>
        </w:rPr>
        <w:t>분석 결과와 함께 해석에 주의가 필요하다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p>
      <w:pPr>
        <w:pStyle w:val="Heading1"/>
        <w:pBdr>
          <w:bottom w:val="single" w:sz="8" w:space="4" w:color="1F3864"/>
        </w:pBdr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0"/>
          <w:szCs w:val="30"/>
        </w:rPr>
        <w:t xml:space="preserve">5. </w:t>
      </w:r>
      <w:r>
        <w:rPr>
          <w:rFonts w:ascii="맑은 고딕" w:hAnsi="맑은 고딕" w:cs="맑은 고딕"/>
          <w:b/>
          <w:bCs/>
          <w:color w:val="1F3864"/>
          <w:sz w:val="30"/>
          <w:szCs w:val="30"/>
        </w:rPr>
        <w:t>가설 검증 결과</w:t>
      </w:r>
    </w:p>
    <w:tbl>
      <w:tblPr>
        <w:tblW w:w="110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899"/>
        <w:gridCol w:w="3200"/>
        <w:gridCol w:w="2601"/>
        <w:gridCol w:w="2999"/>
        <w:gridCol w:w="1301"/>
      </w:tblGrid>
      <w:tr>
        <w:trPr>
          <w:tblHeader w:val="true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가설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판정기준</w:t>
            </w:r>
          </w:p>
        </w:tc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결과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판정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H1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참여이력이 있으면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Response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오즈가 유의하게 높다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OR&gt;1, p&lt;.05</w:t>
            </w:r>
          </w:p>
        </w:tc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OR=7.54 (95% CI 5.81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～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9.79)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D3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성립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H2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참여도 프록시 통제 후에도 효과 일부 잔존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유의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+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잔존율≥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무보정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OR 7.54 →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통제후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OR 3.85 (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잔존율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51.1%)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성립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경계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H3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관련성이 특정 고객 특성과 결합해 더 강하게 나타난다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세그먼트간 격차비율≥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1.5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배</w:t>
            </w:r>
          </w:p>
        </w:tc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최대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gap 39.9%p /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최소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gap 8.4%p (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비율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4.76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배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D3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성립</w:t>
            </w:r>
          </w:p>
        </w:tc>
      </w:tr>
      <w:tr>
        <w:trPr>
          <w:cantSplit w:val="true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H4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직전 캠페인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(Cmp5)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이 최근성 효과로 가장 강한 개별 계수를 갖는다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Cmp5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계수가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5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개 중 최댓값</w:t>
            </w:r>
          </w:p>
        </w:tc>
        <w:tc>
          <w:tcPr>
            <w:tcW w:w="2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1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위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=AcceptedCmp3 (OR 6.52) Cmp5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는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2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위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(OR 4.91)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CCCC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기각</w:t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p>
      <w:pPr>
        <w:pStyle w:val="Normal"/>
        <w:spacing w:lineRule="auto" w:line="300" w:before="0" w:after="140"/>
        <w:rPr/>
      </w:pPr>
      <w:r>
        <w:rPr>
          <w:rFonts w:eastAsia="맑은 고딕" w:cs="맑은 고딕" w:ascii="맑은 고딕" w:hAnsi="맑은 고딕"/>
          <w:color w:val="666666"/>
          <w:sz w:val="20"/>
          <w:szCs w:val="20"/>
        </w:rPr>
        <w:t>H2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는 잔존율 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51.1%</w:t>
      </w:r>
      <w:r>
        <w:rPr>
          <w:rFonts w:ascii="맑은 고딕" w:hAnsi="맑은 고딕" w:cs="맑은 고딕"/>
          <w:color w:val="666666"/>
          <w:sz w:val="20"/>
          <w:szCs w:val="20"/>
        </w:rPr>
        <w:t>로 판정기준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(50%)</w:t>
      </w:r>
      <w:r>
        <w:rPr>
          <w:rFonts w:ascii="맑은 고딕" w:hAnsi="맑은 고딕" w:cs="맑은 고딕"/>
          <w:color w:val="666666"/>
          <w:sz w:val="20"/>
          <w:szCs w:val="20"/>
        </w:rPr>
        <w:t>을 근소하게 넘는 경계 사례다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 xml:space="preserve">. </w:t>
      </w:r>
      <w:r>
        <w:rPr>
          <w:rFonts w:ascii="맑은 고딕" w:hAnsi="맑은 고딕" w:cs="맑은 고딕"/>
          <w:color w:val="666666"/>
          <w:sz w:val="20"/>
          <w:szCs w:val="20"/>
        </w:rPr>
        <w:t>참여도 프록시가 연관성의 절반가량을 설명하므로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, "</w:t>
      </w:r>
      <w:r>
        <w:rPr>
          <w:rFonts w:ascii="맑은 고딕" w:hAnsi="맑은 고딕" w:cs="맑은 고딕"/>
          <w:color w:val="666666"/>
          <w:sz w:val="20"/>
          <w:szCs w:val="20"/>
        </w:rPr>
        <w:t>편향이 있다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"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는 결론과 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"</w:t>
      </w:r>
      <w:r>
        <w:rPr>
          <w:rFonts w:ascii="맑은 고딕" w:hAnsi="맑은 고딕" w:cs="맑은 고딕"/>
          <w:color w:val="666666"/>
          <w:sz w:val="20"/>
          <w:szCs w:val="20"/>
        </w:rPr>
        <w:t>편향만으로는 설명 안 되는 부분이 남는다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"</w:t>
      </w:r>
      <w:r>
        <w:rPr>
          <w:rFonts w:ascii="맑은 고딕" w:hAnsi="맑은 고딕" w:cs="맑은 고딕"/>
          <w:color w:val="666666"/>
          <w:sz w:val="20"/>
          <w:szCs w:val="20"/>
        </w:rPr>
        <w:t>는 결론이 동시에 성립한다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.</w:t>
      </w:r>
    </w:p>
    <w:p>
      <w:pPr>
        <w:pStyle w:val="Normal"/>
        <w:spacing w:lineRule="auto" w:line="300" w:before="0" w:after="140"/>
        <w:rPr/>
      </w:pPr>
      <w:r>
        <w:rPr>
          <w:rFonts w:eastAsia="맑은 고딕" w:cs="맑은 고딕" w:ascii="맑은 고딕" w:hAnsi="맑은 고딕"/>
          <w:color w:val="666666"/>
          <w:sz w:val="20"/>
          <w:szCs w:val="20"/>
        </w:rPr>
        <w:t>H4</w:t>
      </w:r>
      <w:r>
        <w:rPr>
          <w:rFonts w:ascii="맑은 고딕" w:hAnsi="맑은 고딕" w:cs="맑은 고딕"/>
          <w:color w:val="666666"/>
          <w:sz w:val="20"/>
          <w:szCs w:val="20"/>
        </w:rPr>
        <w:t>는 기각되었고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, 1</w:t>
      </w:r>
      <w:r>
        <w:rPr>
          <w:rFonts w:ascii="맑은 고딕" w:hAnsi="맑은 고딕" w:cs="맑은 고딕"/>
          <w:color w:val="666666"/>
          <w:sz w:val="20"/>
          <w:szCs w:val="20"/>
        </w:rPr>
        <w:t>위 캠페인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(Cmp3)</w:t>
      </w:r>
      <w:r>
        <w:rPr>
          <w:rFonts w:ascii="맑은 고딕" w:hAnsi="맑은 고딕" w:cs="맑은 고딕"/>
          <w:color w:val="666666"/>
          <w:sz w:val="20"/>
          <w:szCs w:val="20"/>
        </w:rPr>
        <w:t>이 라그 방향반전 구간과 겹쳐 순서 가정의 문제를 재확인시켜 준다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 xml:space="preserve">. 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따라서 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"</w:t>
      </w:r>
      <w:r>
        <w:rPr>
          <w:rFonts w:ascii="맑은 고딕" w:hAnsi="맑은 고딕" w:cs="맑은 고딕"/>
          <w:color w:val="666666"/>
          <w:sz w:val="20"/>
          <w:szCs w:val="20"/>
        </w:rPr>
        <w:t>최근성 효과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"</w:t>
      </w:r>
      <w:r>
        <w:rPr>
          <w:rFonts w:ascii="맑은 고딕" w:hAnsi="맑은 고딕" w:cs="맑은 고딕"/>
          <w:color w:val="666666"/>
          <w:sz w:val="20"/>
          <w:szCs w:val="20"/>
        </w:rPr>
        <w:t xml:space="preserve">로 서술하지 않고 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"</w:t>
      </w:r>
      <w:r>
        <w:rPr>
          <w:rFonts w:ascii="맑은 고딕" w:hAnsi="맑은 고딕" w:cs="맑은 고딕"/>
          <w:color w:val="666666"/>
          <w:sz w:val="20"/>
          <w:szCs w:val="20"/>
        </w:rPr>
        <w:t>일부 캠페인의 강한 개별 연관성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666666"/>
          <w:sz w:val="20"/>
          <w:szCs w:val="20"/>
        </w:rPr>
        <w:t>원인 불명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"</w:t>
      </w:r>
      <w:r>
        <w:rPr>
          <w:rFonts w:ascii="맑은 고딕" w:hAnsi="맑은 고딕" w:cs="맑은 고딕"/>
          <w:color w:val="666666"/>
          <w:sz w:val="20"/>
          <w:szCs w:val="20"/>
        </w:rPr>
        <w:t>으로 보고한다</w:t>
      </w:r>
      <w:r>
        <w:rPr>
          <w:rFonts w:eastAsia="맑은 고딕" w:cs="맑은 고딕" w:ascii="맑은 고딕" w:hAnsi="맑은 고딕"/>
          <w:color w:val="666666"/>
          <w:sz w:val="20"/>
          <w:szCs w:val="20"/>
        </w:rPr>
        <w:t>.</w:t>
      </w:r>
    </w:p>
    <w:p>
      <w:pPr>
        <w:pStyle w:val="Heading1"/>
        <w:pBdr>
          <w:bottom w:val="single" w:sz="8" w:space="4" w:color="1F3864"/>
        </w:pBdr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0"/>
          <w:szCs w:val="30"/>
        </w:rPr>
        <w:t xml:space="preserve">6. </w:t>
      </w:r>
      <w:r>
        <w:rPr>
          <w:rFonts w:ascii="맑은 고딕" w:hAnsi="맑은 고딕" w:cs="맑은 고딕"/>
          <w:b/>
          <w:bCs/>
          <w:color w:val="1F3864"/>
          <w:sz w:val="30"/>
          <w:szCs w:val="30"/>
        </w:rPr>
        <w:t>세그먼트별 이질성 분석</w:t>
      </w:r>
    </w:p>
    <w:p>
      <w:pPr>
        <w:pStyle w:val="Heading2"/>
        <w:spacing w:before="300" w:after="120"/>
        <w:rPr/>
      </w:pPr>
      <w:r>
        <w:rPr>
          <w:rFonts w:eastAsia="맑은 고딕" w:cs="맑은 고딕" w:ascii="맑은 고딕" w:hAnsi="맑은 고딕"/>
          <w:b/>
          <w:bCs/>
          <w:color w:val="2E74B5"/>
          <w:sz w:val="24"/>
          <w:szCs w:val="24"/>
        </w:rPr>
        <w:t xml:space="preserve">6.1 </w:t>
      </w:r>
      <w:r>
        <w:rPr>
          <w:rFonts w:ascii="맑은 고딕" w:hAnsi="맑은 고딕" w:cs="맑은 고딕"/>
          <w:b/>
          <w:bCs/>
          <w:color w:val="2E74B5"/>
          <w:sz w:val="24"/>
          <w:szCs w:val="24"/>
        </w:rPr>
        <w:t>클러스터링 방법론</w:t>
      </w:r>
    </w:p>
    <w:p>
      <w:pPr>
        <w:pStyle w:val="Normal"/>
        <w:spacing w:lineRule="auto" w:line="300" w:before="0" w:after="140"/>
        <w:rPr/>
      </w:pPr>
      <w:r>
        <w:rPr>
          <w:rFonts w:ascii="맑은 고딕" w:hAnsi="맑은 고딕" w:cs="맑은 고딕"/>
          <w:sz w:val="21"/>
          <w:szCs w:val="21"/>
        </w:rPr>
        <w:t>인구통계</w:t>
      </w:r>
      <w:r>
        <w:rPr>
          <w:rFonts w:eastAsia="맑은 고딕" w:cs="맑은 고딕" w:ascii="맑은 고딕" w:hAnsi="맑은 고딕"/>
          <w:sz w:val="21"/>
          <w:szCs w:val="21"/>
        </w:rPr>
        <w:t>·</w:t>
      </w:r>
      <w:r>
        <w:rPr>
          <w:rFonts w:ascii="맑은 고딕" w:hAnsi="맑은 고딕" w:cs="맑은 고딕"/>
          <w:sz w:val="21"/>
          <w:szCs w:val="21"/>
        </w:rPr>
        <w:t xml:space="preserve">행동 피처 </w:t>
      </w:r>
      <w:r>
        <w:rPr>
          <w:rFonts w:eastAsia="맑은 고딕" w:cs="맑은 고딕" w:ascii="맑은 고딕" w:hAnsi="맑은 고딕"/>
          <w:sz w:val="21"/>
          <w:szCs w:val="21"/>
        </w:rPr>
        <w:t>8</w:t>
      </w:r>
      <w:r>
        <w:rPr>
          <w:rFonts w:ascii="맑은 고딕" w:hAnsi="맑은 고딕" w:cs="맑은 고딕"/>
          <w:sz w:val="21"/>
          <w:szCs w:val="21"/>
        </w:rPr>
        <w:t>개</w:t>
      </w:r>
      <w:r>
        <w:rPr>
          <w:rFonts w:eastAsia="맑은 고딕" w:cs="맑은 고딕" w:ascii="맑은 고딕" w:hAnsi="맑은 고딕"/>
          <w:sz w:val="21"/>
          <w:szCs w:val="21"/>
        </w:rPr>
        <w:t>(</w:t>
      </w:r>
      <w:r>
        <w:rPr>
          <w:rFonts w:ascii="맑은 고딕" w:hAnsi="맑은 고딕" w:cs="맑은 고딕"/>
          <w:sz w:val="21"/>
          <w:szCs w:val="21"/>
        </w:rPr>
        <w:t>연령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소득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자녀수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최근성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총지출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총구매횟수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웹방문수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딜구매횟수</w:t>
      </w:r>
      <w:r>
        <w:rPr>
          <w:rFonts w:eastAsia="맑은 고딕" w:cs="맑은 고딕" w:ascii="맑은 고딕" w:hAnsi="맑은 고딕"/>
          <w:sz w:val="21"/>
          <w:szCs w:val="21"/>
        </w:rPr>
        <w:t>)</w:t>
      </w:r>
      <w:r>
        <w:rPr>
          <w:rFonts w:ascii="맑은 고딕" w:hAnsi="맑은 고딕" w:cs="맑은 고딕"/>
          <w:sz w:val="21"/>
          <w:szCs w:val="21"/>
        </w:rPr>
        <w:t>를 표준화</w:t>
      </w:r>
      <w:r>
        <w:rPr>
          <w:rFonts w:eastAsia="맑은 고딕" w:cs="맑은 고딕" w:ascii="맑은 고딕" w:hAnsi="맑은 고딕"/>
          <w:sz w:val="21"/>
          <w:szCs w:val="21"/>
        </w:rPr>
        <w:t>(z-score)</w:t>
      </w:r>
      <w:r>
        <w:rPr>
          <w:rFonts w:ascii="맑은 고딕" w:hAnsi="맑은 고딕" w:cs="맑은 고딕"/>
          <w:sz w:val="21"/>
          <w:szCs w:val="21"/>
        </w:rPr>
        <w:t>한 뒤</w:t>
      </w:r>
      <w:r>
        <w:rPr>
          <w:rFonts w:eastAsia="맑은 고딕" w:cs="맑은 고딕" w:ascii="맑은 고딕" w:hAnsi="맑은 고딕"/>
          <w:sz w:val="21"/>
          <w:szCs w:val="21"/>
        </w:rPr>
        <w:t>, 8</w:t>
      </w:r>
      <w:r>
        <w:rPr>
          <w:rFonts w:ascii="맑은 고딕" w:hAnsi="맑은 고딕" w:cs="맑은 고딕"/>
          <w:sz w:val="21"/>
          <w:szCs w:val="21"/>
        </w:rPr>
        <w:t xml:space="preserve">차원 공간에서 </w:t>
      </w:r>
      <w:r>
        <w:rPr>
          <w:rFonts w:eastAsia="맑은 고딕" w:cs="맑은 고딕" w:ascii="맑은 고딕" w:hAnsi="맑은 고딕"/>
          <w:sz w:val="21"/>
          <w:szCs w:val="21"/>
        </w:rPr>
        <w:t>K-means(K=4)</w:t>
      </w:r>
      <w:r>
        <w:rPr>
          <w:rFonts w:ascii="맑은 고딕" w:hAnsi="맑은 고딕" w:cs="맑은 고딕"/>
          <w:sz w:val="21"/>
          <w:szCs w:val="21"/>
        </w:rPr>
        <w:t>로 세그먼트를 기계적으로 도출했다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>세그먼트는 소득이나 참여율 같은 특정 기준을 미리 정해 나눈 것이 아니라</w:t>
      </w:r>
      <w:r>
        <w:rPr>
          <w:rFonts w:eastAsia="맑은 고딕" w:cs="맑은 고딕" w:ascii="맑은 고딕" w:hAnsi="맑은 고딕"/>
          <w:sz w:val="21"/>
          <w:szCs w:val="21"/>
        </w:rPr>
        <w:t>, 8</w:t>
      </w:r>
      <w:r>
        <w:rPr>
          <w:rFonts w:ascii="맑은 고딕" w:hAnsi="맑은 고딕" w:cs="맑은 고딕"/>
          <w:sz w:val="21"/>
          <w:szCs w:val="21"/>
        </w:rPr>
        <w:t>개 피처 전체를 동시에 고려해 거리가 가까운 고객끼리 알고리즘이 묶은 결과다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p>
      <w:pPr>
        <w:pStyle w:val="Normal"/>
        <w:spacing w:lineRule="auto" w:line="300" w:before="0" w:after="140"/>
        <w:rPr/>
      </w:pPr>
      <w:r>
        <w:rPr>
          <w:rFonts w:ascii="맑은 고딕" w:hAnsi="맑은 고딕" w:cs="맑은 고딕"/>
          <w:sz w:val="21"/>
          <w:szCs w:val="21"/>
        </w:rPr>
        <w:t>참여이력</w:t>
      </w:r>
      <w:r>
        <w:rPr>
          <w:rFonts w:eastAsia="맑은 고딕" w:cs="맑은 고딕" w:ascii="맑은 고딕" w:hAnsi="맑은 고딕"/>
          <w:sz w:val="21"/>
          <w:szCs w:val="21"/>
        </w:rPr>
        <w:t>(AnyAccepted)</w:t>
      </w:r>
      <w:r>
        <w:rPr>
          <w:rFonts w:ascii="맑은 고딕" w:hAnsi="맑은 고딕" w:cs="맑은 고딕"/>
          <w:sz w:val="21"/>
          <w:szCs w:val="21"/>
        </w:rPr>
        <w:t xml:space="preserve">과 </w:t>
      </w:r>
      <w:r>
        <w:rPr>
          <w:rFonts w:eastAsia="맑은 고딕" w:cs="맑은 고딕" w:ascii="맑은 고딕" w:hAnsi="맑은 고딕"/>
          <w:sz w:val="21"/>
          <w:szCs w:val="21"/>
        </w:rPr>
        <w:t>Response</w:t>
      </w:r>
      <w:r>
        <w:rPr>
          <w:rFonts w:ascii="맑은 고딕" w:hAnsi="맑은 고딕" w:cs="맑은 고딕"/>
          <w:sz w:val="21"/>
          <w:szCs w:val="21"/>
        </w:rPr>
        <w:t>는 결과 유출을 방지하기 위해 클러스터링 입력에서 제외했다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>두 변수는 세그먼트가 확정된 이후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각 세그먼트의 반응 패턴을 확인하는 사후 프로파일링에만 사용했다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>아래 세그먼트 이름은 각 그룹에서 실제로 값이 크게 벌어진</w:t>
      </w:r>
      <w:r>
        <w:rPr>
          <w:rFonts w:eastAsia="맑은 고딕" w:cs="맑은 고딕" w:ascii="맑은 고딕" w:hAnsi="맑은 고딕"/>
          <w:sz w:val="21"/>
          <w:szCs w:val="21"/>
        </w:rPr>
        <w:t xml:space="preserve">(|z-score|&gt;0.5) </w:t>
      </w:r>
      <w:r>
        <w:rPr>
          <w:rFonts w:ascii="맑은 고딕" w:hAnsi="맑은 고딕" w:cs="맑은 고딕"/>
          <w:sz w:val="21"/>
          <w:szCs w:val="21"/>
        </w:rPr>
        <w:t>피처를 기준으로 사후에 붙인 요약 명칭이며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참여율은 이름 결정에 사용하지 않았다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p>
      <w:pPr>
        <w:pStyle w:val="Normal"/>
        <w:pBdr>
          <w:left w:val="single" w:sz="24" w:space="8" w:color="2E74B5"/>
        </w:pBdr>
        <w:shd w:val="clear" w:fill="F2F2F2"/>
        <w:spacing w:before="100" w:after="200"/>
        <w:ind w:start="200"/>
        <w:rPr/>
      </w:pP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주의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 xml:space="preserve">: 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세그먼트 간 분리도는 균일하지 않다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 xml:space="preserve">. 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클러스터 중심 간 유클리드 거리는 Ⅰ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-Ⅱ 3.88(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가장 이질적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)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부터 Ⅰ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-Ⅲ 1.93(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가장 유사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)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까지 폭넓게 분포한다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 xml:space="preserve">. 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 xml:space="preserve">실루엣 계수는 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K=2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에서 가장 높아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(0.30), K=4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 xml:space="preserve">는 해석 가능한 스토리를 위한 선택이지 데이터가 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4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개 군집을 강하게 요구하는 것은 아니다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.</w:t>
      </w:r>
    </w:p>
    <w:p>
      <w:pPr>
        <w:pStyle w:val="Heading2"/>
        <w:spacing w:before="300" w:after="120"/>
        <w:rPr/>
      </w:pPr>
      <w:r>
        <w:rPr>
          <w:rFonts w:eastAsia="맑은 고딕" w:cs="맑은 고딕" w:ascii="맑은 고딕" w:hAnsi="맑은 고딕"/>
          <w:b/>
          <w:bCs/>
          <w:color w:val="2E74B5"/>
          <w:sz w:val="24"/>
          <w:szCs w:val="24"/>
        </w:rPr>
        <w:t xml:space="preserve">6.2 </w:t>
      </w:r>
      <w:r>
        <w:rPr>
          <w:rFonts w:ascii="맑은 고딕" w:hAnsi="맑은 고딕" w:cs="맑은 고딕"/>
          <w:b/>
          <w:bCs/>
          <w:color w:val="2E74B5"/>
          <w:sz w:val="24"/>
          <w:szCs w:val="24"/>
        </w:rPr>
        <w:t xml:space="preserve">세그먼트 전체 프로파일 </w:t>
      </w:r>
      <w:r>
        <w:rPr>
          <w:rFonts w:eastAsia="맑은 고딕" w:cs="맑은 고딕" w:ascii="맑은 고딕" w:hAnsi="맑은 고딕"/>
          <w:b/>
          <w:bCs/>
          <w:color w:val="2E74B5"/>
          <w:sz w:val="24"/>
          <w:szCs w:val="24"/>
        </w:rPr>
        <w:t>(</w:t>
      </w:r>
      <w:r>
        <w:rPr>
          <w:rFonts w:ascii="맑은 고딕" w:hAnsi="맑은 고딕" w:cs="맑은 고딕"/>
          <w:b/>
          <w:bCs/>
          <w:color w:val="2E74B5"/>
          <w:sz w:val="24"/>
          <w:szCs w:val="24"/>
        </w:rPr>
        <w:t xml:space="preserve">클러스터링 투입 </w:t>
      </w:r>
      <w:r>
        <w:rPr>
          <w:rFonts w:eastAsia="맑은 고딕" w:cs="맑은 고딕" w:ascii="맑은 고딕" w:hAnsi="맑은 고딕"/>
          <w:b/>
          <w:bCs/>
          <w:color w:val="2E74B5"/>
          <w:sz w:val="24"/>
          <w:szCs w:val="24"/>
        </w:rPr>
        <w:t>8</w:t>
      </w:r>
      <w:r>
        <w:rPr>
          <w:rFonts w:ascii="맑은 고딕" w:hAnsi="맑은 고딕" w:cs="맑은 고딕"/>
          <w:b/>
          <w:bCs/>
          <w:color w:val="2E74B5"/>
          <w:sz w:val="24"/>
          <w:szCs w:val="24"/>
        </w:rPr>
        <w:t>개 피처</w:t>
      </w:r>
      <w:r>
        <w:rPr>
          <w:rFonts w:eastAsia="맑은 고딕" w:cs="맑은 고딕" w:ascii="맑은 고딕" w:hAnsi="맑은 고딕"/>
          <w:b/>
          <w:bCs/>
          <w:color w:val="2E74B5"/>
          <w:sz w:val="24"/>
          <w:szCs w:val="24"/>
        </w:rPr>
        <w:t>)</w:t>
      </w:r>
    </w:p>
    <w:tbl>
      <w:tblPr>
        <w:tblW w:w="89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749"/>
        <w:gridCol w:w="651"/>
        <w:gridCol w:w="850"/>
        <w:gridCol w:w="1200"/>
        <w:gridCol w:w="700"/>
        <w:gridCol w:w="699"/>
        <w:gridCol w:w="1001"/>
        <w:gridCol w:w="1150"/>
        <w:gridCol w:w="900"/>
      </w:tblGrid>
      <w:tr>
        <w:trPr>
          <w:tblHeader w:val="true"/>
        </w:trPr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7"/>
                <w:szCs w:val="17"/>
              </w:rPr>
              <w:t>세그먼트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7"/>
                <w:szCs w:val="17"/>
              </w:rPr>
              <w:t>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7"/>
                <w:szCs w:val="17"/>
              </w:rPr>
              <w:t>연령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7"/>
                <w:szCs w:val="17"/>
              </w:rPr>
              <w:t>소득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7"/>
                <w:szCs w:val="17"/>
              </w:rPr>
              <w:t>＄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7"/>
                <w:szCs w:val="17"/>
              </w:rPr>
              <w:t>자녀수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7"/>
                <w:szCs w:val="17"/>
              </w:rPr>
              <w:t>최근성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7"/>
                <w:szCs w:val="17"/>
              </w:rPr>
              <w:t>총지출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7"/>
                <w:szCs w:val="17"/>
              </w:rPr>
              <w:t>＄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7"/>
                <w:szCs w:val="17"/>
              </w:rPr>
              <w:t>총구매횟수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7"/>
                <w:szCs w:val="17"/>
              </w:rPr>
              <w:t>웹방문수</w:t>
            </w:r>
          </w:p>
        </w:tc>
      </w:tr>
      <w:tr>
        <w:trPr>
          <w:cantSplit w:val="true"/>
        </w:trPr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Ⅰ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저소득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 xml:space="preserve">저구매형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웹방문 잦음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젊음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)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578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36.9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세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30,686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47.3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109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6.8</w:t>
            </w:r>
          </w:p>
        </w:tc>
      </w:tr>
      <w:tr>
        <w:trPr>
          <w:cantSplit w:val="true"/>
        </w:trPr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Ⅱ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고소득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 xml:space="preserve">고지출형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웹방문 적음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)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615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46.7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세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74,869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49.1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1,273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19.0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2.9</w:t>
            </w:r>
          </w:p>
        </w:tc>
      </w:tr>
      <w:tr>
        <w:trPr>
          <w:cantSplit w:val="true"/>
        </w:trPr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Ⅲ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자녀다수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 xml:space="preserve">저구매형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중저소득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)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407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51.3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세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42,220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51.8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125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5.8</w:t>
            </w:r>
          </w:p>
        </w:tc>
      </w:tr>
      <w:tr>
        <w:trPr>
          <w:cantSplit w:val="true"/>
        </w:trPr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Ⅳ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딜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/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프로모션 민감형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436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48.1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7"/>
                <w:szCs w:val="17"/>
              </w:rPr>
              <w:t>세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57,309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48.9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773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17.5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7"/>
                <w:szCs w:val="17"/>
              </w:rPr>
              <w:t>6.3</w:t>
            </w:r>
          </w:p>
        </w:tc>
      </w:tr>
    </w:tbl>
    <w:p>
      <w:pPr>
        <w:pStyle w:val="Normal"/>
        <w:spacing w:before="150" w:after="100"/>
        <w:rPr/>
      </w:pPr>
      <w:r>
        <w:rPr/>
      </w:r>
    </w:p>
    <w:tbl>
      <w:tblPr>
        <w:tblW w:w="89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299"/>
        <w:gridCol w:w="1650"/>
        <w:gridCol w:w="1650"/>
        <w:gridCol w:w="1650"/>
        <w:gridCol w:w="1651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Ⅰ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저소득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저구매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Ⅱ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고소득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고지출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Ⅲ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자녀다수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Ⅳ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딜민감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딜구매횟수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평균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)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1.8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2.3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4.8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AnyAccepted=1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비율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9.0%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38.0%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7.6%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24.3%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Response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비율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11.6%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25.2%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5.4%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15.8%</w:t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맑은 고딕" w:cs="맑은 고딕" w:ascii="맑은 고딕" w:hAnsi="맑은 고딕"/>
          <w:b/>
          <w:bCs/>
          <w:color w:val="2E74B5"/>
          <w:sz w:val="24"/>
          <w:szCs w:val="24"/>
        </w:rPr>
        <w:t xml:space="preserve">6.3 </w:t>
      </w:r>
      <w:r>
        <w:rPr>
          <w:rFonts w:ascii="맑은 고딕" w:hAnsi="맑은 고딕" w:cs="맑은 고딕"/>
          <w:b/>
          <w:bCs/>
          <w:color w:val="2E74B5"/>
          <w:sz w:val="24"/>
          <w:szCs w:val="24"/>
        </w:rPr>
        <w:t>세그먼트별 실제 판별 근거</w:t>
      </w:r>
    </w:p>
    <w:p>
      <w:pPr>
        <w:pStyle w:val="Normal"/>
        <w:spacing w:lineRule="auto" w:line="300" w:before="0" w:after="140"/>
        <w:rPr/>
      </w:pPr>
      <w:r>
        <w:rPr>
          <w:rFonts w:ascii="맑은 고딕" w:hAnsi="맑은 고딕" w:cs="맑은 고딕"/>
          <w:sz w:val="21"/>
          <w:szCs w:val="21"/>
        </w:rPr>
        <w:t>아래는 각 세그먼트를 실제로 갈라낸 피처를 표준화 값</w:t>
      </w:r>
      <w:r>
        <w:rPr>
          <w:rFonts w:eastAsia="맑은 고딕" w:cs="맑은 고딕" w:ascii="맑은 고딕" w:hAnsi="맑은 고딕"/>
          <w:sz w:val="21"/>
          <w:szCs w:val="21"/>
        </w:rPr>
        <w:t xml:space="preserve">(z-score) </w:t>
      </w:r>
      <w:r>
        <w:rPr>
          <w:rFonts w:ascii="맑은 고딕" w:hAnsi="맑은 고딕" w:cs="맑은 고딕"/>
          <w:sz w:val="21"/>
          <w:szCs w:val="21"/>
        </w:rPr>
        <w:t>기준 영향력 순으로 정리한 것이다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>세그먼트 이름은 이 표를 근거로 붙였다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tbl>
      <w:tblPr>
        <w:tblW w:w="95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199"/>
        <w:gridCol w:w="8301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세그먼트</w:t>
            </w:r>
          </w:p>
        </w:tc>
        <w:tc>
          <w:tcPr>
            <w:tcW w:w="8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 xml:space="preserve">실제 판별 피처 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 xml:space="preserve">(|z-score| 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큰 순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 xml:space="preserve">클러스터링은 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8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개 피처 전체를 동시에 사용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Ⅰ</w:t>
            </w:r>
          </w:p>
        </w:tc>
        <w:tc>
          <w:tcPr>
            <w:tcW w:w="8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소득 ↓↓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(-0.99)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총구매횟수 ↓↓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(-0.89)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총지출 ↓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(-0.83)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연령 ↓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(-0.71)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웹방문수 ↑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(+0.60)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Ⅱ</w:t>
            </w:r>
          </w:p>
        </w:tc>
        <w:tc>
          <w:tcPr>
            <w:tcW w:w="8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총지출 ↑↑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(+1.11)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소득 ↑↑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(+1.06)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웹방문수 ↓↓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(-1.00)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자녀수 ↓↓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(-0.91)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총구매횟수 ↑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(+0.90)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딜구매 ↓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(-0.59)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Ⅲ</w:t>
            </w:r>
          </w:p>
        </w:tc>
        <w:tc>
          <w:tcPr>
            <w:tcW w:w="8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자녀수 ↑↑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(+1.13)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총구매횟수 ↓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(-0.82)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총지출 ↓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(-0.80)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연령 ↑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(+0.53)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Ⅳ</w:t>
            </w:r>
          </w:p>
        </w:tc>
        <w:tc>
          <w:tcPr>
            <w:tcW w:w="8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딜구매횟수 ↑↑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(+1.25) ·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총구매횟수 ↑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(+0.68)</w:t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p>
      <w:pPr>
        <w:pStyle w:val="Normal"/>
        <w:spacing w:lineRule="auto" w:line="300" w:before="0" w:after="140"/>
        <w:rPr/>
      </w:pPr>
      <w:r>
        <w:rPr>
          <w:rFonts w:ascii="맑은 고딕" w:hAnsi="맑은 고딕" w:cs="맑은 고딕"/>
          <w:sz w:val="21"/>
          <w:szCs w:val="21"/>
        </w:rPr>
        <w:t xml:space="preserve">세그먼트 Ⅱ는 </w:t>
      </w:r>
      <w:r>
        <w:rPr>
          <w:rFonts w:eastAsia="맑은 고딕" w:cs="맑은 고딕" w:ascii="맑은 고딕" w:hAnsi="맑은 고딕"/>
          <w:sz w:val="21"/>
          <w:szCs w:val="21"/>
        </w:rPr>
        <w:t xml:space="preserve">AnyAccepted=1 </w:t>
      </w:r>
      <w:r>
        <w:rPr>
          <w:rFonts w:ascii="맑은 고딕" w:hAnsi="맑은 고딕" w:cs="맑은 고딕"/>
          <w:sz w:val="21"/>
          <w:szCs w:val="21"/>
        </w:rPr>
        <w:t xml:space="preserve">비율이 </w:t>
      </w:r>
      <w:r>
        <w:rPr>
          <w:rFonts w:eastAsia="맑은 고딕" w:cs="맑은 고딕" w:ascii="맑은 고딕" w:hAnsi="맑은 고딕"/>
          <w:sz w:val="21"/>
          <w:szCs w:val="21"/>
        </w:rPr>
        <w:t>38.0%</w:t>
      </w:r>
      <w:r>
        <w:rPr>
          <w:rFonts w:ascii="맑은 고딕" w:hAnsi="맑은 고딕" w:cs="맑은 고딕"/>
          <w:sz w:val="21"/>
          <w:szCs w:val="21"/>
        </w:rPr>
        <w:t>로 가장 높게 관찰되지만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이는 클러스터링 결과 나타난 특성이지 클러스터를 나눈 기준이 아니다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>세그먼트 Ⅱ를 실제로 규정하는 것은 총지출</w:t>
      </w:r>
      <w:r>
        <w:rPr>
          <w:rFonts w:eastAsia="맑은 고딕" w:cs="맑은 고딕" w:ascii="맑은 고딕" w:hAnsi="맑은 고딕"/>
          <w:sz w:val="21"/>
          <w:szCs w:val="21"/>
        </w:rPr>
        <w:t>·</w:t>
      </w:r>
      <w:r>
        <w:rPr>
          <w:rFonts w:ascii="맑은 고딕" w:hAnsi="맑은 고딕" w:cs="맑은 고딕"/>
          <w:sz w:val="21"/>
          <w:szCs w:val="21"/>
        </w:rPr>
        <w:t>소득</w:t>
      </w:r>
      <w:r>
        <w:rPr>
          <w:rFonts w:eastAsia="맑은 고딕" w:cs="맑은 고딕" w:ascii="맑은 고딕" w:hAnsi="맑은 고딕"/>
          <w:sz w:val="21"/>
          <w:szCs w:val="21"/>
        </w:rPr>
        <w:t>·</w:t>
      </w:r>
      <w:r>
        <w:rPr>
          <w:rFonts w:ascii="맑은 고딕" w:hAnsi="맑은 고딕" w:cs="맑은 고딕"/>
          <w:sz w:val="21"/>
          <w:szCs w:val="21"/>
        </w:rPr>
        <w:t>낮은 웹방문수</w:t>
      </w:r>
      <w:r>
        <w:rPr>
          <w:rFonts w:eastAsia="맑은 고딕" w:cs="맑은 고딕" w:ascii="맑은 고딕" w:hAnsi="맑은 고딕"/>
          <w:sz w:val="21"/>
          <w:szCs w:val="21"/>
        </w:rPr>
        <w:t>·</w:t>
      </w:r>
      <w:r>
        <w:rPr>
          <w:rFonts w:ascii="맑은 고딕" w:hAnsi="맑은 고딕" w:cs="맑은 고딕"/>
          <w:sz w:val="21"/>
          <w:szCs w:val="21"/>
        </w:rPr>
        <w:t>적은 자녀수다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>세그먼트 Ⅳ는 딜구매횟수</w:t>
      </w:r>
      <w:r>
        <w:rPr>
          <w:rFonts w:eastAsia="맑은 고딕" w:cs="맑은 고딕" w:ascii="맑은 고딕" w:hAnsi="맑은 고딕"/>
          <w:sz w:val="21"/>
          <w:szCs w:val="21"/>
        </w:rPr>
        <w:t>(</w:t>
      </w:r>
      <w:r>
        <w:rPr>
          <w:rFonts w:ascii="맑은 고딕" w:hAnsi="맑은 고딕" w:cs="맑은 고딕"/>
          <w:sz w:val="21"/>
          <w:szCs w:val="21"/>
        </w:rPr>
        <w:t xml:space="preserve">평균 </w:t>
      </w:r>
      <w:r>
        <w:rPr>
          <w:rFonts w:eastAsia="맑은 고딕" w:cs="맑은 고딕" w:ascii="맑은 고딕" w:hAnsi="맑은 고딕"/>
          <w:sz w:val="21"/>
          <w:szCs w:val="21"/>
        </w:rPr>
        <w:t>4.8</w:t>
      </w:r>
      <w:r>
        <w:rPr>
          <w:rFonts w:ascii="맑은 고딕" w:hAnsi="맑은 고딕" w:cs="맑은 고딕"/>
          <w:sz w:val="21"/>
          <w:szCs w:val="21"/>
        </w:rPr>
        <w:t>회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전체 중 최고</w:t>
      </w:r>
      <w:r>
        <w:rPr>
          <w:rFonts w:eastAsia="맑은 고딕" w:cs="맑은 고딕" w:ascii="맑은 고딕" w:hAnsi="맑은 고딕"/>
          <w:sz w:val="21"/>
          <w:szCs w:val="21"/>
        </w:rPr>
        <w:t>)</w:t>
      </w:r>
      <w:r>
        <w:rPr>
          <w:rFonts w:ascii="맑은 고딕" w:hAnsi="맑은 고딕" w:cs="맑은 고딕"/>
          <w:sz w:val="21"/>
          <w:szCs w:val="21"/>
        </w:rPr>
        <w:t>가 가장 두드러지는 프로모션 민감형으로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 xml:space="preserve">이전 버전에서 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중고소득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으로만 불렸던 이름은 이 핵심 특성을 반영하지 못했다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p>
      <w:pPr>
        <w:pStyle w:val="Normal"/>
        <w:spacing w:lineRule="auto" w:line="300" w:before="0" w:after="140"/>
        <w:rPr/>
      </w:pPr>
      <w:r>
        <w:rPr>
          <w:rFonts w:ascii="맑은 고딕" w:hAnsi="맑은 고딕" w:cs="맑은 고딕"/>
          <w:b/>
          <w:bCs/>
          <w:sz w:val="21"/>
          <w:szCs w:val="21"/>
        </w:rPr>
        <w:t>세그먼트 Ⅲ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(</w:t>
      </w:r>
      <w:r>
        <w:rPr>
          <w:rFonts w:ascii="맑은 고딕" w:hAnsi="맑은 고딕" w:cs="맑은 고딕"/>
          <w:b/>
          <w:bCs/>
          <w:sz w:val="21"/>
          <w:szCs w:val="21"/>
        </w:rPr>
        <w:t>자녀다수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·</w:t>
      </w:r>
      <w:r>
        <w:rPr>
          <w:rFonts w:ascii="맑은 고딕" w:hAnsi="맑은 고딕" w:cs="맑은 고딕"/>
          <w:b/>
          <w:bCs/>
          <w:sz w:val="21"/>
          <w:szCs w:val="21"/>
        </w:rPr>
        <w:t>저구매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)</w:t>
      </w:r>
      <w:r>
        <w:rPr>
          <w:rFonts w:ascii="맑은 고딕" w:hAnsi="맑은 고딕" w:cs="맑은 고딕"/>
          <w:b/>
          <w:bCs/>
          <w:sz w:val="21"/>
          <w:szCs w:val="21"/>
        </w:rPr>
        <w:t>는 참여이력 유무와 무관하게 전 구간 반응률이 가장 낮다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(4.5</w:t>
      </w:r>
      <w:r>
        <w:rPr>
          <w:rFonts w:ascii="맑은 고딕" w:hAnsi="맑은 고딕" w:cs="맑은 고딕"/>
          <w:b/>
          <w:bCs/>
          <w:sz w:val="21"/>
          <w:szCs w:val="21"/>
        </w:rPr>
        <w:t>～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12.9%).</w:t>
      </w:r>
      <w:r>
        <w:rPr>
          <w:rFonts w:eastAsia="맑은 고딕" w:cs="맑은 고딕" w:ascii="맑은 고딕" w:hAnsi="맑은 고딕"/>
          <w:sz w:val="21"/>
          <w:szCs w:val="21"/>
        </w:rPr>
        <w:t xml:space="preserve"> </w:t>
      </w:r>
      <w:r>
        <w:rPr>
          <w:rFonts w:ascii="맑은 고딕" w:hAnsi="맑은 고딕" w:cs="맑은 고딕"/>
          <w:b/>
          <w:bCs/>
          <w:sz w:val="21"/>
          <w:szCs w:val="21"/>
        </w:rPr>
        <w:t>세그먼트 Ⅰ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·Ⅱ·Ⅳ</w:t>
      </w:r>
      <w:r>
        <w:rPr>
          <w:rFonts w:ascii="맑은 고딕" w:hAnsi="맑은 고딕" w:cs="맑은 고딕"/>
          <w:b/>
          <w:bCs/>
          <w:sz w:val="21"/>
          <w:szCs w:val="21"/>
        </w:rPr>
        <w:t xml:space="preserve">는 참여이력이 있을 때 반응률이 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35</w:t>
      </w:r>
      <w:r>
        <w:rPr>
          <w:rFonts w:ascii="맑은 고딕" w:hAnsi="맑은 고딕" w:cs="맑은 고딕"/>
          <w:b/>
          <w:bCs/>
          <w:sz w:val="21"/>
          <w:szCs w:val="21"/>
        </w:rPr>
        <w:t>～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48%</w:t>
      </w:r>
      <w:r>
        <w:rPr>
          <w:rFonts w:ascii="맑은 고딕" w:hAnsi="맑은 고딕" w:cs="맑은 고딕"/>
          <w:b/>
          <w:bCs/>
          <w:sz w:val="21"/>
          <w:szCs w:val="21"/>
        </w:rPr>
        <w:t>로 크게 상승한다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.</w:t>
      </w:r>
      <w:r>
        <w:rPr>
          <w:rFonts w:eastAsia="맑은 고딕" w:cs="맑은 고딕" w:ascii="맑은 고딕" w:hAnsi="맑은 고딕"/>
          <w:sz w:val="21"/>
          <w:szCs w:val="21"/>
        </w:rPr>
        <w:t xml:space="preserve"> </w:t>
      </w:r>
      <w:r>
        <w:rPr>
          <w:rFonts w:ascii="맑은 고딕" w:hAnsi="맑은 고딕" w:cs="맑은 고딕"/>
          <w:sz w:val="21"/>
          <w:szCs w:val="21"/>
        </w:rPr>
        <w:t xml:space="preserve">세그먼트 간 격차 비율이 </w:t>
      </w:r>
      <w:r>
        <w:rPr>
          <w:rFonts w:eastAsia="맑은 고딕" w:cs="맑은 고딕" w:ascii="맑은 고딕" w:hAnsi="맑은 고딕"/>
          <w:sz w:val="21"/>
          <w:szCs w:val="21"/>
        </w:rPr>
        <w:t>4.76</w:t>
      </w:r>
      <w:r>
        <w:rPr>
          <w:rFonts w:ascii="맑은 고딕" w:hAnsi="맑은 고딕" w:cs="맑은 고딕"/>
          <w:sz w:val="21"/>
          <w:szCs w:val="21"/>
        </w:rPr>
        <w:t>배로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연관성이 균일하지 않고 특정 세그먼트에 집중되어 있음을 확인했다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 xml:space="preserve">(H3 </w:t>
      </w:r>
      <w:r>
        <w:rPr>
          <w:rFonts w:ascii="맑은 고딕" w:hAnsi="맑은 고딕" w:cs="맑은 고딕"/>
          <w:b/>
          <w:bCs/>
          <w:sz w:val="21"/>
          <w:szCs w:val="21"/>
        </w:rPr>
        <w:t>성립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)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p>
      <w:pPr>
        <w:pStyle w:val="Heading1"/>
        <w:pBdr>
          <w:bottom w:val="single" w:sz="8" w:space="4" w:color="1F3864"/>
        </w:pBdr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0"/>
          <w:szCs w:val="30"/>
        </w:rPr>
        <w:t xml:space="preserve">7. </w:t>
      </w:r>
      <w:r>
        <w:rPr>
          <w:rFonts w:ascii="맑은 고딕" w:hAnsi="맑은 고딕" w:cs="맑은 고딕"/>
          <w:b/>
          <w:bCs/>
          <w:color w:val="1F3864"/>
          <w:sz w:val="30"/>
          <w:szCs w:val="30"/>
        </w:rPr>
        <w:t>투자 우선순위 제안</w:t>
      </w:r>
    </w:p>
    <w:p>
      <w:pPr>
        <w:pStyle w:val="Normal"/>
        <w:spacing w:lineRule="auto" w:line="300" w:before="0" w:after="140"/>
        <w:rPr/>
      </w:pPr>
      <w:r>
        <w:rPr>
          <w:rFonts w:ascii="맑은 고딕" w:hAnsi="맑은 고딕" w:cs="맑은 고딕"/>
          <w:b/>
          <w:bCs/>
          <w:sz w:val="21"/>
          <w:szCs w:val="21"/>
        </w:rPr>
        <w:t>세그먼트 단독 기준으로는 전체 발송 시 대부분 손익분기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(27.3%)</w:t>
      </w:r>
      <w:r>
        <w:rPr>
          <w:rFonts w:ascii="맑은 고딕" w:hAnsi="맑은 고딕" w:cs="맑은 고딕"/>
          <w:b/>
          <w:bCs/>
          <w:sz w:val="21"/>
          <w:szCs w:val="21"/>
        </w:rPr>
        <w:t>에 미달한다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 xml:space="preserve">. </w:t>
      </w:r>
      <w:r>
        <w:rPr>
          <w:rFonts w:ascii="맑은 고딕" w:hAnsi="맑은 고딕" w:cs="맑은 고딕"/>
          <w:b/>
          <w:bCs/>
          <w:sz w:val="21"/>
          <w:szCs w:val="21"/>
        </w:rPr>
        <w:t xml:space="preserve">따라서 투자 우선순위는 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"</w:t>
      </w:r>
      <w:r>
        <w:rPr>
          <w:rFonts w:ascii="맑은 고딕" w:hAnsi="맑은 고딕" w:cs="맑은 고딕"/>
          <w:b/>
          <w:bCs/>
          <w:sz w:val="21"/>
          <w:szCs w:val="21"/>
        </w:rPr>
        <w:t>세그먼트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"</w:t>
      </w:r>
      <w:r>
        <w:rPr>
          <w:rFonts w:ascii="맑은 고딕" w:hAnsi="맑은 고딕" w:cs="맑은 고딕"/>
          <w:b/>
          <w:bCs/>
          <w:sz w:val="21"/>
          <w:szCs w:val="21"/>
        </w:rPr>
        <w:t xml:space="preserve">가 아닌 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"</w:t>
      </w:r>
      <w:r>
        <w:rPr>
          <w:rFonts w:ascii="맑은 고딕" w:hAnsi="맑은 고딕" w:cs="맑은 고딕"/>
          <w:b/>
          <w:bCs/>
          <w:sz w:val="21"/>
          <w:szCs w:val="21"/>
        </w:rPr>
        <w:t xml:space="preserve">세그먼트 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 xml:space="preserve">× </w:t>
      </w:r>
      <w:r>
        <w:rPr>
          <w:rFonts w:ascii="맑은 고딕" w:hAnsi="맑은 고딕" w:cs="맑은 고딕"/>
          <w:b/>
          <w:bCs/>
          <w:sz w:val="21"/>
          <w:szCs w:val="21"/>
        </w:rPr>
        <w:t>참여이력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 xml:space="preserve">" </w:t>
      </w:r>
      <w:r>
        <w:rPr>
          <w:rFonts w:ascii="맑은 고딕" w:hAnsi="맑은 고딕" w:cs="맑은 고딕"/>
          <w:b/>
          <w:bCs/>
          <w:sz w:val="21"/>
          <w:szCs w:val="21"/>
        </w:rPr>
        <w:t>교차 조건으로 판단해야 한다</w:t>
      </w:r>
      <w:r>
        <w:rPr>
          <w:rFonts w:eastAsia="맑은 고딕" w:cs="맑은 고딕" w:ascii="맑은 고딕" w:hAnsi="맑은 고딕"/>
          <w:b/>
          <w:bCs/>
          <w:sz w:val="21"/>
          <w:szCs w:val="21"/>
        </w:rPr>
        <w:t>.</w:t>
      </w:r>
    </w:p>
    <w:tbl>
      <w:tblPr>
        <w:tblW w:w="100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600"/>
        <w:gridCol w:w="1000"/>
        <w:gridCol w:w="1400"/>
        <w:gridCol w:w="2400"/>
        <w:gridCol w:w="26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 xml:space="preserve">세그먼트 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 xml:space="preserve">× 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참여이력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반응률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건당 기대이익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＄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예상 순이익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9"/>
                <w:szCs w:val="19"/>
              </w:rPr>
              <w:t>＄</w:t>
            </w:r>
            <w:r>
              <w:rPr>
                <w:rFonts w:eastAsia="맑은 고딕" w:cs="맑은 고딕" w:ascii="맑은 고딕" w:hAnsi="맑은 고딕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Ⅰ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× AnyAccepted=1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52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48%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+2.29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D3" w:val="clear"/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+119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Ⅱ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× AnyAccepted=1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234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47%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+2.12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D3" w:val="clear"/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+497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Ⅳ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× AnyAccepted=1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106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35%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+0.84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D3" w:val="clear"/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+89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Ⅲ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× AnyAccepted=1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31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13%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−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1.58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CCCC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−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49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전 세그먼트 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× AnyAccepted=0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1,613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5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～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12%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−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1.67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～ −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2.50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4CCCC" w:val="clea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−</w:t>
            </w:r>
            <w:r>
              <w:rPr>
                <w:rFonts w:eastAsia="맑은 고딕" w:cs="맑은 고딕" w:ascii="맑은 고딕" w:hAnsi="맑은 고딕"/>
                <w:b w:val="false"/>
                <w:bCs w:val="false"/>
                <w:color w:val="000000"/>
                <w:sz w:val="19"/>
                <w:szCs w:val="19"/>
              </w:rPr>
              <w:t>3,321</w:t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p>
      <w:pPr>
        <w:pStyle w:val="Normal"/>
        <w:spacing w:lineRule="auto" w:line="300" w:before="0" w:after="140"/>
        <w:rPr/>
      </w:pPr>
      <w:r>
        <w:rPr>
          <w:rFonts w:ascii="맑은 고딕" w:hAnsi="맑은 고딕" w:cs="맑은 고딕"/>
          <w:sz w:val="21"/>
          <w:szCs w:val="21"/>
        </w:rPr>
        <w:t xml:space="preserve">흑자 조합 </w:t>
      </w:r>
      <w:r>
        <w:rPr>
          <w:rFonts w:eastAsia="맑은 고딕" w:cs="맑은 고딕" w:ascii="맑은 고딕" w:hAnsi="맑은 고딕"/>
          <w:sz w:val="21"/>
          <w:szCs w:val="21"/>
        </w:rPr>
        <w:t>3</w:t>
      </w:r>
      <w:r>
        <w:rPr>
          <w:rFonts w:ascii="맑은 고딕" w:hAnsi="맑은 고딕" w:cs="맑은 고딕"/>
          <w:sz w:val="21"/>
          <w:szCs w:val="21"/>
        </w:rPr>
        <w:t>개</w:t>
      </w:r>
      <w:r>
        <w:rPr>
          <w:rFonts w:eastAsia="맑은 고딕" w:cs="맑은 고딕" w:ascii="맑은 고딕" w:hAnsi="맑은 고딕"/>
          <w:sz w:val="21"/>
          <w:szCs w:val="21"/>
        </w:rPr>
        <w:t>(Ⅰ×1, Ⅱ×1, Ⅳ×1)</w:t>
      </w:r>
      <w:r>
        <w:rPr>
          <w:rFonts w:ascii="맑은 고딕" w:hAnsi="맑은 고딕" w:cs="맑은 고딕"/>
          <w:sz w:val="21"/>
          <w:szCs w:val="21"/>
        </w:rPr>
        <w:t>의 예상 순이익 합은 ＋＄</w:t>
      </w:r>
      <w:r>
        <w:rPr>
          <w:rFonts w:eastAsia="맑은 고딕" w:cs="맑은 고딕" w:ascii="맑은 고딕" w:hAnsi="맑은 고딕"/>
          <w:sz w:val="21"/>
          <w:szCs w:val="21"/>
        </w:rPr>
        <w:t>705</w:t>
      </w:r>
      <w:r>
        <w:rPr>
          <w:rFonts w:ascii="맑은 고딕" w:hAnsi="맑은 고딕" w:cs="맑은 고딕"/>
          <w:sz w:val="21"/>
          <w:szCs w:val="21"/>
        </w:rPr>
        <w:t>이다</w:t>
      </w:r>
      <w:r>
        <w:rPr>
          <w:rFonts w:eastAsia="맑은 고딕" w:cs="맑은 고딕" w:ascii="맑은 고딕" w:hAnsi="맑은 고딕"/>
          <w:sz w:val="21"/>
          <w:szCs w:val="21"/>
        </w:rPr>
        <w:t xml:space="preserve">. </w:t>
      </w:r>
      <w:r>
        <w:rPr>
          <w:rFonts w:ascii="맑은 고딕" w:hAnsi="맑은 고딕" w:cs="맑은 고딕"/>
          <w:sz w:val="21"/>
          <w:szCs w:val="21"/>
        </w:rPr>
        <w:t>전체 무차별 발송 시 예상 순손실</w:t>
      </w:r>
      <w:r>
        <w:rPr>
          <w:rFonts w:eastAsia="맑은 고딕" w:cs="맑은 고딕" w:ascii="맑은 고딕" w:hAnsi="맑은 고딕"/>
          <w:sz w:val="21"/>
          <w:szCs w:val="21"/>
        </w:rPr>
        <w:t>(</w:t>
      </w:r>
      <w:r>
        <w:rPr>
          <w:rFonts w:ascii="맑은 고딕" w:hAnsi="맑은 고딕" w:cs="맑은 고딕"/>
          <w:sz w:val="21"/>
          <w:szCs w:val="21"/>
        </w:rPr>
        <w:t>약 −＄</w:t>
      </w:r>
      <w:r>
        <w:rPr>
          <w:rFonts w:eastAsia="맑은 고딕" w:cs="맑은 고딕" w:ascii="맑은 고딕" w:hAnsi="맑은 고딕"/>
          <w:sz w:val="21"/>
          <w:szCs w:val="21"/>
        </w:rPr>
        <w:t xml:space="preserve">3,046, </w:t>
      </w:r>
      <w:r>
        <w:rPr>
          <w:rFonts w:ascii="맑은 고딕" w:hAnsi="맑은 고딕" w:cs="맑은 고딕"/>
          <w:sz w:val="21"/>
          <w:szCs w:val="21"/>
        </w:rPr>
        <w:t>원본 표본 기준</w:t>
      </w:r>
      <w:r>
        <w:rPr>
          <w:rFonts w:eastAsia="맑은 고딕" w:cs="맑은 고딕" w:ascii="맑은 고딕" w:hAnsi="맑은 고딕"/>
          <w:sz w:val="21"/>
          <w:szCs w:val="21"/>
        </w:rPr>
        <w:t>)</w:t>
      </w:r>
      <w:r>
        <w:rPr>
          <w:rFonts w:ascii="맑은 고딕" w:hAnsi="맑은 고딕" w:cs="맑은 고딕"/>
          <w:sz w:val="21"/>
          <w:szCs w:val="21"/>
        </w:rPr>
        <w:t>과 비교하면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세그먼트</w:t>
      </w:r>
      <w:r>
        <w:rPr>
          <w:rFonts w:eastAsia="맑은 고딕" w:cs="맑은 고딕" w:ascii="맑은 고딕" w:hAnsi="맑은 고딕"/>
          <w:sz w:val="21"/>
          <w:szCs w:val="21"/>
        </w:rPr>
        <w:t>×</w:t>
      </w:r>
      <w:r>
        <w:rPr>
          <w:rFonts w:ascii="맑은 고딕" w:hAnsi="맑은 고딕" w:cs="맑은 고딕"/>
          <w:sz w:val="21"/>
          <w:szCs w:val="21"/>
        </w:rPr>
        <w:t>참여이력 교차 타겟팅만으로 약 ＄</w:t>
      </w:r>
      <w:r>
        <w:rPr>
          <w:rFonts w:eastAsia="맑은 고딕" w:cs="맑은 고딕" w:ascii="맑은 고딕" w:hAnsi="맑은 고딕"/>
          <w:sz w:val="21"/>
          <w:szCs w:val="21"/>
        </w:rPr>
        <w:t xml:space="preserve">3,750 </w:t>
      </w:r>
      <w:r>
        <w:rPr>
          <w:rFonts w:ascii="맑은 고딕" w:hAnsi="맑은 고딕" w:cs="맑은 고딕"/>
          <w:sz w:val="21"/>
          <w:szCs w:val="21"/>
        </w:rPr>
        <w:t>규모의 개선이 가능하다</w:t>
      </w:r>
      <w:r>
        <w:rPr>
          <w:rFonts w:eastAsia="맑은 고딕" w:cs="맑은 고딕" w:ascii="맑은 고딕" w:hAnsi="맑은 고딕"/>
          <w:sz w:val="21"/>
          <w:szCs w:val="21"/>
        </w:rPr>
        <w:t>.</w:t>
      </w:r>
    </w:p>
    <w:p>
      <w:pPr>
        <w:pStyle w:val="Normal"/>
        <w:pBdr>
          <w:left w:val="single" w:sz="24" w:space="8" w:color="2E74B5"/>
        </w:pBdr>
        <w:shd w:val="clear" w:fill="F2F2F2"/>
        <w:spacing w:before="100" w:after="200"/>
        <w:ind w:start="200"/>
        <w:rPr/>
      </w:pP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실행 제안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: 1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순위 세그먼트 Ⅰ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(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저소득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·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저구매형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)×AnyAccepted=1(n=52), 2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순위 세그먼트 Ⅱ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(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고소득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·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고지출형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 xml:space="preserve">)×AnyAccepted=1(n=234, 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표본 규모와 수익성을 모두 갖춘 주력 타겟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 xml:space="preserve">). 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세그먼트 Ⅲ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(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자녀다수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·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저구매형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)</w:t>
      </w:r>
      <w:r>
        <w:rPr>
          <w:rFonts w:ascii="맑은 고딕" w:hAnsi="맑은 고딕" w:cs="맑은 고딕"/>
          <w:i/>
          <w:iCs/>
          <w:color w:val="666666"/>
          <w:sz w:val="20"/>
          <w:szCs w:val="20"/>
        </w:rPr>
        <w:t>은 참여이력과 무관하게 투자 후순위</w:t>
      </w:r>
      <w:r>
        <w:rPr>
          <w:rFonts w:eastAsia="맑은 고딕" w:cs="맑은 고딕" w:ascii="맑은 고딕" w:hAnsi="맑은 고딕"/>
          <w:i/>
          <w:iCs/>
          <w:color w:val="666666"/>
          <w:sz w:val="20"/>
          <w:szCs w:val="20"/>
        </w:rPr>
        <w:t>.</w:t>
      </w:r>
    </w:p>
    <w:p>
      <w:pPr>
        <w:pStyle w:val="Heading1"/>
        <w:pBdr>
          <w:bottom w:val="single" w:sz="8" w:space="4" w:color="1F3864"/>
        </w:pBdr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0"/>
          <w:szCs w:val="30"/>
        </w:rPr>
        <w:t xml:space="preserve">8. </w:t>
      </w:r>
      <w:r>
        <w:rPr>
          <w:rFonts w:ascii="맑은 고딕" w:hAnsi="맑은 고딕" w:cs="맑은 고딕"/>
          <w:b/>
          <w:bCs/>
          <w:color w:val="1F3864"/>
          <w:sz w:val="30"/>
          <w:szCs w:val="30"/>
        </w:rPr>
        <w:t>한계 및 후속 과제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rFonts w:ascii="맑은 고딕" w:hAnsi="맑은 고딕" w:cs="맑은 고딕"/>
          <w:sz w:val="21"/>
          <w:szCs w:val="21"/>
        </w:rPr>
        <w:t>처치</w:t>
      </w:r>
      <w:r>
        <w:rPr>
          <w:rFonts w:eastAsia="맑은 고딕" w:cs="맑은 고딕" w:ascii="맑은 고딕" w:hAnsi="맑은 고딕"/>
          <w:sz w:val="21"/>
          <w:szCs w:val="21"/>
        </w:rPr>
        <w:t>(</w:t>
      </w:r>
      <w:r>
        <w:rPr>
          <w:rFonts w:ascii="맑은 고딕" w:hAnsi="맑은 고딕" w:cs="맑은 고딕"/>
          <w:sz w:val="21"/>
          <w:szCs w:val="21"/>
        </w:rPr>
        <w:t>발송</w:t>
      </w:r>
      <w:r>
        <w:rPr>
          <w:rFonts w:eastAsia="맑은 고딕" w:cs="맑은 고딕" w:ascii="맑은 고딕" w:hAnsi="맑은 고딕"/>
          <w:sz w:val="21"/>
          <w:szCs w:val="21"/>
        </w:rPr>
        <w:t xml:space="preserve">) </w:t>
      </w:r>
      <w:r>
        <w:rPr>
          <w:rFonts w:ascii="맑은 고딕" w:hAnsi="맑은 고딕" w:cs="맑은 고딕"/>
          <w:sz w:val="21"/>
          <w:szCs w:val="21"/>
        </w:rPr>
        <w:t>노출 정보 부재로 인과효과 확정 불가 — 향후 무작위 홀드아웃 실험</w:t>
      </w:r>
      <w:r>
        <w:rPr>
          <w:rFonts w:eastAsia="맑은 고딕" w:cs="맑은 고딕" w:ascii="맑은 고딕" w:hAnsi="맑은 고딕"/>
          <w:sz w:val="21"/>
          <w:szCs w:val="21"/>
        </w:rPr>
        <w:t xml:space="preserve">(A/B </w:t>
      </w:r>
      <w:r>
        <w:rPr>
          <w:rFonts w:ascii="맑은 고딕" w:hAnsi="맑은 고딕" w:cs="맑은 고딕"/>
          <w:sz w:val="21"/>
          <w:szCs w:val="21"/>
        </w:rPr>
        <w:t>테스트</w:t>
      </w:r>
      <w:r>
        <w:rPr>
          <w:rFonts w:eastAsia="맑은 고딕" w:cs="맑은 고딕" w:ascii="맑은 고딕" w:hAnsi="맑은 고딕"/>
          <w:sz w:val="21"/>
          <w:szCs w:val="21"/>
        </w:rPr>
        <w:t xml:space="preserve">) </w:t>
      </w:r>
      <w:r>
        <w:rPr>
          <w:rFonts w:ascii="맑은 고딕" w:hAnsi="맑은 고딕" w:cs="맑은 고딕"/>
          <w:sz w:val="21"/>
          <w:szCs w:val="21"/>
        </w:rPr>
        <w:t>설계 필요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rFonts w:eastAsia="맑은 고딕" w:cs="맑은 고딕" w:ascii="맑은 고딕" w:hAnsi="맑은 고딕"/>
          <w:sz w:val="21"/>
          <w:szCs w:val="21"/>
        </w:rPr>
        <w:t>H4</w:t>
      </w:r>
      <w:r>
        <w:rPr>
          <w:rFonts w:ascii="맑은 고딕" w:hAnsi="맑은 고딕" w:cs="맑은 고딕"/>
          <w:sz w:val="21"/>
          <w:szCs w:val="21"/>
        </w:rPr>
        <w:t xml:space="preserve">의 전제인 </w:t>
      </w:r>
      <w:r>
        <w:rPr>
          <w:rFonts w:eastAsia="맑은 고딕" w:cs="맑은 고딕" w:ascii="맑은 고딕" w:hAnsi="맑은 고딕"/>
          <w:sz w:val="21"/>
          <w:szCs w:val="21"/>
        </w:rPr>
        <w:t>"</w:t>
      </w:r>
      <w:r>
        <w:rPr>
          <w:rFonts w:ascii="맑은 고딕" w:hAnsi="맑은 고딕" w:cs="맑은 고딕"/>
          <w:sz w:val="21"/>
          <w:szCs w:val="21"/>
        </w:rPr>
        <w:t>컬럼 순서</w:t>
      </w:r>
      <w:r>
        <w:rPr>
          <w:rFonts w:eastAsia="맑은 고딕" w:cs="맑은 고딕" w:ascii="맑은 고딕" w:hAnsi="맑은 고딕"/>
          <w:sz w:val="21"/>
          <w:szCs w:val="21"/>
        </w:rPr>
        <w:t>=</w:t>
      </w:r>
      <w:r>
        <w:rPr>
          <w:rFonts w:ascii="맑은 고딕" w:hAnsi="맑은 고딕" w:cs="맑은 고딕"/>
          <w:sz w:val="21"/>
          <w:szCs w:val="21"/>
        </w:rPr>
        <w:t>캠페인 집행 순서</w:t>
      </w:r>
      <w:r>
        <w:rPr>
          <w:rFonts w:eastAsia="맑은 고딕" w:cs="맑은 고딕" w:ascii="맑은 고딕" w:hAnsi="맑은 고딕"/>
          <w:sz w:val="21"/>
          <w:szCs w:val="21"/>
        </w:rPr>
        <w:t xml:space="preserve">" </w:t>
      </w:r>
      <w:r>
        <w:rPr>
          <w:rFonts w:ascii="맑은 고딕" w:hAnsi="맑은 고딕" w:cs="맑은 고딕"/>
          <w:sz w:val="21"/>
          <w:szCs w:val="21"/>
        </w:rPr>
        <w:t>가정이 데이터로 검증되지 않음 — 원본 캠페인 집행 일정 확보 필요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rFonts w:eastAsia="맑은 고딕" w:cs="맑은 고딕" w:ascii="맑은 고딕" w:hAnsi="맑은 고딕"/>
          <w:sz w:val="21"/>
          <w:szCs w:val="21"/>
        </w:rPr>
        <w:t>ID</w:t>
      </w:r>
      <w:r>
        <w:rPr>
          <w:rFonts w:ascii="맑은 고딕" w:hAnsi="맑은 고딕" w:cs="맑은 고딕"/>
          <w:sz w:val="21"/>
          <w:szCs w:val="21"/>
        </w:rPr>
        <w:t>가 원 모집단</w:t>
      </w:r>
      <w:r>
        <w:rPr>
          <w:rFonts w:eastAsia="맑은 고딕" w:cs="맑은 고딕" w:ascii="맑은 고딕" w:hAnsi="맑은 고딕"/>
          <w:sz w:val="21"/>
          <w:szCs w:val="21"/>
        </w:rPr>
        <w:t>(</w:t>
      </w:r>
      <w:r>
        <w:rPr>
          <w:rFonts w:ascii="맑은 고딕" w:hAnsi="맑은 고딕" w:cs="맑은 고딕"/>
          <w:sz w:val="21"/>
          <w:szCs w:val="21"/>
        </w:rPr>
        <w:t xml:space="preserve">추정 약 </w:t>
      </w:r>
      <w:r>
        <w:rPr>
          <w:rFonts w:eastAsia="맑은 고딕" w:cs="맑은 고딕" w:ascii="맑은 고딕" w:hAnsi="맑은 고딕"/>
          <w:sz w:val="21"/>
          <w:szCs w:val="21"/>
        </w:rPr>
        <w:t>11,192</w:t>
      </w:r>
      <w:r>
        <w:rPr>
          <w:rFonts w:ascii="맑은 고딕" w:hAnsi="맑은 고딕" w:cs="맑은 고딕"/>
          <w:sz w:val="21"/>
          <w:szCs w:val="21"/>
        </w:rPr>
        <w:t>명</w:t>
      </w:r>
      <w:r>
        <w:rPr>
          <w:rFonts w:eastAsia="맑은 고딕" w:cs="맑은 고딕" w:ascii="맑은 고딕" w:hAnsi="맑은 고딕"/>
          <w:sz w:val="21"/>
          <w:szCs w:val="21"/>
        </w:rPr>
        <w:t>)</w:t>
      </w:r>
      <w:r>
        <w:rPr>
          <w:rFonts w:ascii="맑은 고딕" w:hAnsi="맑은 고딕" w:cs="맑은 고딕"/>
          <w:sz w:val="21"/>
          <w:szCs w:val="21"/>
        </w:rPr>
        <w:t xml:space="preserve">에서 </w:t>
      </w:r>
      <w:r>
        <w:rPr>
          <w:rFonts w:eastAsia="맑은 고딕" w:cs="맑은 고딕" w:ascii="맑은 고딕" w:hAnsi="맑은 고딕"/>
          <w:sz w:val="21"/>
          <w:szCs w:val="21"/>
        </w:rPr>
        <w:t xml:space="preserve">20% </w:t>
      </w:r>
      <w:r>
        <w:rPr>
          <w:rFonts w:ascii="맑은 고딕" w:hAnsi="맑은 고딕" w:cs="맑은 고딕"/>
          <w:sz w:val="21"/>
          <w:szCs w:val="21"/>
        </w:rPr>
        <w:t>무작위 추출된 표본으로 보임 — 절대 금액</w:t>
      </w:r>
      <w:r>
        <w:rPr>
          <w:rFonts w:eastAsia="맑은 고딕" w:cs="맑은 고딕" w:ascii="맑은 고딕" w:hAnsi="맑은 고딕"/>
          <w:sz w:val="21"/>
          <w:szCs w:val="21"/>
        </w:rPr>
        <w:t>(</w:t>
      </w:r>
      <w:r>
        <w:rPr>
          <w:rFonts w:ascii="맑은 고딕" w:hAnsi="맑은 고딕" w:cs="맑은 고딕"/>
          <w:sz w:val="21"/>
          <w:szCs w:val="21"/>
        </w:rPr>
        <w:t>예산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순이익</w:t>
      </w:r>
      <w:r>
        <w:rPr>
          <w:rFonts w:eastAsia="맑은 고딕" w:cs="맑은 고딕" w:ascii="맑은 고딕" w:hAnsi="맑은 고딕"/>
          <w:sz w:val="21"/>
          <w:szCs w:val="21"/>
        </w:rPr>
        <w:t>)</w:t>
      </w:r>
      <w:r>
        <w:rPr>
          <w:rFonts w:ascii="맑은 고딕" w:hAnsi="맑은 고딕" w:cs="맑은 고딕"/>
          <w:sz w:val="21"/>
          <w:szCs w:val="21"/>
        </w:rPr>
        <w:t>은 표본 기준이며</w:t>
      </w:r>
      <w:r>
        <w:rPr>
          <w:rFonts w:eastAsia="맑은 고딕" w:cs="맑은 고딕" w:ascii="맑은 고딕" w:hAnsi="맑은 고딕"/>
          <w:sz w:val="21"/>
          <w:szCs w:val="21"/>
        </w:rPr>
        <w:t xml:space="preserve">, </w:t>
      </w:r>
      <w:r>
        <w:rPr>
          <w:rFonts w:ascii="맑은 고딕" w:hAnsi="맑은 고딕" w:cs="맑은 고딕"/>
          <w:sz w:val="21"/>
          <w:szCs w:val="21"/>
        </w:rPr>
        <w:t>모집단 확대 적용 시 별도 환산 필요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rFonts w:eastAsia="맑은 고딕" w:cs="맑은 고딕" w:ascii="맑은 고딕" w:hAnsi="맑은 고딕"/>
          <w:sz w:val="21"/>
          <w:szCs w:val="21"/>
        </w:rPr>
        <w:t>H2</w:t>
      </w:r>
      <w:r>
        <w:rPr>
          <w:rFonts w:ascii="맑은 고딕" w:hAnsi="맑은 고딕" w:cs="맑은 고딕"/>
          <w:sz w:val="21"/>
          <w:szCs w:val="21"/>
        </w:rPr>
        <w:t xml:space="preserve">의 </w:t>
      </w:r>
      <w:r>
        <w:rPr>
          <w:rFonts w:eastAsia="맑은 고딕" w:cs="맑은 고딕" w:ascii="맑은 고딕" w:hAnsi="맑은 고딕"/>
          <w:sz w:val="21"/>
          <w:szCs w:val="21"/>
        </w:rPr>
        <w:t xml:space="preserve">51.1% </w:t>
      </w:r>
      <w:r>
        <w:rPr>
          <w:rFonts w:ascii="맑은 고딕" w:hAnsi="맑은 고딕" w:cs="맑은 고딕"/>
          <w:sz w:val="21"/>
          <w:szCs w:val="21"/>
        </w:rPr>
        <w:t>잔존율은 임계값</w:t>
      </w:r>
      <w:r>
        <w:rPr>
          <w:rFonts w:eastAsia="맑은 고딕" w:cs="맑은 고딕" w:ascii="맑은 고딕" w:hAnsi="맑은 고딕"/>
          <w:sz w:val="21"/>
          <w:szCs w:val="21"/>
        </w:rPr>
        <w:t xml:space="preserve">(50%) </w:t>
      </w:r>
      <w:r>
        <w:rPr>
          <w:rFonts w:ascii="맑은 고딕" w:hAnsi="맑은 고딕" w:cs="맑은 고딕"/>
          <w:sz w:val="21"/>
          <w:szCs w:val="21"/>
        </w:rPr>
        <w:t>근처의 경계 사례 — 임계값 변경 시 결론이 뒤집힐 수 있어 민감도 분석 권장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00" w:right="1100" w:gutter="0" w:header="708" w:top="1000" w:footer="708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Times New Roman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맑은 고딕">
    <w:charset w:val="8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ascii="맑은 고딕" w:hAnsi="맑은 고딕" w:cs="맑은 고딕"/>
        <w:sz w:val="21"/>
        <w:szCs w:val="21"/>
      </w:rPr>
      <w:fldChar w:fldCharType="begin"/>
    </w:r>
    <w:r>
      <w:rPr>
        <w:rFonts w:ascii="맑은 고딕" w:hAnsi="맑은 고딕" w:cs="맑은 고딕"/>
        <w:sz w:val="21"/>
        <w:szCs w:val="21"/>
      </w:rPr>
      <w:instrText xml:space="preserve"> PAGE </w:instrText>
    </w:r>
    <w:r>
      <w:rPr>
        <w:rFonts w:ascii="맑은 고딕" w:hAnsi="맑은 고딕" w:cs="맑은 고딕"/>
        <w:sz w:val="21"/>
        <w:szCs w:val="21"/>
      </w:rPr>
      <w:fldChar w:fldCharType="separate"/>
    </w:r>
    <w:r>
      <w:rPr>
        <w:rFonts w:ascii="맑은 고딕" w:hAnsi="맑은 고딕" w:cs="맑은 고딕"/>
        <w:sz w:val="21"/>
        <w:szCs w:val="21"/>
      </w:rPr>
      <w:t>6</w:t>
    </w:r>
    <w:r>
      <w:rPr>
        <w:rFonts w:ascii="맑은 고딕" w:hAnsi="맑은 고딕" w:cs="맑은 고딕"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ascii="맑은 고딕" w:hAnsi="맑은 고딕" w:cs="맑은 고딕"/>
        <w:sz w:val="21"/>
        <w:szCs w:val="21"/>
      </w:rPr>
      <w:fldChar w:fldCharType="begin"/>
    </w:r>
    <w:r>
      <w:rPr>
        <w:rFonts w:ascii="맑은 고딕" w:hAnsi="맑은 고딕" w:cs="맑은 고딕"/>
        <w:sz w:val="21"/>
        <w:szCs w:val="21"/>
      </w:rPr>
      <w:instrText xml:space="preserve"> PAGE </w:instrText>
    </w:r>
    <w:r>
      <w:rPr>
        <w:rFonts w:ascii="맑은 고딕" w:hAnsi="맑은 고딕" w:cs="맑은 고딕"/>
        <w:sz w:val="21"/>
        <w:szCs w:val="21"/>
      </w:rPr>
      <w:fldChar w:fldCharType="separate"/>
    </w:r>
    <w:r>
      <w:rPr>
        <w:rFonts w:ascii="맑은 고딕" w:hAnsi="맑은 고딕" w:cs="맑은 고딕"/>
        <w:sz w:val="21"/>
        <w:szCs w:val="21"/>
      </w:rPr>
      <w:t>6</w:t>
    </w:r>
    <w:r>
      <w:rPr>
        <w:rFonts w:ascii="맑은 고딕" w:hAnsi="맑은 고딕" w:cs="맑은 고딕"/>
        <w:sz w:val="21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맑은 고딕" w:cs="맑은 고딕" w:ascii="맑은 고딕" w:hAnsi="맑은 고딕"/>
        <w:color w:val="666666"/>
        <w:sz w:val="16"/>
        <w:szCs w:val="16"/>
      </w:rPr>
      <w:t xml:space="preserve">CRM </w:t>
    </w:r>
    <w:r>
      <w:rPr>
        <w:rFonts w:ascii="맑은 고딕" w:hAnsi="맑은 고딕" w:cs="맑은 고딕"/>
        <w:color w:val="666666"/>
        <w:sz w:val="16"/>
        <w:szCs w:val="16"/>
      </w:rPr>
      <w:t>캠페인 재타겟팅 분석 보고서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맑은 고딕" w:cs="맑은 고딕" w:ascii="맑은 고딕" w:hAnsi="맑은 고딕"/>
        <w:color w:val="666666"/>
        <w:sz w:val="16"/>
        <w:szCs w:val="16"/>
      </w:rPr>
      <w:t xml:space="preserve">CRM </w:t>
    </w:r>
    <w:r>
      <w:rPr>
        <w:rFonts w:ascii="맑은 고딕" w:hAnsi="맑은 고딕" w:cs="맑은 고딕"/>
        <w:color w:val="666666"/>
        <w:sz w:val="16"/>
        <w:szCs w:val="16"/>
      </w:rPr>
      <w:t>캠페인 재타겟팅 분석 보고서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맑은 고딕" w:cs="Arial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before="0" w:after="0"/>
      <w:jc w:val="start"/>
    </w:pPr>
    <w:rPr>
      <w:rFonts w:ascii="Times New Roman" w:hAnsi="Times New Roman" w:eastAsia="맑은 고딕" w:cs="Arial"/>
      <w:color w:val="auto"/>
      <w:kern w:val="0"/>
      <w:sz w:val="20"/>
      <w:szCs w:val="20"/>
      <w:lang w:val="en-US" w:eastAsia="ko-KR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각주 기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미주 기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색인"/>
    <w:basedOn w:val="Normal"/>
    <w:qFormat/>
    <w:pPr>
      <w:suppressLineNumbers/>
    </w:pPr>
    <w:rPr>
      <w:rFonts w:cs="Arial"/>
      <w:sz w:val="24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맑은 고딕" w:cs="Arial"/>
      <w:b/>
      <w:bCs/>
      <w:color w:val="auto"/>
      <w:kern w:val="0"/>
      <w:sz w:val="20"/>
      <w:szCs w:val="20"/>
      <w:lang w:val="en-US" w:eastAsia="ko-KR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맑은 고딕" w:cs="Arial"/>
      <w:color w:val="auto"/>
      <w:kern w:val="0"/>
      <w:sz w:val="20"/>
      <w:szCs w:val="20"/>
      <w:lang w:val="en-US" w:eastAsia="ko-KR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LibreOffice/26.2.1.2$Windows_X86_64 LibreOffice_project/620$Build-2</Application>
  <AppVersion>15.0000</AppVersion>
  <Pages>6</Pages>
  <Words>1089</Words>
  <Characters>4059</Characters>
  <CharactersWithSpaces>4967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2026-08-21T07:57:14Z</dcterms:created>
  <dc:creator>Un-named</dc:creator>
  <dc:description/>
  <dc:language>ko-KR</dc:language>
  <cp:lastModifiedBy/>
  <dcterms:modified xsi:type="dcterms:W3CDTF">2026-08-21T17:37:08Z</dcterms:modified>
  <cp:revision>2</cp:revision>
  <dc:subject/>
  <dc:title/>
</cp:coreProperties>
</file>