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146" w:rsidRPr="003B2146" w:rsidRDefault="003B2146">
      <w:pPr>
        <w:rPr>
          <w:rFonts w:ascii="微软雅黑" w:eastAsia="微软雅黑" w:hAnsi="微软雅黑"/>
          <w:sz w:val="24"/>
          <w:szCs w:val="24"/>
        </w:rPr>
      </w:pPr>
      <w:r w:rsidRPr="003B2146">
        <w:rPr>
          <w:rFonts w:ascii="微软雅黑" w:eastAsia="微软雅黑" w:hAnsi="微软雅黑"/>
          <w:sz w:val="24"/>
          <w:szCs w:val="24"/>
        </w:rPr>
        <w:t>S</w:t>
      </w:r>
      <w:r w:rsidRPr="003B2146">
        <w:rPr>
          <w:rFonts w:ascii="微软雅黑" w:eastAsia="微软雅黑" w:hAnsi="微软雅黑" w:hint="eastAsia"/>
          <w:sz w:val="24"/>
          <w:szCs w:val="24"/>
        </w:rPr>
        <w:t>mart客户端的原理：</w:t>
      </w:r>
    </w:p>
    <w:p w:rsidR="003B2146" w:rsidRDefault="003B2146">
      <w:r>
        <w:rPr>
          <w:noProof/>
        </w:rPr>
        <w:drawing>
          <wp:inline distT="0" distB="0" distL="0" distR="0" wp14:anchorId="4B761D29" wp14:editId="043FDDE4">
            <wp:extent cx="5274310" cy="2410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46" w:rsidRDefault="003B2146">
      <w:r>
        <w:rPr>
          <w:noProof/>
        </w:rPr>
        <w:drawing>
          <wp:inline distT="0" distB="0" distL="0" distR="0" wp14:anchorId="2B188E96" wp14:editId="27AE2D88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46" w:rsidRDefault="003B21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AD3511" wp14:editId="58D47168">
            <wp:extent cx="5274310" cy="3382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2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46"/>
    <w:rsid w:val="003B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0750B"/>
  <w15:chartTrackingRefBased/>
  <w15:docId w15:val="{A9791471-4F1C-4039-90EA-45C2CE95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1</cp:revision>
  <dcterms:created xsi:type="dcterms:W3CDTF">2018-07-03T14:43:00Z</dcterms:created>
  <dcterms:modified xsi:type="dcterms:W3CDTF">2018-07-03T14:52:00Z</dcterms:modified>
</cp:coreProperties>
</file>