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74" w:type="dxa"/>
        <w:jc w:val="left"/>
        <w:tblInd w:w="114" w:type="dxa"/>
        <w:tblLayout w:type="fixed"/>
        <w:tblCellMar>
          <w:top w:w="0" w:type="dxa"/>
          <w:left w:w="108" w:type="dxa"/>
          <w:bottom w:w="0" w:type="dxa"/>
          <w:right w:w="108" w:type="dxa"/>
        </w:tblCellMar>
      </w:tblPr>
      <w:tblGrid>
        <w:gridCol w:w="2874"/>
        <w:gridCol w:w="6000"/>
      </w:tblGrid>
      <w:tr>
        <w:trPr/>
        <w:tc>
          <w:tcPr>
            <w:tcW w:w="2874" w:type="dxa"/>
            <w:tcBorders/>
          </w:tcPr>
          <w:p>
            <w:pPr>
              <w:pStyle w:val="Normal"/>
              <w:jc w:val="center"/>
              <w:rPr>
                <w:b/>
                <w:sz w:val="26"/>
                <w:szCs w:val="26"/>
              </w:rPr>
            </w:pPr>
            <w:r>
              <w:rPr>
                <w:b/>
                <w:sz w:val="26"/>
                <w:szCs w:val="26"/>
              </w:rPr>
              <w:t>BỘ CÔNG AN</w:t>
            </w:r>
          </w:p>
          <w:p>
            <w:pPr>
              <w:pStyle w:val="Normal"/>
              <w:jc w:val="center"/>
              <w:rPr>
                <w:b/>
                <w:sz w:val="26"/>
                <w:szCs w:val="26"/>
                <w:lang w:val="en-US" w:eastAsia="en-US"/>
              </w:rPr>
            </w:pPr>
            <w:r>
              <w:rPr>
                <w:b/>
                <w:sz w:val="26"/>
                <w:szCs w:val="26"/>
                <w:lang w:val="en-US" w:eastAsia="en-US"/>
              </w:rPr>
              <mc:AlternateContent>
                <mc:Choice Requires="wps">
                  <w:drawing>
                    <wp:anchor behindDoc="0" distT="0" distB="0" distL="114935" distR="114935" simplePos="0" locked="0" layoutInCell="1" allowOverlap="1" relativeHeight="6">
                      <wp:simplePos x="0" y="0"/>
                      <wp:positionH relativeFrom="column">
                        <wp:posOffset>508635</wp:posOffset>
                      </wp:positionH>
                      <wp:positionV relativeFrom="paragraph">
                        <wp:posOffset>67310</wp:posOffset>
                      </wp:positionV>
                      <wp:extent cx="685800" cy="0"/>
                      <wp:effectExtent l="0" t="5080" r="0" b="5080"/>
                      <wp:wrapNone/>
                      <wp:docPr id="1" name=""/>
                      <a:graphic xmlns:a="http://schemas.openxmlformats.org/drawingml/2006/main">
                        <a:graphicData uri="http://schemas.microsoft.com/office/word/2010/wordprocessingShape">
                          <wps:wsp>
                            <wps:cNvSpPr/>
                            <wps:spPr>
                              <a:xfrm>
                                <a:off x="0" y="0"/>
                                <a:ext cx="685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0.05pt,5.3pt" to="94pt,5.3pt" stroked="t" o:allowincell="t" style="position:absolute">
                      <v:stroke color="black" weight="9360" joinstyle="miter" endcap="flat"/>
                      <v:fill o:detectmouseclick="t" on="false"/>
                      <w10:wrap type="none"/>
                    </v:line>
                  </w:pict>
                </mc:Fallback>
              </mc:AlternateContent>
            </w:r>
          </w:p>
          <w:p>
            <w:pPr>
              <w:pStyle w:val="Normal"/>
              <w:spacing w:before="120" w:after="0"/>
              <w:jc w:val="center"/>
              <w:rPr>
                <w:b/>
                <w:szCs w:val="28"/>
              </w:rPr>
            </w:pPr>
            <w:r>
              <w:rPr>
                <w:szCs w:val="28"/>
              </w:rPr>
              <w:t>Số: 2207/BCA-V19</w:t>
            </w:r>
          </w:p>
        </w:tc>
        <w:tc>
          <w:tcPr>
            <w:tcW w:w="6000" w:type="dxa"/>
            <w:tcBorders/>
          </w:tcPr>
          <w:p>
            <w:pPr>
              <w:pStyle w:val="Normal"/>
              <w:jc w:val="center"/>
              <w:rPr>
                <w:b/>
                <w:sz w:val="26"/>
                <w:szCs w:val="26"/>
              </w:rPr>
            </w:pPr>
            <w:r>
              <w:rPr>
                <w:b/>
                <w:sz w:val="26"/>
                <w:szCs w:val="26"/>
              </w:rPr>
              <w:t>CỘNG HÒA XÃ HỘI CHỦ NGHĨA VIỆT NAM</w:t>
            </w:r>
          </w:p>
          <w:p>
            <w:pPr>
              <w:pStyle w:val="Normal"/>
              <w:jc w:val="center"/>
              <w:rPr>
                <w:b/>
              </w:rPr>
            </w:pPr>
            <w:r>
              <w:rPr>
                <w:b/>
              </w:rPr>
              <w:t xml:space="preserve">Độc lập </w:t>
            </w:r>
            <w:r>
              <w:rPr/>
              <w:t>-</w:t>
            </w:r>
            <w:r>
              <w:rPr>
                <w:b/>
              </w:rPr>
              <w:t xml:space="preserve"> Tự do </w:t>
            </w:r>
            <w:r>
              <w:rPr/>
              <w:t>-</w:t>
            </w:r>
            <w:r>
              <w:rPr>
                <w:b/>
              </w:rPr>
              <w:t xml:space="preserve"> Hạnh phúc</w:t>
            </w:r>
          </w:p>
          <w:p>
            <w:pPr>
              <w:pStyle w:val="Normal"/>
              <w:rPr>
                <w:b/>
                <w:lang w:val="en-US" w:eastAsia="en-US"/>
              </w:rPr>
            </w:pPr>
            <w:r>
              <w:rPr>
                <w:b/>
                <w:lang w:val="en-US" w:eastAsia="en-US"/>
              </w:rPr>
              <mc:AlternateContent>
                <mc:Choice Requires="wps">
                  <w:drawing>
                    <wp:anchor behindDoc="0" distT="0" distB="0" distL="114935" distR="114935" simplePos="0" locked="0" layoutInCell="1" allowOverlap="1" relativeHeight="7">
                      <wp:simplePos x="0" y="0"/>
                      <wp:positionH relativeFrom="column">
                        <wp:posOffset>721995</wp:posOffset>
                      </wp:positionH>
                      <wp:positionV relativeFrom="paragraph">
                        <wp:posOffset>34290</wp:posOffset>
                      </wp:positionV>
                      <wp:extent cx="2209800" cy="0"/>
                      <wp:effectExtent l="0" t="5080" r="0" b="5080"/>
                      <wp:wrapNone/>
                      <wp:docPr id="2" name=""/>
                      <a:graphic xmlns:a="http://schemas.openxmlformats.org/drawingml/2006/main">
                        <a:graphicData uri="http://schemas.microsoft.com/office/word/2010/wordprocessingShape">
                          <wps:wsp>
                            <wps:cNvSpPr/>
                            <wps:spPr>
                              <a:xfrm>
                                <a:off x="0" y="0"/>
                                <a:ext cx="22096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6.85pt,2.7pt" to="230.8pt,2.7pt" stroked="t" o:allowincell="t" style="position:absolute">
                      <v:stroke color="black" weight="9360" joinstyle="miter" endcap="flat"/>
                      <v:fill o:detectmouseclick="t" on="false"/>
                      <w10:wrap type="none"/>
                    </v:line>
                  </w:pict>
                </mc:Fallback>
              </mc:AlternateContent>
            </w:r>
          </w:p>
          <w:p>
            <w:pPr>
              <w:pStyle w:val="Normal"/>
              <w:jc w:val="center"/>
              <w:rPr/>
            </w:pPr>
            <w:r>
              <w:rPr>
                <w:i/>
              </w:rPr>
              <w:t>Hà Nội, ngày  13  tháng  9  năm 2016</w:t>
            </w:r>
          </w:p>
        </w:tc>
      </w:tr>
    </w:tbl>
    <w:p>
      <w:pPr>
        <w:pStyle w:val="Normal"/>
        <w:rPr>
          <w:sz w:val="18"/>
          <w:szCs w:val="48"/>
        </w:rPr>
      </w:pPr>
      <w:r>
        <w:rPr>
          <w:sz w:val="18"/>
          <w:szCs w:val="48"/>
        </w:rPr>
      </w:r>
    </w:p>
    <w:tbl>
      <w:tblPr>
        <w:tblW w:w="3240" w:type="dxa"/>
        <w:jc w:val="left"/>
        <w:tblInd w:w="108" w:type="dxa"/>
        <w:tblLayout w:type="fixed"/>
        <w:tblCellMar>
          <w:top w:w="0" w:type="dxa"/>
          <w:left w:w="108" w:type="dxa"/>
          <w:bottom w:w="0" w:type="dxa"/>
          <w:right w:w="108" w:type="dxa"/>
        </w:tblCellMar>
      </w:tblPr>
      <w:tblGrid>
        <w:gridCol w:w="3240"/>
      </w:tblGrid>
      <w:tr>
        <w:trPr/>
        <w:tc>
          <w:tcPr>
            <w:tcW w:w="3240" w:type="dxa"/>
            <w:tcBorders/>
          </w:tcPr>
          <w:p>
            <w:pPr>
              <w:pStyle w:val="Normal"/>
              <w:jc w:val="center"/>
              <w:rPr>
                <w:spacing w:val="-2"/>
              </w:rPr>
            </w:pPr>
            <w:r>
              <w:rPr>
                <w:spacing w:val="-6"/>
                <w:sz w:val="24"/>
              </w:rPr>
              <w:t>V/v tổ chức Ngày Pháp luật</w:t>
            </w:r>
            <w:r>
              <w:rPr>
                <w:spacing w:val="-2"/>
                <w:sz w:val="24"/>
              </w:rPr>
              <w:t xml:space="preserve">                           nước CHXHCN Việt Nam                 </w:t>
            </w:r>
            <w:r>
              <w:rPr>
                <w:spacing w:val="8"/>
                <w:sz w:val="24"/>
              </w:rPr>
              <w:t>năm 2016 trong CAND.</w:t>
            </w:r>
          </w:p>
        </w:tc>
      </w:tr>
    </w:tbl>
    <w:p>
      <w:pPr>
        <w:pStyle w:val="Normal"/>
        <w:ind w:firstLine="720" w:right="0"/>
        <w:jc w:val="both"/>
        <w:rPr/>
      </w:pPr>
      <w:r>
        <w:rPr/>
      </w:r>
    </w:p>
    <w:p>
      <w:pPr>
        <w:pStyle w:val="Normal"/>
        <w:ind w:firstLine="720" w:right="0"/>
        <w:jc w:val="both"/>
        <w:rPr/>
      </w:pPr>
      <w:r>
        <w:rPr/>
      </w:r>
    </w:p>
    <w:tbl>
      <w:tblPr>
        <w:tblW w:w="7760" w:type="dxa"/>
        <w:jc w:val="left"/>
        <w:tblInd w:w="388" w:type="dxa"/>
        <w:tblLayout w:type="fixed"/>
        <w:tblCellMar>
          <w:top w:w="0" w:type="dxa"/>
          <w:left w:w="108" w:type="dxa"/>
          <w:bottom w:w="0" w:type="dxa"/>
          <w:right w:w="108" w:type="dxa"/>
        </w:tblCellMar>
      </w:tblPr>
      <w:tblGrid>
        <w:gridCol w:w="1520"/>
        <w:gridCol w:w="6240"/>
      </w:tblGrid>
      <w:tr>
        <w:trPr/>
        <w:tc>
          <w:tcPr>
            <w:tcW w:w="1520" w:type="dxa"/>
            <w:tcBorders/>
          </w:tcPr>
          <w:p>
            <w:pPr>
              <w:pStyle w:val="Normal"/>
              <w:jc w:val="right"/>
              <w:rPr>
                <w:szCs w:val="28"/>
                <w:lang w:val="nb-NO"/>
              </w:rPr>
            </w:pPr>
            <w:r>
              <w:rPr>
                <w:szCs w:val="28"/>
                <w:lang w:val="nb-NO"/>
              </w:rPr>
              <w:t xml:space="preserve">Kính gửi: </w:t>
            </w:r>
          </w:p>
          <w:p>
            <w:pPr>
              <w:pStyle w:val="Normal"/>
              <w:spacing w:lineRule="auto" w:line="120"/>
              <w:ind w:firstLine="340" w:right="0"/>
              <w:jc w:val="right"/>
              <w:rPr>
                <w:szCs w:val="28"/>
                <w:lang w:val="nb-NO"/>
              </w:rPr>
            </w:pPr>
            <w:r>
              <w:rPr>
                <w:szCs w:val="28"/>
                <w:lang w:val="nb-NO"/>
              </w:rPr>
            </w:r>
          </w:p>
          <w:p>
            <w:pPr>
              <w:pStyle w:val="Normal"/>
              <w:jc w:val="right"/>
              <w:rPr>
                <w:szCs w:val="28"/>
                <w:lang w:val="nb-NO"/>
              </w:rPr>
            </w:pPr>
            <w:r>
              <w:rPr>
                <w:szCs w:val="28"/>
                <w:lang w:val="nb-NO"/>
              </w:rPr>
            </w:r>
          </w:p>
          <w:p>
            <w:pPr>
              <w:pStyle w:val="Normal"/>
              <w:jc w:val="right"/>
              <w:rPr>
                <w:szCs w:val="28"/>
                <w:lang w:val="nb-NO"/>
              </w:rPr>
            </w:pPr>
            <w:r>
              <w:rPr>
                <w:szCs w:val="28"/>
                <w:lang w:val="nb-NO"/>
              </w:rPr>
              <w:t xml:space="preserve">       </w:t>
            </w:r>
          </w:p>
        </w:tc>
        <w:tc>
          <w:tcPr>
            <w:tcW w:w="6240" w:type="dxa"/>
            <w:tcBorders/>
          </w:tcPr>
          <w:p>
            <w:pPr>
              <w:pStyle w:val="Normal"/>
              <w:spacing w:before="120" w:after="0"/>
              <w:jc w:val="both"/>
              <w:rPr>
                <w:szCs w:val="28"/>
                <w:lang w:val="nb-NO"/>
              </w:rPr>
            </w:pPr>
            <w:r>
              <w:rPr>
                <w:szCs w:val="28"/>
                <w:lang w:val="nb-NO"/>
              </w:rPr>
              <w:t>- Các Tổng cục, Bộ Tư lệnh, đơn vị trực thuộc Bộ;</w:t>
            </w:r>
          </w:p>
          <w:p>
            <w:pPr>
              <w:pStyle w:val="Normal"/>
              <w:jc w:val="both"/>
              <w:rPr/>
            </w:pPr>
            <w:r>
              <w:rPr>
                <w:spacing w:val="-8"/>
                <w:szCs w:val="28"/>
                <w:lang w:val="nb-NO"/>
              </w:rPr>
              <w:t>- Công an, Cảnh sát phòng cháy và chữa cháy các tỉnh,                                             thành phố trực thuộc Trung ương;</w:t>
            </w:r>
          </w:p>
          <w:p>
            <w:pPr>
              <w:pStyle w:val="Normal"/>
              <w:jc w:val="both"/>
              <w:rPr>
                <w:szCs w:val="28"/>
                <w:lang w:val="nb-NO"/>
              </w:rPr>
            </w:pPr>
            <w:r>
              <w:rPr>
                <w:szCs w:val="28"/>
                <w:lang w:val="nb-NO"/>
              </w:rPr>
              <w:t>- Các học viện, nhà trường Công an nhân dân.</w:t>
            </w:r>
          </w:p>
        </w:tc>
      </w:tr>
    </w:tbl>
    <w:p>
      <w:pPr>
        <w:pStyle w:val="Normal"/>
        <w:spacing w:before="480" w:after="0"/>
        <w:ind w:firstLine="720" w:right="0"/>
        <w:jc w:val="both"/>
        <w:rPr>
          <w:szCs w:val="28"/>
          <w:lang w:val="es-MX"/>
        </w:rPr>
      </w:pPr>
      <w:r>
        <w:rPr>
          <w:szCs w:val="28"/>
          <w:lang w:val="es-MX"/>
        </w:rPr>
        <w:t xml:space="preserve">Sau 03 năm thực hiện Luật phổ biến, giáo dục pháp luật và các văn bản hướng dẫn thi hành, Ngày Pháp luật nước Cộng hòa xã hội chủ nghĩa Việt Nam (ngày 09/11 hằng năm) đã được các Tổng cục, Bộ Tư lệnh, đơn vị trực thuộc Bộ, Công an, Cảnh sát phòng cháy và chữa cháy các tỉnh, thành phố trực thuộc trung ương, các học viện, nhà trường Công an nhân dân (Công an các đơn vị, địa phương), cán bộ, chiến sĩ Công an nhân dân tích cực hưởng ứng và nghiêm túc triển khai thực hiện. Các hoạt động Ngày Pháp luật đã trở thành đợt sinh hoạt chính trị, pháp lý sâu rộng trong toàn lực lượng Công an nhân dân, góp phần quan trọng trong việc nâng cao kiến thức pháp luật, năng lực áp dụng pháp luật của cán bộ, chiến sĩ Công an nhân dân và hiệu quả tuyên truyền, phổ biến, giáo dục pháp luật (TTPBGDPL) cho Nhân dân. Để tiếp tục triển khai thực hiện Ngày Pháp luật năm 2016 có chất lượng, thiết thực, hiệu quả, Bộ Công an hướng dẫn </w:t>
      </w:r>
      <w:r>
        <w:rPr>
          <w:lang w:val="es-MX"/>
        </w:rPr>
        <w:t>như sau:</w:t>
      </w:r>
    </w:p>
    <w:p>
      <w:pPr>
        <w:pStyle w:val="Normal"/>
        <w:spacing w:before="120" w:after="0"/>
        <w:ind w:firstLine="720" w:right="0"/>
        <w:jc w:val="both"/>
        <w:rPr>
          <w:b/>
          <w:sz w:val="26"/>
          <w:szCs w:val="26"/>
          <w:lang w:val="es-MX"/>
        </w:rPr>
      </w:pPr>
      <w:r>
        <w:rPr>
          <w:b/>
          <w:sz w:val="26"/>
          <w:szCs w:val="26"/>
          <w:lang w:val="es-MX"/>
        </w:rPr>
        <w:t>I. MỤC ĐÍCH</w:t>
      </w:r>
    </w:p>
    <w:p>
      <w:pPr>
        <w:pStyle w:val="Normal"/>
        <w:spacing w:before="120" w:after="0"/>
        <w:ind w:firstLine="720" w:right="0"/>
        <w:jc w:val="both"/>
        <w:rPr>
          <w:spacing w:val="-2"/>
          <w:szCs w:val="28"/>
          <w:lang w:val="es-MX"/>
        </w:rPr>
      </w:pPr>
      <w:r>
        <w:rPr>
          <w:spacing w:val="-2"/>
          <w:szCs w:val="28"/>
          <w:lang w:val="es-MX"/>
        </w:rPr>
        <w:t>1. T</w:t>
      </w:r>
      <w:r>
        <w:rPr>
          <w:color w:val="000000"/>
          <w:spacing w:val="-2"/>
          <w:szCs w:val="28"/>
          <w:lang w:val="es-MX"/>
        </w:rPr>
        <w:t>iếp tục khẳng định vị trí, vai trò của Hiến pháp, pháp luật trong quản lý các lĩnh vực của đời sống xã hội, bảo vệ Tổ quốc, bảo vệ an ninh quốc gia, bảo đảm trật tự, an toàn xã hội; nâng cao ý thức thượng tôn pháp luật của cán bộ, chiến sĩ Công an nhân dân và cho mọi người trong xã hội; bảo vệ quyền con người, quyền công dân; quyền, lợi ích hợp pháp của cơ quan, tổ chức, cá nhân;</w:t>
      </w:r>
      <w:r>
        <w:rPr>
          <w:spacing w:val="-2"/>
          <w:szCs w:val="28"/>
          <w:lang w:val="es-MX"/>
        </w:rPr>
        <w:t xml:space="preserve"> phục vụ sự nghiệp xây dựng, phát triển và bảo vệ Tổ quốc Việt Nam xã hội chủ nghĩa, hội nhập quốc tế</w:t>
      </w:r>
      <w:r>
        <w:rPr>
          <w:color w:val="000000"/>
          <w:spacing w:val="-2"/>
          <w:szCs w:val="28"/>
          <w:lang w:val="es-MX"/>
        </w:rPr>
        <w:t xml:space="preserve">. </w:t>
      </w:r>
    </w:p>
    <w:p>
      <w:pPr>
        <w:pStyle w:val="Normal"/>
        <w:tabs>
          <w:tab w:val="clear" w:pos="720"/>
          <w:tab w:val="left" w:pos="3480" w:leader="none"/>
        </w:tabs>
        <w:spacing w:before="120" w:after="0"/>
        <w:ind w:firstLine="720" w:right="0"/>
        <w:jc w:val="both"/>
        <w:rPr>
          <w:lang w:val="es-MX"/>
        </w:rPr>
      </w:pPr>
      <w:r>
        <w:rPr>
          <w:color w:val="000000"/>
          <w:szCs w:val="28"/>
          <w:lang w:val="es-MX"/>
        </w:rPr>
        <w:t xml:space="preserve">2. Hưởng ứng Ngày Pháp luật bằng hành động cụ thể của Công an đơn vị, địa phương, của mỗi cán bộ, chiến sĩ Công an nhân dân, nhằm nâng cao kiến thức pháp luật, năng lực áp dụng pháp luật, bảo vệ Hiến pháp, pháp luật, tạo chuyển biến căn bản, toàn diện và bền vững trong ý thức tự giác tuân thủ, chấp hành Hiến pháp và pháp luật của cán bộ, chiến sĩ Công an nhân dân, nâng cao chất lượng, hiệu quả TTPBGDPL cho Nhân dân; </w:t>
      </w:r>
      <w:r>
        <w:rPr>
          <w:szCs w:val="28"/>
          <w:lang w:val="es-MX"/>
        </w:rPr>
        <w:t xml:space="preserve">phát hiện, xây dựng, nhân rộng mô hình TTPBGDPL có hiệu quả, gương người tốt, việc tốt trong việc tìm hiểu, chấp hành và bảo vệ Hiến pháp, pháp luật. </w:t>
      </w:r>
    </w:p>
    <w:p>
      <w:pPr>
        <w:pStyle w:val="Normal"/>
        <w:spacing w:before="120" w:after="0"/>
        <w:ind w:firstLine="720" w:right="0"/>
        <w:jc w:val="both"/>
        <w:rPr>
          <w:szCs w:val="28"/>
          <w:lang w:val="es-MX"/>
        </w:rPr>
      </w:pPr>
      <w:r>
        <w:rPr>
          <w:b/>
          <w:sz w:val="26"/>
          <w:szCs w:val="26"/>
          <w:lang w:val="es-MX"/>
        </w:rPr>
        <w:t>II. YÊU CẦU</w:t>
      </w:r>
    </w:p>
    <w:p>
      <w:pPr>
        <w:pStyle w:val="Normal"/>
        <w:spacing w:before="120" w:after="0"/>
        <w:ind w:firstLine="720" w:right="0"/>
        <w:jc w:val="both"/>
        <w:rPr/>
      </w:pPr>
      <w:r>
        <w:rPr>
          <w:spacing w:val="-2"/>
          <w:szCs w:val="28"/>
          <w:lang w:val="es-MX"/>
        </w:rPr>
        <w:t>1. Việc tổ chức Ngày Pháp luật phải bả</w:t>
      </w:r>
      <w:r>
        <w:rPr>
          <w:color w:val="000000"/>
          <w:spacing w:val="-2"/>
          <w:szCs w:val="28"/>
          <w:lang w:val="es-MX"/>
        </w:rPr>
        <w:t xml:space="preserve">o đảm </w:t>
      </w:r>
      <w:r>
        <w:rPr>
          <w:bCs/>
          <w:szCs w:val="28"/>
          <w:lang w:val="es-MX"/>
        </w:rPr>
        <w:t>sự chỉ đạo chặt chẽ của cấp ủy Đảng và lãnh đạo Công an các cấp,</w:t>
      </w:r>
      <w:r>
        <w:rPr>
          <w:color w:val="000000"/>
          <w:spacing w:val="-2"/>
          <w:szCs w:val="28"/>
          <w:lang w:val="es-MX"/>
        </w:rPr>
        <w:t xml:space="preserve"> thiết thực, tiết kiệm, hiệu quả, có trọng tâm, trọng điểm</w:t>
      </w:r>
      <w:r>
        <w:rPr>
          <w:spacing w:val="-2"/>
          <w:szCs w:val="28"/>
          <w:lang w:val="es-MX"/>
        </w:rPr>
        <w:t xml:space="preserve"> với sự tham gia tích cực của toàn thể cán bộ, chiến sĩ Công an nhân dân</w:t>
      </w:r>
      <w:r>
        <w:rPr>
          <w:color w:val="000000"/>
          <w:spacing w:val="-2"/>
          <w:szCs w:val="28"/>
          <w:lang w:val="es-MX"/>
        </w:rPr>
        <w:t>; bám sát nhiệm vụ chính trị, pháp lý của đất nước và của lực lượng Công an nhân dân, trong đó trọng tâm là công tác xây dựng, thi hành và bảo vệ pháp luật về an ninh, trật tự; gắn các hoạt động TTPBGDPL</w:t>
      </w:r>
      <w:r>
        <w:rPr>
          <w:color w:val="000000"/>
          <w:szCs w:val="28"/>
          <w:lang w:val="es-MX"/>
        </w:rPr>
        <w:t xml:space="preserve"> với công tác xây dựng pháp luật, theo dõi, kiểm tra tình hình thi hành pháp luật, thực hiện các quy định về thực hiện dân chủ trong Công an nhân dân.</w:t>
      </w:r>
    </w:p>
    <w:p>
      <w:pPr>
        <w:pStyle w:val="Normal"/>
        <w:spacing w:before="120" w:after="0"/>
        <w:ind w:firstLine="720" w:right="0"/>
        <w:jc w:val="both"/>
        <w:rPr>
          <w:lang w:val="es-MX"/>
        </w:rPr>
      </w:pPr>
      <w:r>
        <w:rPr>
          <w:szCs w:val="28"/>
          <w:lang w:val="es-MX"/>
        </w:rPr>
        <w:t xml:space="preserve">2. Phát huy kết quả, kinh nghiệm các năm trước, khắc phục hạn chế; </w:t>
      </w:r>
      <w:r>
        <w:rPr>
          <w:szCs w:val="28"/>
          <w:lang w:val="vi-VN"/>
        </w:rPr>
        <w:t>đổi mới nội dung, hình</w:t>
      </w:r>
      <w:r>
        <w:rPr>
          <w:szCs w:val="28"/>
          <w:lang w:val="es-MX"/>
        </w:rPr>
        <w:t xml:space="preserve"> thức</w:t>
      </w:r>
      <w:r>
        <w:rPr>
          <w:szCs w:val="28"/>
          <w:lang w:val="vi-VN"/>
        </w:rPr>
        <w:t xml:space="preserve"> </w:t>
      </w:r>
      <w:r>
        <w:rPr>
          <w:szCs w:val="28"/>
          <w:lang w:val="es-MX"/>
        </w:rPr>
        <w:t>tổ chức</w:t>
      </w:r>
      <w:r>
        <w:rPr>
          <w:lang w:val="es-MX"/>
        </w:rPr>
        <w:t xml:space="preserve"> Ngày Pháp luật năm 2016</w:t>
      </w:r>
      <w:r>
        <w:rPr>
          <w:szCs w:val="28"/>
          <w:lang w:val="es-MX"/>
        </w:rPr>
        <w:t xml:space="preserve"> </w:t>
      </w:r>
      <w:r>
        <w:rPr>
          <w:szCs w:val="28"/>
          <w:lang w:val="vi-VN"/>
        </w:rPr>
        <w:t xml:space="preserve">phù hợp với </w:t>
      </w:r>
      <w:r>
        <w:rPr>
          <w:szCs w:val="28"/>
          <w:lang w:val="es-MX"/>
        </w:rPr>
        <w:t xml:space="preserve">tình hình, </w:t>
      </w:r>
      <w:r>
        <w:rPr>
          <w:szCs w:val="28"/>
          <w:lang w:val="vi-VN"/>
        </w:rPr>
        <w:t>điều kiện</w:t>
      </w:r>
      <w:r>
        <w:rPr>
          <w:lang w:val="es-MX"/>
        </w:rPr>
        <w:t xml:space="preserve"> thực tiễn công tác, chiến đấu của Công an từng đơn vị, địa phương. Xác định cụ thể nội dung công việc, phân công nhiệm vụ và trách nhiệm thực hiện đối với đơn vị, cá nhân trong tổ chức Ngày Pháp luật; trong đó chú trọng phát huy vai trò nòng cốt của tổ chức pháp chế và cải cách hành chính, tư pháp, đội ngũ báo cáo viên pháp luật, cán bộ làm công tác giảng dạy và cán bộ làm công tác TTPBGDPL.</w:t>
      </w:r>
    </w:p>
    <w:p>
      <w:pPr>
        <w:pStyle w:val="Normal"/>
        <w:spacing w:before="120" w:after="0"/>
        <w:ind w:firstLine="720" w:right="0"/>
        <w:jc w:val="both"/>
        <w:rPr>
          <w:b/>
          <w:sz w:val="26"/>
          <w:szCs w:val="26"/>
          <w:lang w:val="es-MX"/>
        </w:rPr>
      </w:pPr>
      <w:r>
        <w:rPr>
          <w:b/>
          <w:sz w:val="26"/>
          <w:szCs w:val="26"/>
          <w:lang w:val="es-MX"/>
        </w:rPr>
        <w:t>III. NỘI DUNG</w:t>
      </w:r>
    </w:p>
    <w:p>
      <w:pPr>
        <w:pStyle w:val="Normal"/>
        <w:spacing w:before="120" w:after="0"/>
        <w:ind w:firstLine="720" w:right="0"/>
        <w:jc w:val="both"/>
        <w:rPr>
          <w:b/>
          <w:lang w:val="es-MX"/>
        </w:rPr>
      </w:pPr>
      <w:r>
        <w:rPr>
          <w:b/>
          <w:lang w:val="es-MX"/>
        </w:rPr>
        <w:t xml:space="preserve">1. Về chủ đề và khẩu hiệu </w:t>
      </w:r>
    </w:p>
    <w:p>
      <w:pPr>
        <w:pStyle w:val="Normal"/>
        <w:spacing w:before="120" w:after="0"/>
        <w:ind w:firstLine="720" w:right="0"/>
        <w:jc w:val="both"/>
        <w:rPr>
          <w:b/>
          <w:i/>
          <w:i/>
          <w:lang w:val="es-MX"/>
        </w:rPr>
      </w:pPr>
      <w:r>
        <w:rPr>
          <w:b/>
          <w:i/>
          <w:lang w:val="es-MX"/>
        </w:rPr>
        <w:t>1.1. Chủ đề</w:t>
      </w:r>
    </w:p>
    <w:p>
      <w:pPr>
        <w:pStyle w:val="Normal"/>
        <w:spacing w:before="120" w:after="0"/>
        <w:ind w:firstLine="720" w:right="0"/>
        <w:jc w:val="both"/>
        <w:rPr>
          <w:b/>
          <w:i/>
          <w:i/>
          <w:color w:val="000000"/>
          <w:szCs w:val="28"/>
          <w:lang w:val="es-MX"/>
        </w:rPr>
      </w:pPr>
      <w:r>
        <w:rPr>
          <w:b/>
          <w:i/>
          <w:color w:val="000000"/>
          <w:szCs w:val="28"/>
          <w:lang w:val="es-MX"/>
        </w:rPr>
        <w:t>Nâng cao năng lực xây dựng, tổ chức thi hành pháp luật; tích cực học tập, nâng cao ý thức tôn trọng pháp luật, nghiêm chỉnh chấp hành, bảo vệ Hiến pháp, pháp luật của cán bộ, chiến sĩ Công an nhân dân; bảo vệ an ninh quốc gia, bảo đảm trật tự, an toàn xã hội, góp phần phục vụ phát triển kinh tế, xã hội của đất nước; phát huy dân chủ, bảo vệ quyền con người, quyền và nghĩa vụ cơ bản công dân.</w:t>
      </w:r>
    </w:p>
    <w:p>
      <w:pPr>
        <w:pStyle w:val="Normal"/>
        <w:spacing w:before="120" w:after="0"/>
        <w:ind w:firstLine="720" w:right="0"/>
        <w:jc w:val="both"/>
        <w:rPr>
          <w:b/>
          <w:i/>
          <w:i/>
          <w:lang w:val="es-MX"/>
        </w:rPr>
      </w:pPr>
      <w:r>
        <w:rPr>
          <w:b/>
          <w:i/>
          <w:lang w:val="es-MX"/>
        </w:rPr>
        <w:t xml:space="preserve">1.2. Khẩu hiệu </w:t>
      </w:r>
    </w:p>
    <w:p>
      <w:pPr>
        <w:pStyle w:val="Normal"/>
        <w:spacing w:before="120" w:after="0"/>
        <w:ind w:firstLine="720" w:right="0"/>
        <w:jc w:val="both"/>
        <w:rPr>
          <w:lang w:val="es-MX"/>
        </w:rPr>
      </w:pPr>
      <w:r>
        <w:rPr>
          <w:lang w:val="es-MX"/>
        </w:rPr>
        <w:t xml:space="preserve">- “Lực lượng Công an nhân dân tích cực hưởng ứng </w:t>
      </w:r>
      <w:r>
        <w:rPr>
          <w:szCs w:val="28"/>
          <w:lang w:val="vi-VN"/>
        </w:rPr>
        <w:t>Ngày Pháp luật nước Cộng hòa xã hội chủ nghĩa Việt Nam”</w:t>
      </w:r>
      <w:r>
        <w:rPr>
          <w:szCs w:val="28"/>
          <w:lang w:val="es-MX"/>
        </w:rPr>
        <w:t>.</w:t>
      </w:r>
      <w:r>
        <w:rPr>
          <w:szCs w:val="28"/>
          <w:lang w:val="vi-VN"/>
        </w:rPr>
        <w:t xml:space="preserve"> </w:t>
      </w:r>
    </w:p>
    <w:p>
      <w:pPr>
        <w:pStyle w:val="Normal"/>
        <w:spacing w:before="120" w:after="0"/>
        <w:ind w:firstLine="720" w:right="0"/>
        <w:jc w:val="both"/>
        <w:rPr>
          <w:lang w:val="es-MX"/>
        </w:rPr>
      </w:pPr>
      <w:r>
        <w:rPr>
          <w:lang w:val="es-MX"/>
        </w:rPr>
        <w:t>- “Tìm hiểu, học tập và nâng cao kiến thức pháp luật là quyền và nghĩa vụ của mỗi cán bộ, chiến sĩ Công an nhân dân”.</w:t>
      </w:r>
    </w:p>
    <w:p>
      <w:pPr>
        <w:pStyle w:val="Normal"/>
        <w:spacing w:before="120" w:after="0"/>
        <w:ind w:firstLine="720" w:right="0"/>
        <w:jc w:val="both"/>
        <w:rPr>
          <w:lang w:val="es-MX"/>
        </w:rPr>
      </w:pPr>
      <w:r>
        <w:rPr>
          <w:lang w:val="es-MX"/>
        </w:rPr>
        <w:t>- “</w:t>
      </w:r>
      <w:r>
        <w:rPr>
          <w:color w:val="000000"/>
          <w:szCs w:val="28"/>
          <w:lang w:val="es-MX"/>
        </w:rPr>
        <w:t>T</w:t>
      </w:r>
      <w:r>
        <w:rPr>
          <w:color w:val="000000"/>
          <w:szCs w:val="28"/>
          <w:lang w:val="vi-VN"/>
        </w:rPr>
        <w:t>ôn trọng</w:t>
      </w:r>
      <w:r>
        <w:rPr>
          <w:color w:val="000000"/>
          <w:szCs w:val="28"/>
          <w:lang w:val="es-MX"/>
        </w:rPr>
        <w:t>,</w:t>
      </w:r>
      <w:r>
        <w:rPr>
          <w:color w:val="000000"/>
          <w:szCs w:val="28"/>
          <w:lang w:val="vi-VN"/>
        </w:rPr>
        <w:t xml:space="preserve"> chấp hành</w:t>
      </w:r>
      <w:r>
        <w:rPr>
          <w:color w:val="000000"/>
          <w:szCs w:val="28"/>
          <w:lang w:val="es-MX"/>
        </w:rPr>
        <w:t>, bảo vệ Hiến pháp, pháp luật</w:t>
      </w:r>
      <w:r>
        <w:rPr>
          <w:lang w:val="es-MX"/>
        </w:rPr>
        <w:t xml:space="preserve"> là nhiệm vụ của mỗi cán bộ, chiến sĩ Công an nhân dân”.</w:t>
      </w:r>
    </w:p>
    <w:p>
      <w:pPr>
        <w:pStyle w:val="Normal"/>
        <w:spacing w:before="120" w:after="0"/>
        <w:ind w:firstLine="720" w:right="0"/>
        <w:jc w:val="both"/>
        <w:rPr/>
      </w:pPr>
      <w:r>
        <w:rPr>
          <w:lang w:val="es-MX"/>
        </w:rPr>
        <w:t>- Các khẩu hiệu tuyên truyền khác phù hợp với chủ đề Ngày Pháp luật năm 2016 gắn với chức năng, nhiệm vụ và thực tiễn công tác, chiến đấu của Công an các đơn vị, địa phương.</w:t>
      </w:r>
    </w:p>
    <w:p>
      <w:pPr>
        <w:pStyle w:val="Normal"/>
        <w:spacing w:before="120" w:after="0"/>
        <w:ind w:firstLine="720" w:right="0"/>
        <w:jc w:val="both"/>
        <w:rPr>
          <w:b/>
          <w:lang w:val="es-MX"/>
        </w:rPr>
      </w:pPr>
      <w:r>
        <w:rPr>
          <w:b/>
          <w:lang w:val="es-MX"/>
        </w:rPr>
        <w:t>2. Về nội dung</w:t>
      </w:r>
    </w:p>
    <w:p>
      <w:pPr>
        <w:pStyle w:val="Normal"/>
        <w:spacing w:before="120" w:after="0"/>
        <w:ind w:firstLine="720" w:right="0"/>
        <w:jc w:val="both"/>
        <w:rPr>
          <w:szCs w:val="28"/>
          <w:lang w:val="es-MX"/>
        </w:rPr>
      </w:pPr>
      <w:r>
        <w:rPr>
          <w:szCs w:val="28"/>
          <w:lang w:val="es-MX"/>
        </w:rPr>
        <w:t xml:space="preserve">Các hoạt động hưởng ứng Ngày Pháp luật gắn với việc quán triệt, triển khai thực hiện Nghị quyết Đại hội đại biểu toàn quốc lần thứ XII của Đảng, các nhiệm vụ trọng tâm nêu tại Nghị quyết số 01-NQ/ĐUCA ngày 22/12/2015 của Đảng ủy Công an Trung ương về nhiệm vụ bảo đảm an ninh quốc gia, giữ gìn trật tự, an toàn xã hội và xây dựng lực lượng Công an nhân dân năm 2016, Chỉ thị số 11/CT-BCA-V11 ngày 25/12/2015 của Bộ trưởng Bộ Công an về nhiệm vụ công tác công an năm 2016, Chương trình xây dựng, hoàn thiện văn bản quy phạm pháp luật và các kế hoạch tổ chức thi hành văn bản pháp luật, phù hợp với chức năng, nhiệm vụ của Công an mỗi đơn vị, địa phương, trọng tâm là: </w:t>
      </w:r>
    </w:p>
    <w:p>
      <w:pPr>
        <w:pStyle w:val="Normal"/>
        <w:spacing w:lineRule="auto" w:line="242" w:before="120" w:after="0"/>
        <w:ind w:firstLine="720" w:right="0"/>
        <w:jc w:val="both"/>
        <w:rPr>
          <w:color w:val="000000"/>
          <w:szCs w:val="28"/>
          <w:lang w:val="es-MX"/>
        </w:rPr>
      </w:pPr>
      <w:r>
        <w:rPr>
          <w:szCs w:val="28"/>
          <w:lang w:val="es-MX"/>
        </w:rPr>
        <w:t>- Tuyên truyền, phổ biến sâu rộng nội dung chính sách trong các văn bản pháp luật, các hành vi bị nghiêm cấm, chế tài xử lý; các quy định mới liên quan trực tiếp đến công tác bảo đảm an ninh, trật tự như: Bộ luật tố tụng hình sự năm 2015, Luật tổ chức cơ quan điều tra hình sự năm 2015, Luật thi hành tạm giữ, tạm giam năm 2015, Luật ban hành văn bản quy phạm pháp luật năm 2015, Luật tiếp cận thông tin năm 2016, Luật báo chí năm 2016, Luật trẻ em năm 2016, pháp luật về xử lý vi phạm hành chính...; các chính sách, nội dung dự kiến sửa đổi, bổ sung, ban hành mới, như: Bộ luật hình sự năm 2015, Luật về hội, Luật công an xã, Luật cảnh vệ,</w:t>
      </w:r>
      <w:r>
        <w:rPr>
          <w:color w:val="000000"/>
          <w:szCs w:val="28"/>
          <w:lang w:val="es-MX"/>
        </w:rPr>
        <w:t xml:space="preserve"> Luật quản lý, sử dụng vũ khí, vật liệu nổ và công cụ hỗ trợ. </w:t>
      </w:r>
    </w:p>
    <w:p>
      <w:pPr>
        <w:pStyle w:val="Normal"/>
        <w:spacing w:lineRule="auto" w:line="242" w:before="120" w:after="0"/>
        <w:ind w:firstLine="720" w:right="0"/>
        <w:jc w:val="both"/>
        <w:rPr>
          <w:color w:val="000000"/>
          <w:szCs w:val="28"/>
          <w:lang w:val="es-MX"/>
        </w:rPr>
      </w:pPr>
      <w:r>
        <w:rPr>
          <w:color w:val="000000"/>
          <w:szCs w:val="28"/>
          <w:lang w:val="es-MX"/>
        </w:rPr>
        <w:t xml:space="preserve">- Tổ chức </w:t>
      </w:r>
      <w:r>
        <w:rPr>
          <w:szCs w:val="28"/>
          <w:lang w:val="es-MX"/>
        </w:rPr>
        <w:t>tuyên truyền, phổ biến các quy định của pháp luật mà dư luận xã hội đang quan tâm như: pháp luật về bảo đảm trật tự an toàn giao thông đường bộ, về phòng cháy, chữa cháy; về quản lý, sử dụng vũ khí, vật liệu nổ, công cụ hỗ trợ; điều kiện về an ninh, trật tự đối với một số ngành, nghề đầu tư kinh doanh có điều kiện...; tích cực, chủ động phối hợp với các ban, ngành, đoàn thể, cơ quan, doanh nghiệp, nhà trường trong TTPBGDPL, tạo sự đồng thuận cao trong xã hội, tranh thủ sự ủng hộ, giúp đỡ của các tầng lớp nhân dân để lực lượng Công an hoàn thành tốt nhiệm vụ.</w:t>
      </w:r>
    </w:p>
    <w:p>
      <w:pPr>
        <w:pStyle w:val="Normal"/>
        <w:spacing w:lineRule="auto" w:line="242" w:before="120" w:after="0"/>
        <w:ind w:firstLine="720" w:right="0"/>
        <w:jc w:val="both"/>
        <w:rPr/>
      </w:pPr>
      <w:r>
        <w:rPr>
          <w:szCs w:val="28"/>
          <w:lang w:val="es-MX"/>
        </w:rPr>
        <w:t xml:space="preserve">- Tổ chức </w:t>
      </w:r>
      <w:r>
        <w:rPr>
          <w:lang w:val="es-MX"/>
        </w:rPr>
        <w:t xml:space="preserve">phổ biến, quán triệt, </w:t>
      </w:r>
      <w:r>
        <w:rPr>
          <w:szCs w:val="28"/>
          <w:lang w:val="es-MX"/>
        </w:rPr>
        <w:t>tập huấn chuyên sâu trong toàn lực lượng Công an nhân dân về Bộ luật tố tụng hình sự năm 2015, Luật tổ chức cơ quan điều tra hình sự năm 2015, Luật thi hành tạm giữ, tạm giam năm 2015, chuẩn bị các điều kiện để tổ chức thi hành khi các đạo luật này có hiệu lực thi hành.</w:t>
      </w:r>
    </w:p>
    <w:p>
      <w:pPr>
        <w:pStyle w:val="Normal"/>
        <w:spacing w:lineRule="auto" w:line="242" w:before="120" w:after="0"/>
        <w:ind w:firstLine="720" w:right="0"/>
        <w:jc w:val="both"/>
        <w:rPr/>
      </w:pPr>
      <w:r>
        <w:rPr>
          <w:szCs w:val="28"/>
          <w:lang w:val="es-MX"/>
        </w:rPr>
        <w:t>- Tập trung thực hiện, hoàn thành Chương trình xây dựng luật, pháp lệnh của Quốc hội, Chính phủ, Chương trình xây dựng văn bản quy phạm pháp luật của Bộ Công an bảo đảm chất lượng và tiến độ đã đề ra trong năm 2016; gắn xây dựng, hoàn thiện pháp luật với hoạt động TTPBGDPL, tổ chức thi hành pháp luật, cải cách hành chính, cải cách tư pháp, bảo vệ quyền con người, quyền công dân, xây dựng ý thức pháp luật, văn hóa pháp lý cho cán bộ, chiến sĩ Công an và Nhân dân.</w:t>
      </w:r>
    </w:p>
    <w:p>
      <w:pPr>
        <w:pStyle w:val="Normal"/>
        <w:spacing w:lineRule="auto" w:line="242" w:before="120" w:after="0"/>
        <w:ind w:firstLine="720" w:right="0"/>
        <w:jc w:val="both"/>
        <w:rPr/>
      </w:pPr>
      <w:r>
        <w:rPr>
          <w:szCs w:val="28"/>
          <w:lang w:val="es-MX"/>
        </w:rPr>
        <w:t xml:space="preserve">- </w:t>
      </w:r>
      <w:r>
        <w:rPr>
          <w:szCs w:val="28"/>
          <w:lang w:val="vi-VN"/>
        </w:rPr>
        <w:t>Giáo dục ý thức</w:t>
      </w:r>
      <w:r>
        <w:rPr>
          <w:szCs w:val="28"/>
          <w:lang w:val="es-MX"/>
        </w:rPr>
        <w:t xml:space="preserve"> và lợi ích của việc tôn trọng, tuân thủ, chấp hành Hiến pháp và pháp luật trong Nhân dân;</w:t>
      </w:r>
      <w:r>
        <w:rPr>
          <w:bCs/>
          <w:szCs w:val="28"/>
          <w:lang w:val="es-MX"/>
        </w:rPr>
        <w:t xml:space="preserve"> nâng cao trách nhiệm trong các hoạt động thực thi pháp luật, bảo vệ Hiến pháp, pháp luật của mỗi cán bộ, chiến sĩ Công an nhân dân</w:t>
      </w:r>
      <w:r>
        <w:rPr>
          <w:szCs w:val="28"/>
          <w:lang w:val="es-MX"/>
        </w:rPr>
        <w:t xml:space="preserve">; </w:t>
      </w:r>
      <w:r>
        <w:rPr>
          <w:lang w:val="vi-VN"/>
        </w:rPr>
        <w:t xml:space="preserve">rà soát, đánh giá chất lượng, lựa chọn </w:t>
      </w:r>
      <w:r>
        <w:rPr>
          <w:lang w:val="es-MX"/>
        </w:rPr>
        <w:t>(</w:t>
      </w:r>
      <w:r>
        <w:rPr>
          <w:lang w:val="vi-VN"/>
        </w:rPr>
        <w:t>về phẩm chất chính trị, đạo đức, lối sống, kiến thức pháp luật, khả năng truyền đạt, ý thức tổ chức kỷ luật và có sức cảm hóa, thu phục người nghe</w:t>
      </w:r>
      <w:r>
        <w:rPr>
          <w:lang w:val="es-MX"/>
        </w:rPr>
        <w:t>),</w:t>
      </w:r>
      <w:r>
        <w:rPr>
          <w:lang w:val="vi-VN"/>
        </w:rPr>
        <w:t xml:space="preserve"> chuẩn hóa đội ngũ báo cáo viên pháp luật, phát huy vai trò </w:t>
      </w:r>
      <w:r>
        <w:rPr>
          <w:lang w:val="es-MX"/>
        </w:rPr>
        <w:t xml:space="preserve">nòng cốt </w:t>
      </w:r>
      <w:r>
        <w:rPr>
          <w:lang w:val="vi-VN"/>
        </w:rPr>
        <w:t xml:space="preserve">của đội ngũ này trong thực hiện nhiệm vụ </w:t>
      </w:r>
      <w:r>
        <w:rPr>
          <w:lang w:val="es-MX"/>
        </w:rPr>
        <w:t>TT</w:t>
      </w:r>
      <w:r>
        <w:rPr>
          <w:lang w:val="vi-VN"/>
        </w:rPr>
        <w:t>PBGDPL</w:t>
      </w:r>
      <w:r>
        <w:rPr>
          <w:szCs w:val="28"/>
          <w:lang w:val="es-MX"/>
        </w:rPr>
        <w:t>; xây dựng, bồi dưỡng, nhân rộng gương người tốt, việc tốt trong thực hiện pháp luật; phê phán, đấu tranh với những hành vi vi phạm pháp luật hoặc lệch chuẩn xã hội.</w:t>
      </w:r>
    </w:p>
    <w:p>
      <w:pPr>
        <w:pStyle w:val="Normal"/>
        <w:spacing w:lineRule="auto" w:line="242" w:before="120" w:after="0"/>
        <w:ind w:firstLine="720" w:right="0"/>
        <w:jc w:val="both"/>
        <w:rPr/>
      </w:pPr>
      <w:r>
        <w:rPr>
          <w:szCs w:val="28"/>
          <w:lang w:val="es-MX"/>
        </w:rPr>
        <w:t>- Phát hiện, nhân rộng các hình thức TTPBGDPL hiệu quả; biểu dương, khen thưởng những tập thể, cá nhân có thành tích xuất sắc trong công tác xây dựng, thi hành, bảo vệ pháp luật; tham gia TTPBGDPL và vận động Nhân dân tuân thủ, chấp hành chính sách, pháp luật.</w:t>
      </w:r>
    </w:p>
    <w:p>
      <w:pPr>
        <w:pStyle w:val="Normal"/>
        <w:spacing w:lineRule="auto" w:line="242" w:before="120" w:after="0"/>
        <w:ind w:firstLine="720" w:right="0"/>
        <w:jc w:val="both"/>
        <w:rPr>
          <w:b/>
          <w:szCs w:val="28"/>
          <w:lang w:val="es-MX"/>
        </w:rPr>
      </w:pPr>
      <w:r>
        <w:rPr>
          <w:b/>
          <w:szCs w:val="28"/>
          <w:lang w:val="es-MX"/>
        </w:rPr>
        <w:t>3</w:t>
      </w:r>
      <w:r>
        <w:rPr>
          <w:b/>
          <w:szCs w:val="28"/>
          <w:lang w:val="vi-VN"/>
        </w:rPr>
        <w:t xml:space="preserve">. </w:t>
      </w:r>
      <w:r>
        <w:rPr>
          <w:b/>
          <w:szCs w:val="28"/>
          <w:lang w:val="es-MX"/>
        </w:rPr>
        <w:t>Về h</w:t>
      </w:r>
      <w:r>
        <w:rPr>
          <w:b/>
          <w:szCs w:val="28"/>
          <w:lang w:val="vi-VN"/>
        </w:rPr>
        <w:t>ình thức</w:t>
      </w:r>
    </w:p>
    <w:p>
      <w:pPr>
        <w:pStyle w:val="Normal"/>
        <w:spacing w:lineRule="auto" w:line="242" w:before="120" w:after="0"/>
        <w:ind w:firstLine="720" w:right="0"/>
        <w:jc w:val="both"/>
        <w:rPr>
          <w:szCs w:val="28"/>
          <w:lang w:val="es-MX"/>
        </w:rPr>
      </w:pPr>
      <w:r>
        <w:rPr>
          <w:szCs w:val="28"/>
          <w:lang w:val="es-MX"/>
        </w:rPr>
        <w:t xml:space="preserve">Căn cứ chức năng, nhiệm vụ, điều kiện cụ thể, Công an đơn vị, địa phương tổ chức TTPBGDPL cho cán bộ, chiến sĩ và nhân dân thông qua các hình thức sau: </w:t>
      </w:r>
    </w:p>
    <w:p>
      <w:pPr>
        <w:pStyle w:val="Normal"/>
        <w:spacing w:lineRule="auto" w:line="242" w:before="120" w:after="0"/>
        <w:ind w:firstLine="720" w:right="0"/>
        <w:jc w:val="both"/>
        <w:rPr>
          <w:szCs w:val="28"/>
          <w:lang w:val="pt-BR"/>
        </w:rPr>
      </w:pPr>
      <w:r>
        <w:rPr>
          <w:rStyle w:val="normalchar"/>
          <w:szCs w:val="28"/>
          <w:lang w:val="es-MX"/>
        </w:rPr>
        <w:t>- H</w:t>
      </w:r>
      <w:r>
        <w:rPr>
          <w:szCs w:val="28"/>
          <w:lang w:val="es-MX"/>
        </w:rPr>
        <w:t xml:space="preserve">ội nghị phổ biến, quán triệt, tập huấn chuyên sâu các văn bản pháp luật; tổ chức hội thảo, tọa đàm về xây dựng, tổ chức thi hành pháp luật; </w:t>
      </w:r>
      <w:r>
        <w:rPr>
          <w:szCs w:val="28"/>
          <w:lang w:val="pt-BR"/>
        </w:rPr>
        <w:t>lồng ghép trong công tác giáo dục chính trị, tư tưởng, đạo đức, lối sống, trong các buổi giao ban, cuộc họp của đơn vị, đoàn thể;</w:t>
      </w:r>
      <w:r>
        <w:rPr>
          <w:szCs w:val="28"/>
          <w:lang w:val="es-MX"/>
        </w:rPr>
        <w:t xml:space="preserve"> tổ chức </w:t>
      </w:r>
      <w:r>
        <w:rPr>
          <w:lang w:val="es-MX"/>
        </w:rPr>
        <w:t xml:space="preserve">thi tìm hiểu pháp luật, ngày hội pháp luật; </w:t>
      </w:r>
      <w:r>
        <w:rPr>
          <w:szCs w:val="28"/>
          <w:lang w:val="es-MX"/>
        </w:rPr>
        <w:t xml:space="preserve">thông qua hoạt động thực thi nhiệm vụ </w:t>
      </w:r>
      <w:r>
        <w:rPr>
          <w:szCs w:val="28"/>
          <w:lang w:val="pt-BR"/>
        </w:rPr>
        <w:t>của mỗi cán bộ, chiến sĩ; thông qua xây dựng phong trào toàn dân bảo vệ an ninh Tổ quốc.</w:t>
      </w:r>
    </w:p>
    <w:p>
      <w:pPr>
        <w:pStyle w:val="Normal"/>
        <w:spacing w:lineRule="auto" w:line="242" w:before="120" w:after="0"/>
        <w:ind w:firstLine="720" w:right="0"/>
        <w:jc w:val="both"/>
        <w:rPr/>
      </w:pPr>
      <w:r>
        <w:rPr>
          <w:lang w:val="pt-BR"/>
        </w:rPr>
        <w:t xml:space="preserve">- </w:t>
      </w:r>
      <w:r>
        <w:rPr>
          <w:szCs w:val="28"/>
          <w:lang w:val="es-MX"/>
        </w:rPr>
        <w:t xml:space="preserve">Tuyên truyền trực quan bằng pa-nô, áp phích, băng rôn, cờ, phướn ở cơ quan, đơn vị (đối với trụ sở làm việc của Bộ Công an, Tổng cục, Bộ Tư lệnh, đơn vị trực thuộc Bộ, đơn </w:t>
      </w:r>
      <w:r>
        <w:rPr>
          <w:szCs w:val="28"/>
          <w:lang w:val="pt-BR"/>
        </w:rPr>
        <w:t>vị được giao quản lý trụ sở chịu trách nhiệm tổ chức các hoạt động nêu trên</w:t>
      </w:r>
      <w:r>
        <w:rPr>
          <w:szCs w:val="28"/>
          <w:lang w:val="es-MX"/>
        </w:rPr>
        <w:t>). Phối hợp ra quân tình nguyện, hoạt động tuyên truyền, phổ biến pháp luật ở cơ quan, tổ chức, địa bàn dân cư, giáo dục pháp luật ngoại khóa cho học sinh, sinh viên ở các học viện, nhà trường Công an nhân dân; lồng ghép trong lễ hội, sinh hoạt văn hóa, văn nghệ có sự tham gia rộng rãi của nhân dân để tuyên truyền bài trừ hủ tục lạc hậu, mê tín dị đoan, phòng, chống tệ nạn xã hội, phòng chống tội phạm, vi phạm pháp luật.</w:t>
      </w:r>
      <w:r>
        <w:rPr>
          <w:lang w:val="es-MX"/>
        </w:rPr>
        <w:t xml:space="preserve"> </w:t>
      </w:r>
    </w:p>
    <w:p>
      <w:pPr>
        <w:pStyle w:val="Normal"/>
        <w:spacing w:lineRule="auto" w:line="242" w:before="120" w:after="0"/>
        <w:ind w:firstLine="720" w:right="0"/>
        <w:jc w:val="both"/>
        <w:rPr>
          <w:szCs w:val="28"/>
          <w:lang w:val="es-MX"/>
        </w:rPr>
      </w:pPr>
      <w:r>
        <w:rPr>
          <w:rStyle w:val="normalchar"/>
          <w:szCs w:val="28"/>
          <w:lang w:val="es-MX"/>
        </w:rPr>
        <w:t xml:space="preserve">- Các cơ quan báo chí, truyền thông của Bộ Công an, Công an các đơn vị, địa phương (Báo viết, Báo hình, Tạp chí, Cổng thông tin điện tử, Trang thông tin điện tử, Báo điện tử) chủ trì, phối hợp với các đơn vị liên quan mở </w:t>
      </w:r>
      <w:r>
        <w:rPr>
          <w:szCs w:val="28"/>
          <w:lang w:val="es-MX"/>
        </w:rPr>
        <w:t>chuyên trang, chuyên mục để tuyên truyền, phổ biến, bình luận, đối thoại chính sách, pháp luật về an ninh, trật tự gắn với những vấn đề dư luận xã hội quan tâm.</w:t>
      </w:r>
    </w:p>
    <w:p>
      <w:pPr>
        <w:pStyle w:val="Normal"/>
        <w:spacing w:lineRule="auto" w:line="242" w:before="120" w:after="0"/>
        <w:ind w:firstLine="720" w:right="0"/>
        <w:jc w:val="both"/>
        <w:rPr>
          <w:b/>
          <w:szCs w:val="28"/>
          <w:lang w:val="es-MX"/>
        </w:rPr>
      </w:pPr>
      <w:r>
        <w:rPr>
          <w:b/>
          <w:szCs w:val="28"/>
          <w:lang w:val="es-MX"/>
        </w:rPr>
        <w:t>4. Về thời gian</w:t>
      </w:r>
    </w:p>
    <w:p>
      <w:pPr>
        <w:pStyle w:val="Normal"/>
        <w:spacing w:lineRule="auto" w:line="242" w:before="120" w:after="0"/>
        <w:ind w:firstLine="720" w:right="0"/>
        <w:jc w:val="both"/>
        <w:rPr>
          <w:b/>
          <w:szCs w:val="28"/>
          <w:lang w:val="es-MX"/>
        </w:rPr>
      </w:pPr>
      <w:r>
        <w:rPr>
          <w:szCs w:val="28"/>
          <w:lang w:val="es-MX"/>
        </w:rPr>
        <w:t>Các hoạt động hưởng ứng Ngày Pháp luật năm 2016 được tổ chức thường xuyên, liên tục, tập trung trong 02 tháng, bắt đầu từ ngày 02/10/2016 đến hết ngày 30/11/2016, trong đó, cao điểm trong tuần lễ từ ngày 07/11 đến ngày 12/11/2016.</w:t>
      </w:r>
    </w:p>
    <w:p>
      <w:pPr>
        <w:pStyle w:val="Normal"/>
        <w:spacing w:lineRule="auto" w:line="242" w:before="120" w:after="0"/>
        <w:ind w:firstLine="720" w:right="0"/>
        <w:jc w:val="both"/>
        <w:rPr/>
      </w:pPr>
      <w:r>
        <w:rPr>
          <w:b/>
          <w:lang w:val="pt-BR"/>
        </w:rPr>
        <w:t xml:space="preserve">5. Về kinh phí </w:t>
      </w:r>
    </w:p>
    <w:p>
      <w:pPr>
        <w:pStyle w:val="Normal"/>
        <w:spacing w:lineRule="auto" w:line="242" w:before="120" w:after="0"/>
        <w:ind w:firstLine="720" w:right="0"/>
        <w:jc w:val="both"/>
        <w:rPr/>
      </w:pPr>
      <w:r>
        <w:rPr>
          <w:lang w:val="pt-BR"/>
        </w:rPr>
        <w:t>Công an các đơn vị, địa phương bố trí kinh phí triển khai Ngày Pháp luật trong phạm vi dự toán ngân sách được giao trong năm 2016.</w:t>
      </w:r>
    </w:p>
    <w:p>
      <w:pPr>
        <w:pStyle w:val="Normal"/>
        <w:spacing w:before="120" w:after="0"/>
        <w:ind w:firstLine="720" w:right="0"/>
        <w:jc w:val="both"/>
        <w:rPr>
          <w:b/>
          <w:sz w:val="26"/>
          <w:szCs w:val="26"/>
          <w:lang w:val="pt-BR"/>
        </w:rPr>
      </w:pPr>
      <w:r>
        <w:rPr>
          <w:b/>
          <w:sz w:val="26"/>
          <w:szCs w:val="26"/>
          <w:lang w:val="pt-BR"/>
        </w:rPr>
        <w:t>IV. TỔ CHỨC THỰC HIỆN</w:t>
      </w:r>
    </w:p>
    <w:p>
      <w:pPr>
        <w:pStyle w:val="Normal"/>
        <w:spacing w:before="120" w:after="0"/>
        <w:ind w:firstLine="720" w:right="0"/>
        <w:jc w:val="both"/>
        <w:rPr/>
      </w:pPr>
      <w:r>
        <w:rPr>
          <w:szCs w:val="28"/>
          <w:lang w:val="pt-BR"/>
        </w:rPr>
        <w:t xml:space="preserve">1. Thủ trưởng Công an đơn vị, địa phương căn cứ hướng dẫn tại Công văn này và </w:t>
      </w:r>
      <w:r>
        <w:rPr>
          <w:lang w:val="es-MX"/>
        </w:rPr>
        <w:t xml:space="preserve">thực tiễn công tác, chiến đấu của đơn vị, địa phương </w:t>
      </w:r>
      <w:r>
        <w:rPr>
          <w:szCs w:val="28"/>
          <w:lang w:val="pt-BR"/>
        </w:rPr>
        <w:t>để lựa chọn nội dung, hình thức tổ chức Ngày Pháp luật cho phù hợp và báo cáo kết quả tổ chức thực hiện về Bộ (qua Cục Pháp chế và cải cách hành chính, tư pháp) trong báo cáo kết quả công tác phổ biến, giáo dục pháp luật năm 2016 của Công an đơn vị, địa phương.</w:t>
      </w:r>
    </w:p>
    <w:p>
      <w:pPr>
        <w:pStyle w:val="Normal"/>
        <w:spacing w:before="120" w:after="0"/>
        <w:ind w:firstLine="720" w:right="0"/>
        <w:jc w:val="both"/>
        <w:rPr/>
      </w:pPr>
      <w:r>
        <w:rPr>
          <w:szCs w:val="28"/>
          <w:lang w:val="pt-BR"/>
        </w:rPr>
        <w:t>2. Cục Pháp chế và cải cách hành chính, tư pháp có trách nhiệm theo dõi, hướng dẫn, đôn đốc, kiểm tra, tổng hợp, xây dựng báo cáo kết quả thực hiện Ngày Pháp luật năm 2016 trong toàn lực lượng Công an nhân dân, trình lãnh đạo Bộ phê duyệt, gửi các cơ quan có thẩm quyền theo quy định.</w:t>
      </w:r>
    </w:p>
    <w:p>
      <w:pPr>
        <w:pStyle w:val="Normal"/>
        <w:spacing w:before="120" w:after="0"/>
        <w:ind w:firstLine="720" w:right="0"/>
        <w:jc w:val="both"/>
        <w:rPr>
          <w:lang w:val="pt-BR"/>
        </w:rPr>
      </w:pPr>
      <w:r>
        <w:rPr>
          <w:szCs w:val="28"/>
          <w:lang w:val="pt-BR"/>
        </w:rPr>
        <w:t>Trên đây là hướng dẫn tổ chức Ngày Pháp luật năm 2016 trong Công an nhân dân, lãnh đạo Bộ yêu cầu Công an các đơn vị, địa phương tổ chức thực hiện nghiêm túc, nếu có khó khăn, vướng mắc phản ánh về Bộ (qua Cục Pháp chế và cải cách hành chính, tư pháp) để có hướng dẫn kịp thời./.</w:t>
      </w:r>
    </w:p>
    <w:p>
      <w:pPr>
        <w:pStyle w:val="Normal"/>
        <w:ind w:firstLine="720" w:right="0"/>
        <w:jc w:val="both"/>
        <w:rPr>
          <w:lang w:val="pt-BR"/>
        </w:rPr>
      </w:pPr>
      <w:r>
        <w:rPr>
          <w:lang w:val="pt-BR"/>
        </w:rPr>
      </w:r>
    </w:p>
    <w:tbl>
      <w:tblPr>
        <w:tblW w:w="8880" w:type="dxa"/>
        <w:jc w:val="left"/>
        <w:tblInd w:w="108" w:type="dxa"/>
        <w:tblLayout w:type="fixed"/>
        <w:tblCellMar>
          <w:top w:w="0" w:type="dxa"/>
          <w:left w:w="108" w:type="dxa"/>
          <w:bottom w:w="0" w:type="dxa"/>
          <w:right w:w="108" w:type="dxa"/>
        </w:tblCellMar>
      </w:tblPr>
      <w:tblGrid>
        <w:gridCol w:w="4200"/>
        <w:gridCol w:w="4680"/>
      </w:tblGrid>
      <w:tr>
        <w:trPr/>
        <w:tc>
          <w:tcPr>
            <w:tcW w:w="4200" w:type="dxa"/>
            <w:tcBorders/>
          </w:tcPr>
          <w:p>
            <w:pPr>
              <w:pStyle w:val="Normal"/>
              <w:rPr>
                <w:b/>
                <w:i/>
                <w:i/>
                <w:sz w:val="24"/>
                <w:lang w:val="pt-BR"/>
              </w:rPr>
            </w:pPr>
            <w:r>
              <w:rPr>
                <w:b/>
                <w:i/>
                <w:sz w:val="24"/>
                <w:lang w:val="pt-BR"/>
              </w:rPr>
              <w:t>Nơi nhận:</w:t>
            </w:r>
          </w:p>
          <w:p>
            <w:pPr>
              <w:pStyle w:val="Normal"/>
              <w:rPr>
                <w:sz w:val="22"/>
                <w:szCs w:val="22"/>
                <w:lang w:val="pt-BR"/>
              </w:rPr>
            </w:pPr>
            <w:r>
              <w:rPr>
                <w:sz w:val="22"/>
                <w:szCs w:val="22"/>
                <w:lang w:val="pt-BR"/>
              </w:rPr>
              <w:t>- Như trên;</w:t>
            </w:r>
          </w:p>
          <w:p>
            <w:pPr>
              <w:pStyle w:val="Normal"/>
              <w:rPr>
                <w:sz w:val="22"/>
                <w:szCs w:val="22"/>
                <w:lang w:val="pt-BR"/>
              </w:rPr>
            </w:pPr>
            <w:r>
              <w:rPr>
                <w:sz w:val="22"/>
                <w:szCs w:val="22"/>
                <w:lang w:val="pt-BR"/>
              </w:rPr>
              <w:t>- Đ/c Bộ trưởng (để báo cáo);</w:t>
            </w:r>
          </w:p>
          <w:p>
            <w:pPr>
              <w:pStyle w:val="Normal"/>
              <w:rPr>
                <w:sz w:val="22"/>
                <w:szCs w:val="22"/>
                <w:lang w:val="pt-BR"/>
              </w:rPr>
            </w:pPr>
            <w:r>
              <w:rPr>
                <w:sz w:val="22"/>
                <w:szCs w:val="22"/>
                <w:lang w:val="pt-BR"/>
              </w:rPr>
              <w:t>- Các đ/c Thứ trưởng (để phối hợp chỉ đạo);</w:t>
            </w:r>
          </w:p>
          <w:p>
            <w:pPr>
              <w:pStyle w:val="Normal"/>
              <w:rPr/>
            </w:pPr>
            <w:r>
              <w:rPr>
                <w:sz w:val="22"/>
                <w:szCs w:val="22"/>
                <w:lang w:val="pt-BR"/>
              </w:rPr>
              <w:t xml:space="preserve">- Các đ/c thành viên Hội đồng phối hợp PBGDPL Bộ Công an; </w:t>
            </w:r>
          </w:p>
          <w:p>
            <w:pPr>
              <w:pStyle w:val="Normal"/>
              <w:rPr>
                <w:sz w:val="22"/>
                <w:szCs w:val="22"/>
                <w:lang w:val="pt-BR"/>
              </w:rPr>
            </w:pPr>
            <w:r>
              <w:rPr>
                <w:sz w:val="22"/>
                <w:szCs w:val="22"/>
                <w:lang w:val="pt-BR"/>
              </w:rPr>
              <w:t>- Hội đồng phối hợp PBGDPL Trung ương;</w:t>
            </w:r>
          </w:p>
          <w:p>
            <w:pPr>
              <w:pStyle w:val="Normal"/>
              <w:rPr>
                <w:sz w:val="22"/>
                <w:szCs w:val="22"/>
                <w:lang w:val="pt-BR"/>
              </w:rPr>
            </w:pPr>
            <w:r>
              <w:rPr>
                <w:sz w:val="22"/>
                <w:szCs w:val="22"/>
                <w:lang w:val="pt-BR"/>
              </w:rPr>
              <w:t>- Bộ Tư pháp;</w:t>
            </w:r>
          </w:p>
          <w:p>
            <w:pPr>
              <w:pStyle w:val="Normal"/>
              <w:rPr>
                <w:sz w:val="22"/>
                <w:szCs w:val="22"/>
                <w:lang w:val="pt-BR"/>
              </w:rPr>
            </w:pPr>
            <w:r>
              <w:rPr>
                <w:sz w:val="22"/>
                <w:szCs w:val="22"/>
                <w:lang w:val="pt-BR"/>
              </w:rPr>
              <w:t>- Lưu: VT, V19.</w:t>
            </w:r>
          </w:p>
          <w:p>
            <w:pPr>
              <w:pStyle w:val="Normal"/>
              <w:rPr>
                <w:b/>
                <w:sz w:val="22"/>
                <w:szCs w:val="22"/>
                <w:lang w:val="pt-BR"/>
              </w:rPr>
            </w:pPr>
            <w:r>
              <w:rPr>
                <w:b/>
                <w:sz w:val="22"/>
                <w:szCs w:val="22"/>
                <w:lang w:val="pt-BR"/>
              </w:rPr>
            </w:r>
          </w:p>
        </w:tc>
        <w:tc>
          <w:tcPr>
            <w:tcW w:w="4680" w:type="dxa"/>
            <w:tcBorders/>
          </w:tcPr>
          <w:p>
            <w:pPr>
              <w:pStyle w:val="Normal"/>
              <w:jc w:val="center"/>
              <w:rPr>
                <w:b/>
                <w:lang w:val="pt-BR"/>
              </w:rPr>
            </w:pPr>
            <w:r>
              <w:rPr>
                <w:b/>
                <w:lang w:val="pt-BR"/>
              </w:rPr>
              <w:t>KT. BỘ TRƯỞNG</w:t>
            </w:r>
          </w:p>
          <w:p>
            <w:pPr>
              <w:pStyle w:val="Normal"/>
              <w:jc w:val="center"/>
              <w:rPr>
                <w:b/>
                <w:lang w:val="pt-BR"/>
              </w:rPr>
            </w:pPr>
            <w:r>
              <w:rPr>
                <w:b/>
                <w:lang w:val="pt-BR"/>
              </w:rPr>
              <w:t xml:space="preserve">THỨ TRƯỞNG </w:t>
            </w:r>
          </w:p>
          <w:p>
            <w:pPr>
              <w:pStyle w:val="Normal"/>
              <w:jc w:val="center"/>
              <w:rPr>
                <w:b/>
                <w:lang w:val="pt-BR"/>
              </w:rPr>
            </w:pPr>
            <w:r>
              <w:rPr>
                <w:b/>
                <w:lang w:val="pt-BR"/>
              </w:rPr>
            </w:r>
          </w:p>
          <w:p>
            <w:pPr>
              <w:pStyle w:val="Normal"/>
              <w:rPr>
                <w:b/>
                <w:lang w:val="pt-BR"/>
              </w:rPr>
            </w:pPr>
            <w:r>
              <w:rPr>
                <w:b/>
                <w:lang w:val="pt-BR"/>
              </w:rPr>
            </w:r>
          </w:p>
          <w:p>
            <w:pPr>
              <w:pStyle w:val="Normal"/>
              <w:jc w:val="center"/>
              <w:rPr>
                <w:i/>
                <w:i/>
                <w:szCs w:val="28"/>
                <w:lang w:val="pt-BR"/>
              </w:rPr>
            </w:pPr>
            <w:r>
              <w:rPr>
                <w:i/>
                <w:szCs w:val="28"/>
                <w:lang w:val="pt-BR"/>
              </w:rPr>
              <w:t>(Đã ký)</w:t>
            </w:r>
          </w:p>
          <w:p>
            <w:pPr>
              <w:pStyle w:val="Normal"/>
              <w:rPr>
                <w:b/>
                <w:i/>
                <w:i/>
                <w:szCs w:val="28"/>
                <w:lang w:val="pt-BR"/>
              </w:rPr>
            </w:pPr>
            <w:r>
              <w:rPr>
                <w:b/>
                <w:i/>
                <w:szCs w:val="28"/>
                <w:lang w:val="pt-BR"/>
              </w:rPr>
            </w:r>
          </w:p>
          <w:p>
            <w:pPr>
              <w:pStyle w:val="Normal"/>
              <w:jc w:val="center"/>
              <w:rPr>
                <w:b/>
                <w:lang w:val="pt-BR"/>
              </w:rPr>
            </w:pPr>
            <w:r>
              <w:rPr>
                <w:b/>
                <w:lang w:val="pt-BR"/>
              </w:rPr>
            </w:r>
          </w:p>
          <w:p>
            <w:pPr>
              <w:pStyle w:val="Normal"/>
              <w:jc w:val="center"/>
              <w:rPr>
                <w:b/>
                <w:lang w:val="pt-BR"/>
              </w:rPr>
            </w:pPr>
            <w:r>
              <w:rPr>
                <w:b/>
                <w:lang w:val="pt-BR"/>
              </w:rPr>
              <w:t>Thượng tướng Lê Quý Vương</w:t>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es-MX"/>
        </w:rPr>
      </w:pPr>
      <w:r>
        <w:rPr>
          <w:lang w:val="es-MX"/>
        </w:rPr>
      </w:r>
    </w:p>
    <w:p>
      <w:pPr>
        <w:pStyle w:val="Normal"/>
        <w:rPr>
          <w:lang w:val="pt-BR"/>
        </w:rPr>
      </w:pPr>
      <w:r>
        <w:rPr>
          <w:lang w:val="pt-BR"/>
        </w:rPr>
      </w:r>
    </w:p>
    <w:p>
      <w:pPr>
        <w:pStyle w:val="Normal"/>
        <w:rPr>
          <w:lang w:val="pt-BR"/>
        </w:rPr>
      </w:pPr>
      <w:r>
        <w:rPr>
          <w:lang w:val="pt-BR"/>
        </w:rPr>
      </w:r>
    </w:p>
    <w:sectPr>
      <w:footerReference w:type="default" r:id="rId2"/>
      <w:footerReference w:type="first" r:id="rId3"/>
      <w:type w:val="nextPage"/>
      <w:pgSz w:w="11906" w:h="16838"/>
      <w:pgMar w:left="1928" w:right="1134" w:gutter="0" w:header="0" w:top="1134" w:footer="720"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89535" cy="204470"/>
              <wp:effectExtent l="0" t="0" r="0" b="0"/>
              <wp:wrapSquare wrapText="bothSides"/>
              <wp:docPr id="3" name="Frame1"/>
              <a:graphic xmlns:a="http://schemas.openxmlformats.org/drawingml/2006/main">
                <a:graphicData uri="http://schemas.microsoft.com/office/word/2010/wordprocessingShape">
                  <wps:wsp>
                    <wps:cNvSpPr txBox="1"/>
                    <wps:spPr>
                      <a:xfrm>
                        <a:off x="0" y="0"/>
                        <a:ext cx="89535" cy="20447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7.05pt;height:16.1pt;mso-wrap-distance-left:0pt;mso-wrap-distance-right:0pt;mso-wrap-distance-top:0pt;mso-wrap-distance-bottom:0pt;margin-top:0.05pt;mso-position-vertical-relative:text;margin-left:217.6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8"/>
      <w:szCs w:val="24"/>
      <w:lang w:val="en-US" w:bidi="ar-SA" w:eastAsia="zh-CN"/>
    </w:rPr>
  </w:style>
  <w:style w:type="character" w:styleId="DefaultParagraphFont">
    <w:name w:val="Default Paragraph Font"/>
    <w:qFormat/>
    <w:rPr/>
  </w:style>
  <w:style w:type="character" w:styleId="PageNumber">
    <w:name w:val="page number"/>
    <w:basedOn w:val="DefaultParagraphFont"/>
    <w:rPr/>
  </w:style>
  <w:style w:type="character" w:styleId="normalchar">
    <w:name w:val="normal__char"/>
    <w:basedOn w:val="DefaultParagraphFont"/>
    <w:qFormat/>
    <w:rPr/>
  </w:style>
  <w:style w:type="character" w:styleId="apple-converted-space">
    <w:name w:val="apple-converted-space"/>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CharCharCharChar">
    <w:name w:val=" Char Char Char Char"/>
    <w:basedOn w:val="Normal"/>
    <w:qFormat/>
    <w:pPr>
      <w:spacing w:lineRule="exact" w:line="240" w:before="0" w:after="160"/>
    </w:pPr>
    <w:rPr>
      <w:rFonts w:ascii="Arial" w:hAnsi="Arial" w:cs="Arial"/>
      <w:sz w:val="22"/>
      <w:szCs w:val="22"/>
    </w:rPr>
  </w:style>
  <w:style w:type="paragraph" w:styleId="NormalWeb">
    <w:name w:val="Normal (Web)"/>
    <w:basedOn w:val="Normal"/>
    <w:qFormat/>
    <w:pPr>
      <w:spacing w:before="280" w:after="280"/>
    </w:pPr>
    <w:rPr>
      <w:sz w:val="24"/>
    </w:rPr>
  </w:style>
  <w:style w:type="paragraph" w:styleId="CharCharCharCharCharCharCharCharCharCharCharCharChar">
    <w:name w:val=" Char Char Char Char Char Char Char Char Char Char Char Char Char"/>
    <w:next w:val="Normal"/>
    <w:qFormat/>
    <w:pPr>
      <w:widowControl/>
      <w:bidi w:val="0"/>
      <w:spacing w:lineRule="exact" w:line="240" w:before="0" w:after="160"/>
      <w:jc w:val="both"/>
    </w:pPr>
    <w:rPr>
      <w:rFonts w:ascii="Times New Roman" w:hAnsi="Times New Roman" w:eastAsia="Times New Roman" w:cs="Times New Roman"/>
      <w:color w:val="auto"/>
      <w:sz w:val="28"/>
      <w:szCs w:val="22"/>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615</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2016-08-22T06:05:00Z</dcterms:created>
  <dc:creator>DuyNga</dc:creator>
  <dc:description/>
  <cp:keywords/>
  <dc:language>en-US</dc:language>
  <cp:lastModifiedBy>bienphongvnn</cp:lastModifiedBy>
  <cp:lastPrinted>2016-09-12T10:13:00Z</cp:lastPrinted>
  <dcterms:modified xsi:type="dcterms:W3CDTF">2016-09-14T14:21:00Z</dcterms:modified>
  <cp:revision>68</cp:revision>
  <dc:subject/>
  <dc:title>BỘ CÔNG AN</dc:title>
</cp:coreProperties>
</file>