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Ventajas hoja estilo css3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Control más preciso que el existente sobre la presentación, fuentes, colores, fondos y otros efectos tipográficos.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 modo de mejorar la apariencia y formatear un gran número de páginas con tan sólo modificar un documento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.Compatibilidad frente a los navegadores y las plataformas.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Menos y más claro código, páginas más pequeñas y descargas más rápidas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Pe</w:t>
      </w:r>
      <w:r w:rsidDel="00000000" w:rsidR="00000000" w:rsidRPr="00000000">
        <w:rPr>
          <w:color w:val="003b55"/>
          <w:rtl w:val="0"/>
        </w:rPr>
        <w:t xml:space="preserve">rmiten separar el contenido de un documento de su aspecto o presentación, lo que permite tener documentos mejor estructurados y limpios.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Pueden aplicarse a un documento entero, a una parte o simplemente a una etiqueta concreta.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Permiten modificar la presentación de un documento HTML sin tocar su código.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 Permite detallar cómo se va a mostrar la información dependiendo del dispositivo.</w:t>
      </w:r>
    </w:p>
    <w:p w:rsidR="00000000" w:rsidDel="00000000" w:rsidP="00000000" w:rsidRDefault="00000000" w:rsidRPr="00000000" w14:paraId="0000000A">
      <w:pPr>
        <w:spacing w:before="120" w:line="240" w:lineRule="auto"/>
        <w:ind w:left="0" w:firstLine="0"/>
        <w:rPr>
          <w:color w:val="003b55"/>
        </w:rPr>
      </w:pPr>
      <w:r w:rsidDel="00000000" w:rsidR="00000000" w:rsidRPr="00000000">
        <w:rPr>
          <w:color w:val="003b55"/>
          <w:rtl w:val="0"/>
        </w:rPr>
        <w:t xml:space="preserve">NovedadesHTML5: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12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Elementos multimedia:&lt;audio&gt;&lt;video&gt;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elementos semánticos:&lt;header&gt;&lt;nav&gt;&lt;article&gt;&lt;section&gt;&lt;aside&gt;&lt;footer&gt;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elementos gráficos javascript:&lt;canvas&gt;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gráficos vectoriales&lt;svg&gt;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formulas matematica&lt;math&gt;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programas informáticos:&lt;embed&gt;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beforeAutospacing="0" w:line="240" w:lineRule="auto"/>
        <w:ind w:left="720" w:hanging="360"/>
        <w:rPr>
          <w:color w:val="003b55"/>
          <w:u w:val="none"/>
        </w:rPr>
      </w:pPr>
      <w:r w:rsidDel="00000000" w:rsidR="00000000" w:rsidRPr="00000000">
        <w:rPr>
          <w:color w:val="003b55"/>
          <w:rtl w:val="0"/>
        </w:rPr>
        <w:t xml:space="preserve">atributos formularios:</w:t>
      </w:r>
      <w:r w:rsidDel="00000000" w:rsidR="00000000" w:rsidRPr="00000000">
        <w:rPr>
          <w:rtl w:val="0"/>
        </w:rPr>
        <w:t xml:space="preserve">email, number, date, time, range o calendar.</w:t>
      </w:r>
    </w:p>
    <w:p w:rsidR="00000000" w:rsidDel="00000000" w:rsidP="00000000" w:rsidRDefault="00000000" w:rsidRPr="00000000" w14:paraId="00000012">
      <w:pPr>
        <w:spacing w:before="1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NovedadesCSS3: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Flexbox y Grid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queries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selectores atributos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a[href^="https"]empieza por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tillium Web Light" w:cs="Titillium Web Light" w:eastAsia="Titillium Web Light" w:hAnsi="Titillium Web Light"/>
          <w:color w:val="003b55"/>
          <w:sz w:val="14"/>
          <w:szCs w:val="14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a[href$=".pdf"]termina por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tillium Web Light" w:cs="Titillium Web Light" w:eastAsia="Titillium Web Light" w:hAnsi="Titillium Web Light"/>
          <w:color w:val="003b55"/>
          <w:sz w:val="14"/>
          <w:szCs w:val="14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a[href$=".pdf"]contiene</w:t>
      </w:r>
    </w:p>
    <w:p w:rsidR="00000000" w:rsidDel="00000000" w:rsidP="00000000" w:rsidRDefault="00000000" w:rsidRPr="00000000" w14:paraId="00000019">
      <w:pPr>
        <w:widowControl w:val="0"/>
        <w:spacing w:after="240" w:before="40" w:lineRule="auto"/>
        <w:ind w:left="0" w:firstLine="0"/>
        <w:rPr>
          <w:rFonts w:ascii="Titillium Web Light" w:cs="Titillium Web Light" w:eastAsia="Titillium Web Light" w:hAnsi="Titillium Web Light"/>
          <w:color w:val="003b55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XHTML: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40" w:lineRule="auto"/>
        <w:ind w:left="720" w:hanging="360"/>
        <w:rPr>
          <w:rFonts w:ascii="Titillium Web Light" w:cs="Titillium Web Light" w:eastAsia="Titillium Web Light" w:hAnsi="Titillium Web Light"/>
          <w:color w:val="003b55"/>
          <w:u w:val="none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Adaptación de HTML en XML: normas mas estrictas, hereda la rigidez de XML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tillium Web Light" w:cs="Titillium Web Light" w:eastAsia="Titillium Web Light" w:hAnsi="Titillium Web Light"/>
          <w:color w:val="003b55"/>
          <w:u w:val="none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Se Puede procesar por cualquier programa informático</w:t>
      </w:r>
    </w:p>
    <w:p w:rsidR="00000000" w:rsidDel="00000000" w:rsidP="00000000" w:rsidRDefault="00000000" w:rsidRPr="00000000" w14:paraId="0000001C">
      <w:pPr>
        <w:widowControl w:val="0"/>
        <w:spacing w:after="240" w:before="160" w:lineRule="auto"/>
        <w:rPr>
          <w:rFonts w:ascii="Titillium Web Light" w:cs="Titillium Web Light" w:eastAsia="Titillium Web Light" w:hAnsi="Titillium Web Light"/>
          <w:color w:val="003b55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003b55"/>
          <w:rtl w:val="0"/>
        </w:rPr>
        <w:t xml:space="preserve">Sintaxis</w:t>
      </w: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 (comparada con HTML):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0" w:afterAutospacing="0" w:before="1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Se necesita escribir una declaración DOCTYPE en el inicio del documento XHTML.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El atributo  xmlns en &lt;html&gt; es obligatorio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Etiquetas y atributos deben ir en minúscula (XML es sensible a mayúsculas y minúsculas).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Todos los atributos deben tener obligatoriamente un valor y deben ir entre comillas.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Todas las etiquetas deben estar cerradas correctamente.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Todas las etiquetas deben estar anidadas correctamente.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color w:val="003b55"/>
          <w:rtl w:val="0"/>
        </w:rPr>
        <w:t xml:space="preserve">El atributo “id” sustituye al atributo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tillium Web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right"/>
      <w:pPr>
        <w:ind w:left="720" w:hanging="360"/>
      </w:pPr>
      <w:rPr>
        <w:rFonts w:ascii="Titillium Web Light" w:cs="Titillium Web Light" w:eastAsia="Titillium Web Light" w:hAnsi="Titillium Web Light"/>
        <w:b w:val="0"/>
        <w:i w:val="0"/>
        <w:smallCaps w:val="0"/>
        <w:strike w:val="0"/>
        <w:color w:val="d3ebd5"/>
        <w:sz w:val="48"/>
        <w:szCs w:val="48"/>
        <w:u w:val="none"/>
        <w:shd w:fill="auto" w:val="clear"/>
        <w:vertAlign w:val="baseline"/>
      </w:rPr>
    </w:lvl>
    <w:lvl w:ilvl="1">
      <w:start w:val="1"/>
      <w:numFmt w:val="bullet"/>
      <w:lvlText w:val="▫"/>
      <w:lvlJc w:val="right"/>
      <w:pPr>
        <w:ind w:left="1440" w:hanging="360"/>
      </w:pPr>
      <w:rPr>
        <w:rFonts w:ascii="Titillium Web Light" w:cs="Titillium Web Light" w:eastAsia="Titillium Web Light" w:hAnsi="Titillium Web Light"/>
        <w:b w:val="0"/>
        <w:i w:val="0"/>
        <w:smallCaps w:val="0"/>
        <w:strike w:val="0"/>
        <w:color w:val="d3ebd5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▫"/>
      <w:lvlJc w:val="right"/>
      <w:pPr>
        <w:ind w:left="2160" w:hanging="360"/>
      </w:pPr>
      <w:rPr>
        <w:rFonts w:ascii="Titillium Web Light" w:cs="Titillium Web Light" w:eastAsia="Titillium Web Light" w:hAnsi="Titillium Web Light"/>
        <w:b w:val="0"/>
        <w:i w:val="0"/>
        <w:smallCaps w:val="0"/>
        <w:strike w:val="0"/>
        <w:color w:val="d3ebd5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▫"/>
      <w:lvlJc w:val="right"/>
      <w:pPr>
        <w:ind w:left="2880" w:hanging="360"/>
      </w:pPr>
      <w:rPr>
        <w:rFonts w:ascii="Titillium Web Light" w:cs="Titillium Web Light" w:eastAsia="Titillium Web Light" w:hAnsi="Titillium Web Light"/>
        <w:b w:val="0"/>
        <w:i w:val="0"/>
        <w:smallCaps w:val="0"/>
        <w:strike w:val="0"/>
        <w:color w:val="003b55"/>
        <w:sz w:val="48"/>
        <w:szCs w:val="48"/>
        <w:u w:val="none"/>
        <w:shd w:fill="auto" w:val="clear"/>
        <w:vertAlign w:val="baseline"/>
      </w:rPr>
    </w:lvl>
    <w:lvl w:ilvl="4">
      <w:start w:val="1"/>
      <w:numFmt w:val="bullet"/>
      <w:lvlText w:val="▫"/>
      <w:lvlJc w:val="right"/>
      <w:pPr>
        <w:ind w:left="3600" w:hanging="360"/>
      </w:pPr>
      <w:rPr>
        <w:rFonts w:ascii="Titillium Web Light" w:cs="Titillium Web Light" w:eastAsia="Titillium Web Light" w:hAnsi="Titillium Web Light"/>
        <w:b w:val="0"/>
        <w:i w:val="0"/>
        <w:smallCaps w:val="0"/>
        <w:strike w:val="0"/>
        <w:color w:val="003b55"/>
        <w:sz w:val="48"/>
        <w:szCs w:val="48"/>
        <w:u w:val="none"/>
        <w:shd w:fill="auto" w:val="clear"/>
        <w:vertAlign w:val="baseline"/>
      </w:rPr>
    </w:lvl>
    <w:lvl w:ilvl="5">
      <w:start w:val="1"/>
      <w:numFmt w:val="bullet"/>
      <w:lvlText w:val="▫"/>
      <w:lvlJc w:val="right"/>
      <w:pPr>
        <w:ind w:left="4320" w:hanging="360"/>
      </w:pPr>
      <w:rPr>
        <w:rFonts w:ascii="Titillium Web Light" w:cs="Titillium Web Light" w:eastAsia="Titillium Web Light" w:hAnsi="Titillium Web Light"/>
        <w:b w:val="0"/>
        <w:i w:val="0"/>
        <w:smallCaps w:val="0"/>
        <w:strike w:val="0"/>
        <w:color w:val="003b55"/>
        <w:sz w:val="48"/>
        <w:szCs w:val="4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Titillium Web Light" w:cs="Titillium Web Light" w:eastAsia="Titillium Web Light" w:hAnsi="Titillium Web Light"/>
        <w:b w:val="0"/>
        <w:i w:val="0"/>
        <w:smallCaps w:val="0"/>
        <w:strike w:val="0"/>
        <w:color w:val="003b55"/>
        <w:sz w:val="48"/>
        <w:szCs w:val="4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Titillium Web Light" w:cs="Titillium Web Light" w:eastAsia="Titillium Web Light" w:hAnsi="Titillium Web Light"/>
        <w:b w:val="0"/>
        <w:i w:val="0"/>
        <w:smallCaps w:val="0"/>
        <w:strike w:val="0"/>
        <w:color w:val="003b55"/>
        <w:sz w:val="48"/>
        <w:szCs w:val="4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Titillium Web Light" w:cs="Titillium Web Light" w:eastAsia="Titillium Web Light" w:hAnsi="Titillium Web Light"/>
        <w:b w:val="0"/>
        <w:i w:val="0"/>
        <w:smallCaps w:val="0"/>
        <w:strike w:val="0"/>
        <w:color w:val="003b55"/>
        <w:sz w:val="48"/>
        <w:szCs w:val="4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TitilliumWebLight-regular.ttf"/><Relationship Id="rId6" Type="http://schemas.openxmlformats.org/officeDocument/2006/relationships/font" Target="fonts/TitilliumWebLight-bold.ttf"/><Relationship Id="rId7" Type="http://schemas.openxmlformats.org/officeDocument/2006/relationships/font" Target="fonts/TitilliumWebLight-italic.ttf"/><Relationship Id="rId8" Type="http://schemas.openxmlformats.org/officeDocument/2006/relationships/font" Target="fonts/TitilliumWeb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