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EVIDENCIA DE BASE DE DATOS</w:t>
      </w:r>
    </w:p>
    <w:p>
      <w:pPr>
        <w:jc w:val="center"/>
      </w:pPr>
      <w:r>
        <w:rPr>
          <w:rFonts w:ascii="Arial" w:hAnsi="Arial"/>
          <w:sz w:val="22"/>
        </w:rPr>
        <w:t>Proyecto aSIIstente · Fase 2 · Informe de Avance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0"/>
        </w:rPr>
        <w:t>Cristóbal Ignacio Ponce de León Lingai          RUT: 21.014.385-8</w:t>
      </w:r>
    </w:p>
    <w:p>
      <w:r>
        <w:rPr>
          <w:rFonts w:ascii="Arial" w:hAnsi="Arial"/>
          <w:b w:val="0"/>
          <w:sz w:val="20"/>
        </w:rPr>
        <w:t>Valeria Gómez          RUT: 25.600.711-8</w:t>
      </w:r>
    </w:p>
    <w:p>
      <w:r>
        <w:rPr>
          <w:rFonts w:ascii="Arial" w:hAnsi="Arial"/>
          <w:b w:val="0"/>
          <w:sz w:val="20"/>
        </w:rPr>
        <w:t>Asignatura: Capstone (PTY4614)          Sección: CAPSTONE_002D</w:t>
      </w:r>
    </w:p>
    <w:p>
      <w:r>
        <w:rPr>
          <w:rFonts w:ascii="Arial" w:hAnsi="Arial"/>
          <w:b w:val="0"/>
          <w:sz w:val="20"/>
        </w:rPr>
        <w:t>Profesor: Carlos Andrés Herrera Machuca          Fecha: 15 de octubre de 2026</w:t>
      </w:r>
    </w:p>
    <w:p>
      <w:pPr>
        <w:pStyle w:val="Heading1"/>
      </w:pPr>
      <w:r>
        <w:t>Obtención de la evidencia</w:t>
      </w:r>
    </w:p>
    <w:p>
      <w:pPr>
        <w:jc w:val="both"/>
      </w:pPr>
      <w:r>
        <w:rPr>
          <w:rFonts w:ascii="Arial" w:hAnsi="Arial"/>
          <w:b w:val="0"/>
          <w:sz w:val="22"/>
        </w:rPr>
        <w:t>La evidencia se obtuvo consultando directamente el motor de base de datos del sistema en ejecución, y no a partir del código fuente, por lo que refleja el estado real del esquema al momento de la entrega. El motor corresponde a PostgreSQL 16 y se ejecuta dentro del contenedor db definido en el archivo docker-compose.yml del proyecto, cosa que permite reproducir la consulta en cualquier equipo que levante el sistema.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/>
          <w:sz w:val="22"/>
        </w:rPr>
        <w:t>Comando ejecutado:</w:t>
      </w:r>
    </w:p>
    <w:p>
      <w:pPr>
        <w:spacing w:after="0"/>
      </w:pPr>
      <w:r>
        <w:rPr>
          <w:rFonts w:ascii="Consolas" w:hAnsi="Consolas"/>
          <w:b w:val="0"/>
          <w:sz w:val="18"/>
        </w:rPr>
        <w:t>docker compose exec -T db psql -U asiistente -d asiistente -c "\dt"</w:t>
      </w:r>
    </w:p>
    <w:p>
      <w:r>
        <w:rPr>
          <w:rFonts w:ascii="Arial" w:hAnsi="Arial"/>
          <w:b w:val="0"/>
          <w:sz w:val="22"/>
        </w:rPr>
      </w:r>
    </w:p>
    <w:p>
      <w:pPr>
        <w:pStyle w:val="Heading1"/>
      </w:pPr>
      <w:r>
        <w:t>Resultado de la consulta</w:t>
      </w:r>
    </w:p>
    <w:p>
      <w:pPr>
        <w:jc w:val="both"/>
      </w:pPr>
      <w:r>
        <w:rPr>
          <w:rFonts w:ascii="Arial" w:hAnsi="Arial"/>
          <w:b w:val="0"/>
          <w:sz w:val="22"/>
        </w:rPr>
        <w:t>El esquema público contiene doce tablas. La columna de la derecha corresponde a la cantidad de campos definidos en cada una.</w:t>
      </w:r>
    </w:p>
    <w:p>
      <w:r>
        <w:rPr>
          <w:rFonts w:ascii="Arial" w:hAnsi="Arial"/>
          <w:b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5"/>
        <w:gridCol w:w="1134"/>
        <w:gridCol w:w="4706"/>
      </w:tblGrid>
      <w:tr>
        <w:tc>
          <w:tcPr>
            <w:tcW w:type="dxa" w:w="2665"/>
          </w:tcPr>
          <w:p>
            <w:r>
              <w:rPr>
                <w:rFonts w:ascii="Arial" w:hAnsi="Arial"/>
                <w:b/>
                <w:sz w:val="20"/>
              </w:rPr>
              <w:t>Tabla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b/>
                <w:sz w:val="20"/>
              </w:rPr>
              <w:t>Campos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b/>
                <w:sz w:val="20"/>
              </w:rPr>
              <w:t>Contenido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usuarios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Cuentas del servicio, con el correo, la contraseña almacenada como hash y el plan contratado.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empresas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16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Contribuyentes monitoreados por cada usuario, con la clave tributaria cifrada y la configuración de frecuencia de consulta.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rcv_documentos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19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Documentos del Registro de Compras y Ventas, con montos, contraparte, estado contable y la fila original del portal en formato JSON.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rcv_descargas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Registro de cada archivo descargado desde el portal, con el período, la operación y la cantidad de documentos obtenidos.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tgr_certificados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Certificados de deuda emitidos por la Tesorería, con los totales y el detalle de los giros.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f29_estados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Estado del Formulario 29 por período, indicando si se encuentra declarado, observado o sin declarar.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f29_gestion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Seguimiento de los períodos del Formulario 29 que requieren acción, con prioridad, monto y fecha de compromiso.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trabajos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Cada ejecución encolada en el sistema, con su estado, parámetros y resultado. No almacena credenciales.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alertas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Avisos generados al comparar una descarga con la anterior, que son el valor central del producto.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consultas_log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Registro de cada consulta realizada a los organismos, con su duración y resultado, lo que permite auditar el uso.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reporte_plantillas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Configuraciones de reporte guardadas por el usuario para reutilizarlas.</w:t>
            </w:r>
          </w:p>
        </w:tc>
      </w:tr>
      <w:tr>
        <w:tc>
          <w:tcPr>
            <w:tcW w:type="dxa" w:w="2665"/>
          </w:tcPr>
          <w:p>
            <w:r>
              <w:rPr>
                <w:rFonts w:ascii="Consolas" w:hAnsi="Consolas"/>
                <w:sz w:val="18"/>
              </w:rPr>
              <w:t>reportes_generados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  <w:tc>
          <w:tcPr>
            <w:tcW w:type="dxa" w:w="4706"/>
          </w:tcPr>
          <w:p>
            <w:r>
              <w:rPr>
                <w:rFonts w:ascii="Arial" w:hAnsi="Arial"/>
                <w:sz w:val="18"/>
              </w:rPr>
              <w:t>Reportes emitidos, con el rango de períodos solicitado y el archivo PDF asociado.</w:t>
            </w:r>
          </w:p>
        </w:tc>
      </w:tr>
    </w:tbl>
    <w:p>
      <w:r>
        <w:rPr>
          <w:rFonts w:ascii="Arial" w:hAnsi="Arial"/>
          <w:b w:val="0"/>
          <w:sz w:val="22"/>
        </w:rPr>
      </w:r>
    </w:p>
    <w:p>
      <w:pPr>
        <w:pStyle w:val="Heading1"/>
      </w:pPr>
      <w:r>
        <w:t>Observaciones</w:t>
      </w:r>
    </w:p>
    <w:p>
      <w:pPr>
        <w:jc w:val="both"/>
      </w:pPr>
      <w:r>
        <w:rPr>
          <w:rFonts w:ascii="Arial" w:hAnsi="Arial"/>
          <w:b w:val="0"/>
          <w:sz w:val="22"/>
        </w:rPr>
        <w:t>El modelo creció respecto de lo previsto en la Fase 1, dado que el rediseño a servicio multiusuario obligó a separar las cuentas de los contribuyentes monitoreados, lo que explica la existencia de las tablas usuarios y empresas en lugar de una sola. De igual forma, se incorporaron las tablas de gestión del Formulario 29 y de reportes, que no estaban contempladas en el diseño original.</w:t>
      </w:r>
    </w:p>
    <w:p>
      <w:r>
        <w:rPr>
          <w:rFonts w:ascii="Arial" w:hAnsi="Arial"/>
          <w:b w:val="0"/>
          <w:sz w:val="22"/>
        </w:rPr>
      </w:r>
    </w:p>
    <w:p>
      <w:pPr>
        <w:jc w:val="both"/>
      </w:pPr>
      <w:r>
        <w:rPr>
          <w:rFonts w:ascii="Arial" w:hAnsi="Arial"/>
          <w:b w:val="0"/>
          <w:sz w:val="22"/>
        </w:rPr>
        <w:t>Respecto de la seguridad, las claves tributarias se almacenan cifradas en el campo clave_cifrada de la tabla empresas y nunca en texto plano, y los parámetros registrados en la tabla trabajos excluyen cualquier credencial, cosa que permite conservar la trazabilidad de las ejecuciones sin exponer información sensible.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