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ABSTRACT, CONCLUSIONS AND REFLECTION</w:t>
      </w:r>
    </w:p>
    <w:p>
      <w:pPr>
        <w:jc w:val="center"/>
      </w:pPr>
      <w:r>
        <w:rPr>
          <w:rFonts w:ascii="Arial" w:hAnsi="Arial"/>
          <w:sz w:val="22"/>
        </w:rPr>
        <w:t>aSIIstente Project · Phase 2 · Progress Report</w:t>
      </w:r>
    </w:p>
    <w:p>
      <w:pPr>
        <w:jc w:val="both"/>
      </w:pPr>
      <w:r>
        <w:rPr>
          <w:rFonts w:ascii="Arial" w:hAnsi="Arial"/>
          <w:i w:val="0"/>
          <w:sz w:val="22"/>
        </w:rPr>
      </w:r>
    </w:p>
    <w:p>
      <w:r>
        <w:rPr>
          <w:rFonts w:ascii="Arial" w:hAnsi="Arial"/>
          <w:i w:val="0"/>
          <w:sz w:val="20"/>
        </w:rPr>
        <w:t>Cristóbal Ignacio Ponce de León Lingai          RUT: 21.014.385-8</w:t>
      </w:r>
    </w:p>
    <w:p>
      <w:r>
        <w:rPr>
          <w:rFonts w:ascii="Arial" w:hAnsi="Arial"/>
          <w:i w:val="0"/>
          <w:sz w:val="20"/>
        </w:rPr>
        <w:t>Valeria Gómez          RUT: 25.600.711-8</w:t>
      </w:r>
    </w:p>
    <w:p>
      <w:r>
        <w:rPr>
          <w:rFonts w:ascii="Arial" w:hAnsi="Arial"/>
          <w:i w:val="0"/>
          <w:sz w:val="20"/>
        </w:rPr>
        <w:t>Course: Capstone (PTY4614)          Section: CAPSTONE_002D</w:t>
      </w:r>
    </w:p>
    <w:p>
      <w:r>
        <w:rPr>
          <w:rFonts w:ascii="Arial" w:hAnsi="Arial"/>
          <w:i w:val="0"/>
          <w:sz w:val="20"/>
        </w:rPr>
        <w:t>Teacher: Carlos Andrés Herrera Machuca          Date: October 14, 2026</w:t>
      </w:r>
    </w:p>
    <w:p>
      <w:pPr>
        <w:pStyle w:val="Heading1"/>
      </w:pPr>
      <w:r>
        <w:t>Abstract</w:t>
      </w:r>
    </w:p>
    <w:p>
      <w:pPr>
        <w:jc w:val="both"/>
      </w:pPr>
      <w:r>
        <w:rPr>
          <w:rFonts w:ascii="Arial" w:hAnsi="Arial"/>
          <w:i w:val="0"/>
          <w:sz w:val="22"/>
        </w:rPr>
        <w:t>aSIIstente is a web service that automatically collects the tax information of one or more Chilean taxpayers from the Internal Revenue Service and the General Treasury, stores it in a relational database and notifies the user whenever something changes. The problem it solves is that keeping this information up to date is a manual and repetitive task, and any omission has a direct cost, because in tax matters a missed document can become a fine. During Phase 2 the project changed from a single-user tool into a multi-user service, which made it necessary to rebuild the persistence layer and the access control. Seven of the eight specific objectives defined in Phase 1 are now complete, and the system has been validated with the real tax data of an operating company instead of simulated data. The work that remains is the deployment on a server and the technical documentation.</w:t>
      </w:r>
    </w:p>
    <w:p>
      <w:pPr>
        <w:pStyle w:val="Heading1"/>
      </w:pPr>
      <w:r>
        <w:t>Conclusions</w:t>
      </w:r>
    </w:p>
    <w:p>
      <w:pPr>
        <w:jc w:val="both"/>
      </w:pPr>
      <w:r>
        <w:rPr>
          <w:rFonts w:ascii="Arial" w:hAnsi="Arial"/>
          <w:i w:val="0"/>
          <w:sz w:val="22"/>
        </w:rPr>
        <w:t>The main difficulty of this project was not processing the information, but obtaining it. Neither of the two institutions offers a public interface for this kind of query, so each type of document required a different solution. This explains why most of the effort of the first weeks went into the access component and not into the user interface.</w:t>
      </w:r>
    </w:p>
    <w:p>
      <w:pPr>
        <w:jc w:val="both"/>
      </w:pPr>
      <w:r>
        <w:rPr>
          <w:rFonts w:ascii="Arial" w:hAnsi="Arial"/>
          <w:i w:val="0"/>
          <w:sz w:val="22"/>
        </w:rPr>
      </w:r>
    </w:p>
    <w:p>
      <w:pPr>
        <w:jc w:val="both"/>
      </w:pPr>
      <w:r>
        <w:rPr>
          <w:rFonts w:ascii="Arial" w:hAnsi="Arial"/>
          <w:i w:val="0"/>
          <w:sz w:val="22"/>
        </w:rPr>
        <w:t>The decision to redesign the system as a multi-user service, taken in week six, was the most important change of this phase. It forced us to rewrite work that was already finished, but it was the correct decision, because the problem was never exclusive to the group of companies that originated it. The architecture defined in Phase 1 supported that change without having to be replaced, which confirms that the initial design was sound.</w:t>
      </w:r>
    </w:p>
    <w:p>
      <w:pPr>
        <w:jc w:val="both"/>
      </w:pPr>
      <w:r>
        <w:rPr>
          <w:rFonts w:ascii="Arial" w:hAnsi="Arial"/>
          <w:i w:val="0"/>
          <w:sz w:val="22"/>
        </w:rPr>
      </w:r>
    </w:p>
    <w:p>
      <w:pPr>
        <w:jc w:val="both"/>
      </w:pPr>
      <w:r>
        <w:rPr>
          <w:rFonts w:ascii="Arial" w:hAnsi="Arial"/>
          <w:i w:val="0"/>
          <w:sz w:val="22"/>
        </w:rPr>
        <w:t>Validating the system with real tax data was decisive. Several behaviours of the institutional portals, such as the rejection of two simultaneous sessions for the same taxpayer, would never have appeared with test data, and they would have become a serious problem later.</w:t>
      </w:r>
    </w:p>
    <w:p>
      <w:pPr>
        <w:jc w:val="both"/>
      </w:pPr>
      <w:r>
        <w:rPr>
          <w:rFonts w:ascii="Arial" w:hAnsi="Arial"/>
          <w:i w:val="0"/>
          <w:sz w:val="22"/>
        </w:rPr>
      </w:r>
    </w:p>
    <w:p>
      <w:pPr>
        <w:jc w:val="both"/>
      </w:pPr>
      <w:r>
        <w:rPr>
          <w:rFonts w:ascii="Arial" w:hAnsi="Arial"/>
          <w:i w:val="0"/>
          <w:sz w:val="22"/>
        </w:rPr>
        <w:t>Finally, the work plan has held. Ten of the fourteen activities are complete, two are in progress and two have not started, and none of them is behind its original schedule. The weakest point of the progress is the documentation, because development was given priority over the formal record of what was built.</w:t>
      </w:r>
    </w:p>
    <w:p>
      <w:pPr>
        <w:pStyle w:val="Heading1"/>
      </w:pPr>
      <w:r>
        <w:t>Reflection</w:t>
      </w:r>
    </w:p>
    <w:p>
      <w:pPr>
        <w:jc w:val="both"/>
      </w:pPr>
      <w:r>
        <w:rPr>
          <w:rFonts w:ascii="Arial" w:hAnsi="Arial"/>
          <w:i w:val="0"/>
          <w:sz w:val="22"/>
        </w:rPr>
        <w:t>Working on this project has shown me that the technical difficulty is rarely where I expect it to be. I assumed that the hard part would be processing and comparing the documents, and in practice that was the simplest part. Getting a reliable and stable access to the portals took most of my time, and it also taught me the most.</w:t>
      </w:r>
    </w:p>
    <w:p>
      <w:pPr>
        <w:jc w:val="both"/>
      </w:pPr>
      <w:r>
        <w:rPr>
          <w:rFonts w:ascii="Arial" w:hAnsi="Arial"/>
          <w:i w:val="0"/>
          <w:sz w:val="22"/>
        </w:rPr>
      </w:r>
    </w:p>
    <w:p>
      <w:pPr>
        <w:jc w:val="both"/>
      </w:pPr>
      <w:r>
        <w:rPr>
          <w:rFonts w:ascii="Arial" w:hAnsi="Arial"/>
          <w:i w:val="0"/>
          <w:sz w:val="22"/>
        </w:rPr>
        <w:t>I also learned that changing the scope of a project is not always a failure of planning. Redesigning the system in the middle of the development was uncomfortable and it meant losing work, but the result is a product that can be useful to many taxpayers and not only to one. If I had kept the original design just to respect the plan, the project would be finished by now, but it would be worth much less.</w:t>
      </w:r>
    </w:p>
    <w:p>
      <w:pPr>
        <w:jc w:val="both"/>
      </w:pPr>
      <w:r>
        <w:rPr>
          <w:rFonts w:ascii="Arial" w:hAnsi="Arial"/>
          <w:i w:val="0"/>
          <w:sz w:val="22"/>
        </w:rPr>
      </w:r>
    </w:p>
    <w:p>
      <w:pPr>
        <w:jc w:val="both"/>
      </w:pPr>
      <w:r>
        <w:rPr>
          <w:rFonts w:ascii="Arial" w:hAnsi="Arial"/>
          <w:i w:val="0"/>
          <w:sz w:val="22"/>
        </w:rPr>
        <w:t>For the remaining weeks I want to correct the main weakness I identified, which is the documentation. I intend to write the technical report and the operation manual together with the deployment, and not at the end, so that what is documented matches what is actually running.</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