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14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 w:dirty="true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 w:dirty="true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5D16C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5D16C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5D16C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5D16CC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5D16CC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5D16C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5D16CC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5D16CC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5D16CC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5D16CC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5D16CC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14-10-2026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Cristóbal Ponce de León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Versión inicial del documento, elaborada durante la Fase 2 del proyecto.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 w:dirty="true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14 de octubre de 2026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Cristóbal Ignacio Ponce de León Lingai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Arquitectura, motor de extracción SII y TGR, API y seguridad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Valeria Gómez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Modelo de datos, panel web y validación con usuarios contables</w:t>
            </w:r>
          </w:p>
        </w:tc>
      </w:tr>
    </w:tbl>
    <w:p>
      <w:pPr>
        <w:pStyle w:val="Ttulo1"/>
      </w:pPr>
      <w:r>
        <w:t>Historias de Usuario</w:t>
      </w:r>
    </w:p>
    <w:p>
      <w:pPr>
        <w:pStyle w:val="Ttulo2"/>
      </w:pPr>
      <w:r>
        <w:t>Historia 001: Registrar un contribuyente a monitorear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registrar un RUT y su clave tributaria para que el sistema consulte mi información sin que yo tenga que entrar al portal.</w:t>
      </w:r>
    </w:p>
    <w:p>
      <w:pPr>
        <w:pStyle w:val="Ttulo3"/>
      </w:pPr>
      <w:r>
        <w:t>Criterios de Aceptación</w:t>
      </w:r>
    </w:p>
    <w:p>
      <w:pPr>
        <w:pStyle w:val="Prrafodelista"/>
      </w:pPr>
      <w:r>
        <w:rPr>
          <w:sz w:val="22"/>
        </w:rPr>
        <w:t>•  El RUT se valida con su dígito verificador antes de guardarse.</w:t>
      </w:r>
    </w:p>
    <w:p>
      <w:pPr>
        <w:pStyle w:val="Prrafodelista"/>
      </w:pPr>
      <w:r>
        <w:rPr>
          <w:sz w:val="22"/>
        </w:rPr>
        <w:t>•  La clave tributaria se guarda cifrada y nunca queda en texto plano en la base de datos.</w:t>
      </w:r>
    </w:p>
    <w:p>
      <w:pPr>
        <w:pStyle w:val="Prrafodelista"/>
      </w:pPr>
      <w:r>
        <w:rPr>
          <w:sz w:val="22"/>
        </w:rPr>
        <w:t>•  Si la clave es incorrecta el sistema lo informa en la misma pantalla y no guarda el registro.</w:t>
      </w:r>
    </w:p>
    <w:p>
      <w:pPr>
        <w:pStyle w:val="Prrafodelista"/>
      </w:pPr>
      <w:r>
        <w:rPr>
          <w:sz w:val="22"/>
        </w:rPr>
        <w:t>•  Un mismo usuario no puede registrar dos veces el mismo RUT.</w:t>
      </w:r>
    </w:p>
    <w:p>
      <w:pPr>
        <w:pStyle w:val="Ttulo2"/>
      </w:pPr>
      <w:r>
        <w:t>Historia 002: Descargar el Registro de Compras y Ventas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que el sistema descargue el Registro de Compras y Ventas de un período para revisar mis documentos sin entrar al SII.</w:t>
      </w:r>
    </w:p>
    <w:p>
      <w:pPr>
        <w:pStyle w:val="Ttulo3"/>
      </w:pPr>
      <w:r>
        <w:t>Criterios de Aceptación</w:t>
      </w:r>
    </w:p>
    <w:p>
      <w:pPr>
        <w:pStyle w:val="Prrafodelista"/>
      </w:pPr>
      <w:r>
        <w:rPr>
          <w:sz w:val="22"/>
        </w:rPr>
        <w:t>•  La descarga obtiene compras y ventas del período solicitado.</w:t>
      </w:r>
    </w:p>
    <w:p>
      <w:pPr>
        <w:pStyle w:val="Prrafodelista"/>
      </w:pPr>
      <w:r>
        <w:rPr>
          <w:sz w:val="22"/>
        </w:rPr>
        <w:t>•  Cada documento queda con folio, contraparte, fechas, montos y estado contable.</w:t>
      </w:r>
    </w:p>
    <w:p>
      <w:pPr>
        <w:pStyle w:val="Prrafodelista"/>
      </w:pPr>
      <w:r>
        <w:rPr>
          <w:sz w:val="22"/>
        </w:rPr>
        <w:t>•  La fila original del portal se conserva completa para poder auditarla después.</w:t>
      </w:r>
    </w:p>
    <w:p>
      <w:pPr>
        <w:pStyle w:val="Prrafodelista"/>
      </w:pPr>
      <w:r>
        <w:rPr>
          <w:sz w:val="22"/>
        </w:rPr>
        <w:t>•  La descarga no se duplica: volver a ejecutarla actualiza lo existente en lugar de insertar de nuevo.</w:t>
      </w:r>
    </w:p>
    <w:p>
      <w:pPr>
        <w:pStyle w:val="Ttulo2"/>
      </w:pPr>
      <w:r>
        <w:t>Historia 003: Avisar cuando un documento cambia de estado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recibir un aviso cuando un documento cambia de estado para poder reaccionar dentro del plazo de ocho días que da la ley.</w:t>
      </w:r>
    </w:p>
    <w:p>
      <w:pPr>
        <w:pStyle w:val="Ttulo3"/>
      </w:pPr>
      <w:r>
        <w:t>Criterios de Aceptación</w:t>
      </w:r>
    </w:p>
    <w:p>
      <w:pPr>
        <w:pStyle w:val="Prrafodelista"/>
      </w:pPr>
      <w:r>
        <w:rPr>
          <w:sz w:val="22"/>
        </w:rPr>
        <w:t>•  Cada descarga se compara con la anterior del mismo período.</w:t>
      </w:r>
    </w:p>
    <w:p>
      <w:pPr>
        <w:pStyle w:val="Prrafodelista"/>
      </w:pPr>
      <w:r>
        <w:rPr>
          <w:sz w:val="22"/>
        </w:rPr>
        <w:t>•  Se genera una alerta por cada documento nuevo y por cada cambio de estado.</w:t>
      </w:r>
    </w:p>
    <w:p>
      <w:pPr>
        <w:pStyle w:val="Prrafodelista"/>
      </w:pPr>
      <w:r>
        <w:rPr>
          <w:sz w:val="22"/>
        </w:rPr>
        <w:t>•  La alerta identifica el documento, la contraparte y el estado al que pasó.</w:t>
      </w:r>
    </w:p>
    <w:p>
      <w:pPr>
        <w:pStyle w:val="Prrafodelista"/>
      </w:pPr>
      <w:r>
        <w:rPr>
          <w:sz w:val="22"/>
        </w:rPr>
        <w:t>•  Las alertas se pueden marcar como leídas y no vuelven a aparecer.</w:t>
      </w:r>
    </w:p>
    <w:p>
      <w:pPr>
        <w:pStyle w:val="Ttulo2"/>
      </w:pPr>
      <w:r>
        <w:t>Historia 004: Consultar la deuda de la TGR y el estado del F29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consultar mi deuda en la Tesorería y el estado de mi Formulario 29 para conocer mi situación tributaria completa en un solo lugar.</w:t>
      </w:r>
    </w:p>
    <w:p>
      <w:pPr>
        <w:pStyle w:val="Ttulo3"/>
      </w:pPr>
      <w:r>
        <w:t>Criterios de Aceptación</w:t>
      </w:r>
    </w:p>
    <w:p>
      <w:pPr>
        <w:pStyle w:val="Prrafodelista"/>
      </w:pPr>
      <w:r>
        <w:rPr>
          <w:sz w:val="22"/>
        </w:rPr>
        <w:t>•  El certificado de deuda se obtiene y se guarda junto con su archivo original.</w:t>
      </w:r>
    </w:p>
    <w:p>
      <w:pPr>
        <w:pStyle w:val="Prrafodelista"/>
      </w:pPr>
      <w:r>
        <w:rPr>
          <w:sz w:val="22"/>
        </w:rPr>
        <w:t>•  Se registran el total moroso, el total no vencido y el detalle de los giros.</w:t>
      </w:r>
    </w:p>
    <w:p>
      <w:pPr>
        <w:pStyle w:val="Prrafodelista"/>
      </w:pPr>
      <w:r>
        <w:rPr>
          <w:sz w:val="22"/>
        </w:rPr>
        <w:t>•  El estado del Formulario 29 se obtiene por período.</w:t>
      </w:r>
    </w:p>
    <w:p>
      <w:pPr>
        <w:pStyle w:val="Prrafodelista"/>
      </w:pPr>
      <w:r>
        <w:rPr>
          <w:sz w:val="22"/>
        </w:rPr>
        <w:t>•  Ambas consultas quedan registradas en la bitácora con su duración.</w:t>
      </w:r>
    </w:p>
    <w:p>
      <w:pPr>
        <w:pStyle w:val="Ttulo2"/>
      </w:pPr>
      <w:r>
        <w:t>Historia 005: Consultar el histórico por RUT y período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consultar el histórico por RUT y período para comparar meses anteriores sin tener que volver a descargarlos.</w:t>
      </w:r>
    </w:p>
    <w:p>
      <w:pPr>
        <w:pStyle w:val="Ttulo3"/>
      </w:pPr>
      <w:r>
        <w:t>Criterios de Aceptación</w:t>
      </w:r>
    </w:p>
    <w:p>
      <w:pPr>
        <w:pStyle w:val="Prrafodelista"/>
      </w:pPr>
      <w:r>
        <w:rPr>
          <w:sz w:val="22"/>
        </w:rPr>
        <w:t>•  La consulta filtra por contribuyente, período y tipo de documento.</w:t>
      </w:r>
    </w:p>
    <w:p>
      <w:pPr>
        <w:pStyle w:val="Prrafodelista"/>
      </w:pPr>
      <w:r>
        <w:rPr>
          <w:sz w:val="22"/>
        </w:rPr>
        <w:t>•  El resumen por período muestra los totales de compras, ventas e IVA.</w:t>
      </w:r>
    </w:p>
    <w:p>
      <w:pPr>
        <w:pStyle w:val="Prrafodelista"/>
      </w:pPr>
      <w:r>
        <w:rPr>
          <w:sz w:val="22"/>
        </w:rPr>
        <w:t>•  Se puede descargar un rango de meses en un solo archivo comprimido.</w:t>
      </w:r>
    </w:p>
    <w:p>
      <w:pPr>
        <w:pStyle w:val="Prrafodelista"/>
      </w:pPr>
      <w:r>
        <w:rPr>
          <w:sz w:val="22"/>
        </w:rPr>
        <w:t>•  El histórico se conserva aunque el portal deje de exponer el período.</w:t>
      </w:r>
    </w:p>
    <w:p>
      <w:pPr>
        <w:pStyle w:val="Ttulo2"/>
      </w:pPr>
      <w:r>
        <w:t>Historia 006: Generar un reporte consolidado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contador quiero generar un reporte consolidado en PDF para entregárselo a mi cliente sin tener que armarlo a mano.</w:t>
      </w:r>
    </w:p>
    <w:p>
      <w:pPr>
        <w:pStyle w:val="Ttulo3"/>
      </w:pPr>
      <w:r>
        <w:t>Criterios de Aceptación</w:t>
      </w:r>
    </w:p>
    <w:p>
      <w:pPr>
        <w:pStyle w:val="Prrafodelista"/>
      </w:pPr>
      <w:r>
        <w:rPr>
          <w:sz w:val="22"/>
        </w:rPr>
        <w:t>•  El reporte reúne el Registro, la deuda de la Tesorería y el estado del Formulario 29.</w:t>
      </w:r>
    </w:p>
    <w:p>
      <w:pPr>
        <w:pStyle w:val="Prrafodelista"/>
      </w:pPr>
      <w:r>
        <w:rPr>
          <w:sz w:val="22"/>
        </w:rPr>
        <w:t>•  El rango de períodos lo define el usuario.</w:t>
      </w:r>
    </w:p>
    <w:p>
      <w:pPr>
        <w:pStyle w:val="Prrafodelista"/>
      </w:pPr>
      <w:r>
        <w:rPr>
          <w:sz w:val="22"/>
        </w:rPr>
        <w:t>•  La configuración del reporte se puede guardar como plantilla y reutilizar.</w:t>
      </w:r>
    </w:p>
    <w:p>
      <w:pPr>
        <w:pStyle w:val="Prrafodelista"/>
      </w:pPr>
      <w:r>
        <w:rPr>
          <w:sz w:val="22"/>
        </w:rPr>
        <w:t>•  El reporte queda disponible para descargar y se conserva en el histórico.</w:t>
      </w:r>
    </w:p>
    <w:p>
      <w:pPr>
        <w:pStyle w:val="Ttulo1"/>
      </w:pPr>
      <w:r>
        <w:t>Backlog</w:t>
      </w:r>
    </w:p>
    <w:p>
      <w:pPr>
        <w:pStyle w:val="Ttulo2"/>
      </w:pPr>
      <w:r>
        <w:t>Historias con su peso relativo</w:t>
      </w:r>
    </w:p>
    <w:p>
      <w:pPr>
        <w:jc w:val="both"/>
      </w:pPr>
      <w:r>
        <w:rPr>
          <w:sz w:val="22"/>
        </w:rPr>
        <w:t>El peso se expresa en puntos de historia, con la serie de Fibonacci como escala, y refleja el esfuerzo relativo entre historias y no una estimación en horas.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6520"/>
          </w:tcPr>
          <w:p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001: Registrar un contribuyente a monitorear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002: Descargar el Registro de Compras y Ventas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13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003: Avisar cuando un documento cambia de estado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004: Consultar la deuda de la TGR y el estado del F29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13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005: Consultar el histórico por RUT y período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006: Generar un reporte consolidado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8</w:t>
            </w:r>
          </w:p>
        </w:tc>
      </w:tr>
    </w:tbl>
    <w:p>
      <w:pPr>
        <w:pStyle w:val="Ttulo2"/>
      </w:pPr>
      <w:r>
        <w:t>Backlog priorizado</w:t>
      </w:r>
    </w:p>
    <w:p>
      <w:pPr>
        <w:jc w:val="both"/>
      </w:pPr>
      <w:r>
        <w:rPr>
          <w:sz w:val="22"/>
        </w:rPr>
        <w:t>La priorización se ordenó por dependencia técnica antes que por valor percibido, dado que sin el acceso a los portales ninguna de las demás historias puede construirse. Los ciclos son de dos semanas.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6520"/>
          </w:tcPr>
          <w:p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Sprint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001: Registrar un contribuyente a monitorear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Sprint 1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002: Descargar el Registro de Compras y Ventas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Sprint 1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003: Avisar cuando un documento cambia de estado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Sprint 2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004: Consultar la deuda de la TGR y el estado del F29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Sprint 3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005: Consultar el histórico por RUT y período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Sprint 2</w:t>
            </w:r>
          </w:p>
        </w:tc>
      </w:tr>
      <w:tr>
        <w:tc>
          <w:tcPr>
            <w:tcW w:type="dxa" w:w="6520"/>
          </w:tcPr>
          <w:p>
            <w:r>
              <w:rPr>
                <w:b w:val="0"/>
                <w:sz w:val="20"/>
              </w:rPr>
              <w:t>Historia 006: Generar un reporte consolidado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Sprint 4</w:t>
            </w:r>
          </w:p>
        </w:tc>
      </w:tr>
    </w:tbl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BEE108" w14:textId="77777777" w:rsidR="00B926D6" w:rsidRDefault="00B926D6" w:rsidP="00893114">
      <w:pPr>
        <w:spacing w:after="0" w:line="240" w:lineRule="auto"/>
      </w:pPr>
      <w:r>
        <w:separator/>
      </w:r>
    </w:p>
  </w:endnote>
  <w:endnote w:type="continuationSeparator" w:id="0">
    <w:p w14:paraId="0F8C0722" w14:textId="77777777" w:rsidR="00B926D6" w:rsidRDefault="00B926D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4CBF2D" w14:textId="77777777" w:rsidR="00B926D6" w:rsidRDefault="00B926D6" w:rsidP="00893114">
      <w:pPr>
        <w:spacing w:after="0" w:line="240" w:lineRule="auto"/>
      </w:pPr>
      <w:r>
        <w:separator/>
      </w:r>
    </w:p>
  </w:footnote>
  <w:footnote w:type="continuationSeparator" w:id="0">
    <w:p w14:paraId="5E585C87" w14:textId="77777777" w:rsidR="00B926D6" w:rsidRDefault="00B926D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5</Pages>
  <Words>365</Words>
  <Characters>1980</Characters>
  <Application>Microsoft Office Word</Application>
  <DocSecurity>0</DocSecurity>
  <Lines>220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subject>aSIIstente</dc:subject>
  <dc:creator>Cristóbal Ponce de León · Valeria Gómez</dc:creator>
  <cp:lastModifiedBy>Felipe Antonio Krauss Benavente - (SIGC)</cp:lastModifiedBy>
  <cp:revision>53</cp:revision>
  <dcterms:created xsi:type="dcterms:W3CDTF">2016-01-10T17:41:00Z</dcterms:created>
  <dcterms:modified xsi:type="dcterms:W3CDTF">2026-09-28T19:21:00Z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