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${CODIGO}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${FECHA}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${CLIENTE}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${CONTACTO}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${CARGO}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${SERVICIO}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${SERVICIO}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${SERVICIO}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${ANIO}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${CLIENTE}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${REQUERIMIENTOS}</w:t>
      </w:r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  <w:bookmarkStart w:id="0" w:name="_GoBack"/>
      <w:bookmarkEnd w:id="0"/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 xml:space="preserve">, para lo cual se requerirá que el cliente nos alcance los datos de las personas de contacto y los permisos necesarios para el acceso y tomas </w:t>
      </w:r>
      <w:proofErr w:type="gramStart"/>
      <w:r w:rsidRPr="00184420">
        <w:rPr>
          <w:rFonts w:ascii="Arial" w:hAnsi="Arial" w:cs="Arial"/>
          <w:sz w:val="24"/>
          <w:lang w:val="es-ES"/>
        </w:rPr>
        <w:t>fotográficas</w:t>
      </w:r>
      <w:proofErr w:type="gramEnd"/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 xml:space="preserve">y los </w:t>
      </w:r>
      <w:proofErr w:type="spellStart"/>
      <w:r>
        <w:rPr>
          <w:rFonts w:ascii="Arial" w:hAnsi="Arial" w:cs="Arial"/>
          <w:sz w:val="24"/>
          <w:lang w:val="es-ES"/>
        </w:rPr>
        <w:t>overhall</w:t>
      </w:r>
      <w:proofErr w:type="spellEnd"/>
      <w:r>
        <w:rPr>
          <w:rFonts w:ascii="Arial" w:hAnsi="Arial" w:cs="Arial"/>
          <w:sz w:val="24"/>
          <w:lang w:val="es-ES"/>
        </w:rPr>
        <w:t xml:space="preserve">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${LETRAS}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proofErr w:type="spellStart"/>
      <w:r w:rsidRPr="00D16412">
        <w:rPr>
          <w:rFonts w:ascii="Arial" w:hAnsi="Arial" w:cs="Arial"/>
          <w:sz w:val="22"/>
          <w:szCs w:val="22"/>
          <w:lang w:val="es-PE"/>
        </w:rPr>
        <w:t>e</w:t>
      </w:r>
      <w:proofErr w:type="spellEnd"/>
      <w:r w:rsidRPr="00D16412">
        <w:rPr>
          <w:rFonts w:ascii="Arial" w:hAnsi="Arial" w:cs="Arial"/>
          <w:sz w:val="22"/>
          <w:szCs w:val="22"/>
          <w:lang w:val="es-PE"/>
        </w:rPr>
        <w:t xml:space="preserve">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default" r:id="rId10"/>
      <w:footerReference w:type="default" r:id="rId11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BB8" w:rsidRDefault="00D05BB8">
      <w:r>
        <w:separator/>
      </w:r>
    </w:p>
  </w:endnote>
  <w:endnote w:type="continuationSeparator" w:id="0">
    <w:p w:rsidR="00D05BB8" w:rsidRDefault="00D0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5, Oficina 503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BB8" w:rsidRDefault="00D05BB8">
      <w:r>
        <w:separator/>
      </w:r>
    </w:p>
  </w:footnote>
  <w:footnote w:type="continuationSeparator" w:id="0">
    <w:p w:rsidR="00D05BB8" w:rsidRDefault="00D05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F6222"/>
    <w:rsid w:val="004227F9"/>
    <w:rsid w:val="00422B2D"/>
    <w:rsid w:val="00422BF1"/>
    <w:rsid w:val="00423088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95ECA-4C10-4A34-9862-BA772D0C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SISTEMAS</cp:lastModifiedBy>
  <cp:revision>89</cp:revision>
  <cp:lastPrinted>2016-05-23T23:10:00Z</cp:lastPrinted>
  <dcterms:created xsi:type="dcterms:W3CDTF">2016-06-16T15:13:00Z</dcterms:created>
  <dcterms:modified xsi:type="dcterms:W3CDTF">2016-09-14T15:23:00Z</dcterms:modified>
</cp:coreProperties>
</file>