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line="360" w:lineRule="auto" w:before="0" w:after="240"/>
        <w:ind w:firstLine="0" w:left="0" w:right="0"/>
        <w:jc w:val="center"/>
      </w:pPr>
      <w:r>
        <w:rPr>
          <w:rFonts w:ascii="Times New Roman" w:hAnsi="Times New Roman" w:cs="Times New Roman" w:eastAsia="Times New Roman"/>
          <w:b/>
          <w:i w:val="0"/>
          <w:color w:val="000000"/>
          <w:sz w:val="44"/>
        </w:rPr>
        <w:t>Бизнес-план</w:t>
      </w:r>
    </w:p>
    <w:p>
      <w:pPr>
        <w:spacing w:line="360" w:lineRule="auto" w:before="0" w:after="0"/>
        <w:ind w:firstLine="0" w:left="0" w:right="0"/>
        <w:jc w:val="center"/>
      </w:pPr>
      <w:r>
        <w:rPr>
          <w:rFonts w:ascii="Times New Roman" w:hAnsi="Times New Roman" w:cs="Times New Roman" w:eastAsia="Times New Roman"/>
          <w:b/>
          <w:i w:val="0"/>
          <w:color w:val="000000"/>
          <w:sz w:val="32"/>
        </w:rPr>
        <w:t>Разработка цифровой платформы на базе ассистента с искусственным интеллектом для персонализации обслуживания в ресторанах</w:t>
      </w:r>
    </w:p>
    <w:p/>
    <w:p/>
    <w:p/>
    <w:p/>
    <w:p/>
    <w:p/>
    <w:p/>
    <w:p/>
    <w:p/>
    <w:p/>
    <w:p>
      <w:pPr>
        <w:spacing w:line="360" w:lineRule="auto" w:before="0" w:after="0"/>
        <w:ind w:firstLine="0" w:left="0" w:right="0"/>
        <w:jc w:val="center"/>
      </w:pPr>
      <w:r>
        <w:rPr>
          <w:rFonts w:ascii="Times New Roman" w:hAnsi="Times New Roman" w:cs="Times New Roman" w:eastAsia="Times New Roman"/>
          <w:b w:val="0"/>
          <w:i w:val="0"/>
          <w:color w:val="000000"/>
          <w:sz w:val="32"/>
        </w:rPr>
        <w:t>ООО «Бусторан»</w:t>
      </w:r>
    </w:p>
    <w:p/>
    <w:p/>
    <w:p/>
    <w:p/>
    <w:p>
      <w:pPr>
        <w:spacing w:line="360" w:lineRule="auto" w:before="0" w:after="0"/>
        <w:ind w:firstLine="0" w:left="0" w:right="0"/>
        <w:jc w:val="center"/>
      </w:pPr>
      <w:r>
        <w:rPr>
          <w:rFonts w:ascii="Times New Roman" w:hAnsi="Times New Roman" w:cs="Times New Roman" w:eastAsia="Times New Roman"/>
          <w:b w:val="0"/>
          <w:i w:val="0"/>
          <w:color w:val="000000"/>
          <w:sz w:val="32"/>
        </w:rPr>
        <w:t>Томск 2026 г.</w:t>
      </w:r>
    </w:p>
    <w:p>
      <w:pPr>
        <w:sectPr>
          <w:pgSz w:w="11906" w:h="16838"/>
          <w:pgMar w:top="1134" w:right="850" w:bottom="1134" w:left="1701" w:header="720" w:footer="720" w:gutter="0"/>
          <w:cols w:space="720"/>
          <w:docGrid w:linePitch="360"/>
        </w:sectPr>
      </w:pPr>
    </w:p>
    <w:p>
      <w:pPr>
        <w:spacing w:line="360" w:lineRule="auto" w:before="0" w:after="240"/>
        <w:ind w:firstLine="0" w:left="0" w:right="0"/>
        <w:jc w:val="center"/>
      </w:pPr>
      <w:r>
        <w:rPr>
          <w:rFonts w:ascii="Times New Roman" w:hAnsi="Times New Roman" w:cs="Times New Roman" w:eastAsia="Times New Roman"/>
          <w:b/>
          <w:i w:val="0"/>
          <w:color w:val="000000"/>
          <w:sz w:val="28"/>
        </w:rPr>
        <w:t>Содержание</w:t>
      </w:r>
    </w:p>
    <w:p>
      <w:pPr>
        <w:spacing w:line="360" w:lineRule="auto" w:before="0" w:after="0"/>
        <w:ind w:firstLine="0" w:left="0" w:right="0"/>
        <w:jc w:val="both"/>
      </w:pPr>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TOC \o "1-2" \h \z \u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color w:val="000000"/>
          <w:sz w:val="28"/>
        </w:rPr>
        <w:t>Обновите поле: Ctrl+A, затем F9</w:t>
      </w:r>
      <w:r>
        <w:rPr>
          <w:rFonts w:ascii="Times New Roman" w:hAnsi="Times New Roman" w:cs="Times New Roman" w:eastAsia="Times New Roman"/>
          <w:b w:val="0"/>
          <w:i w:val="0"/>
          <w:color w:val="000000"/>
          <w:sz w:val="28"/>
        </w:rPr>
        <w:fldChar w:fldCharType="end"/>
      </w:r>
    </w:p>
    <w:p>
      <w:pPr>
        <w:sectPr>
          <w:pgSz w:w="11906" w:h="16838"/>
          <w:pgMar w:top="1134" w:right="850" w:bottom="1134" w:left="1701" w:header="720" w:footer="720" w:gutter="0"/>
          <w:cols w:space="720"/>
          <w:docGrid w:linePitch="360"/>
        </w:sectPr>
      </w:pPr>
    </w:p>
    <w:p>
      <w:pPr>
        <w:pStyle w:val="Heading1"/>
        <w:keepNext/>
        <w:spacing w:line="360" w:lineRule="auto" w:before="0" w:after="0"/>
        <w:ind w:firstLine="709" w:left="0" w:right="0"/>
        <w:jc w:val="both"/>
      </w:pPr>
      <w:r>
        <w:rPr>
          <w:rFonts w:ascii="Times New Roman" w:hAnsi="Times New Roman" w:cs="Times New Roman" w:eastAsia="Times New Roman"/>
          <w:b/>
          <w:i w:val="0"/>
          <w:color w:val="000000"/>
          <w:sz w:val="28"/>
        </w:rPr>
        <w:t>Резюме</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1" w:name="_Tbl_0_1"/>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1"/>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Основные показатели проекта</w:t>
      </w:r>
    </w:p>
    <w:tbl>
      <w:tblPr>
        <w:tblStyle w:val="TableGrid"/>
        <w:tblW w:type="auto" w:w="0"/>
        <w:jc w:val="center"/>
        <w:tblLayout w:type="fixed"/>
        <w:tblLook w:firstColumn="1" w:firstRow="1" w:lastColumn="0" w:lastRow="0" w:noHBand="0" w:noVBand="1" w:val="04A0"/>
      </w:tblPr>
      <w:tblGrid>
        <w:gridCol w:w="3561"/>
        <w:gridCol w:w="5793"/>
      </w:tblGrid>
      <w:tr>
        <w:trPr>
          <w:tblHeader/>
        </w:trPr>
        <w:tc>
          <w:tcPr>
            <w:tcW w:type="dxa" w:w="3561"/>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Показатель</w:t>
            </w:r>
          </w:p>
        </w:tc>
        <w:tc>
          <w:tcPr>
            <w:tcW w:type="dxa" w:w="5793"/>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Значение</w:t>
            </w:r>
          </w:p>
        </w:tc>
      </w:tr>
      <w:tr>
        <w:tc>
          <w:tcPr>
            <w:tcW w:type="dxa" w:w="356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Наименование предприятия</w:t>
            </w:r>
          </w:p>
        </w:tc>
        <w:tc>
          <w:tcPr>
            <w:tcW w:type="dxa" w:w="579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ООО «Бусторан»</w:t>
            </w:r>
          </w:p>
        </w:tc>
      </w:tr>
      <w:tr>
        <w:tc>
          <w:tcPr>
            <w:tcW w:type="dxa" w:w="356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Продукт</w:t>
            </w:r>
          </w:p>
        </w:tc>
        <w:tc>
          <w:tcPr>
            <w:tcW w:type="dxa" w:w="579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Boostaurant – платформа персональных рекомендаций для официанта</w:t>
            </w:r>
          </w:p>
        </w:tc>
      </w:tr>
      <w:tr>
        <w:tc>
          <w:tcPr>
            <w:tcW w:type="dxa" w:w="356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Отрасль</w:t>
            </w:r>
          </w:p>
        </w:tc>
        <w:tc>
          <w:tcPr>
            <w:tcW w:type="dxa" w:w="579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Программное обеспечение для предприятий общественного питания</w:t>
            </w:r>
          </w:p>
        </w:tc>
      </w:tr>
      <w:tr>
        <w:tc>
          <w:tcPr>
            <w:tcW w:type="dxa" w:w="356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Заказчик</w:t>
            </w:r>
          </w:p>
        </w:tc>
        <w:tc>
          <w:tcPr>
            <w:tcW w:type="dxa" w:w="579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Ресторан полного обслуживания на iiko или r_keeper</w:t>
            </w:r>
          </w:p>
        </w:tc>
      </w:tr>
      <w:tr>
        <w:tc>
          <w:tcPr>
            <w:tcW w:type="dxa" w:w="356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Модель распространения</w:t>
            </w:r>
          </w:p>
        </w:tc>
        <w:tc>
          <w:tcPr>
            <w:tcW w:type="dxa" w:w="579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Подписка, 10 000 рублей в месяц за одно заведение</w:t>
            </w:r>
          </w:p>
        </w:tc>
      </w:tr>
      <w:tr>
        <w:tc>
          <w:tcPr>
            <w:tcW w:type="dxa" w:w="356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Потребность в инвестициях</w:t>
            </w:r>
          </w:p>
        </w:tc>
        <w:tc>
          <w:tcPr>
            <w:tcW w:type="dxa" w:w="579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1,5 млн рублей</w:t>
            </w:r>
          </w:p>
        </w:tc>
      </w:tr>
      <w:tr>
        <w:tc>
          <w:tcPr>
            <w:tcW w:type="dxa" w:w="356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Источник финансирования</w:t>
            </w:r>
          </w:p>
        </w:tc>
        <w:tc>
          <w:tcPr>
            <w:tcW w:type="dxa" w:w="579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Средства учредителя</w:t>
            </w:r>
          </w:p>
        </w:tc>
      </w:tr>
      <w:tr>
        <w:tc>
          <w:tcPr>
            <w:tcW w:type="dxa" w:w="356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Срок окупаемости</w:t>
            </w:r>
          </w:p>
        </w:tc>
        <w:tc>
          <w:tcPr>
            <w:tcW w:type="dxa" w:w="579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 года 1 месяц</w:t>
            </w:r>
          </w:p>
        </w:tc>
      </w:tr>
      <w:tr>
        <w:tc>
          <w:tcPr>
            <w:tcW w:type="dxa" w:w="356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Чистая приведённая стоимость</w:t>
            </w:r>
          </w:p>
        </w:tc>
        <w:tc>
          <w:tcPr>
            <w:tcW w:type="dxa" w:w="579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2 840 тыс. рублей при ставке 25 %</w:t>
            </w:r>
          </w:p>
        </w:tc>
      </w:tr>
    </w:tbl>
    <w:p>
      <w:pPr>
        <w:spacing w:line="360" w:lineRule="auto" w:before="0" w:after="120"/>
        <w:ind w:firstLine="0" w:left="0" w:right="0"/>
        <w:jc w:val="both"/>
      </w:pPr>
    </w:p>
    <w:p>
      <w:pPr>
        <w:keepNext/>
        <w:spacing w:line="360" w:lineRule="auto" w:before="0" w:after="0"/>
        <w:ind w:firstLine="709" w:left="0" w:right="0"/>
        <w:jc w:val="both"/>
      </w:pPr>
      <w:r>
        <w:rPr>
          <w:rFonts w:ascii="Times New Roman" w:hAnsi="Times New Roman" w:cs="Times New Roman" w:eastAsia="Times New Roman"/>
          <w:b/>
          <w:i w:val="0"/>
          <w:color w:val="000000"/>
          <w:sz w:val="28"/>
        </w:rPr>
        <w:t>Существо предложения</w:t>
      </w:r>
    </w:p>
    <w:p>
      <w:pPr>
        <w:spacing w:line="360" w:lineRule="auto" w:before="0" w:after="0"/>
        <w:ind w:firstLine="709" w:left="0" w:right="0"/>
        <w:jc w:val="both"/>
      </w:pPr>
      <w:r>
        <w:rPr>
          <w:rFonts w:ascii="Times New Roman" w:hAnsi="Times New Roman" w:cs="Times New Roman" w:eastAsia="Times New Roman"/>
          <w:b w:val="0"/>
          <w:i w:val="0"/>
          <w:color w:val="000000"/>
          <w:sz w:val="28"/>
        </w:rPr>
        <w:t>Данные о заказах гостей накапливаются в системе учёта ресторана и обрабатываются, но их результат поступает менеджеру после смены либо самому гостю в рассылку. Официант – единственный участник обслуживания, который в момент разговора с гостем не располагает ничем, кроме текущего заказа. Приёмы персонализации, освоенные в электронной торговле, к очному обслуживанию не применяются, хотя данные для них имеются.</w:t>
      </w:r>
    </w:p>
    <w:p>
      <w:pPr>
        <w:spacing w:line="360" w:lineRule="auto" w:before="0" w:after="0"/>
        <w:ind w:firstLine="709" w:left="0" w:right="0"/>
        <w:jc w:val="both"/>
      </w:pPr>
      <w:r>
        <w:rPr>
          <w:rFonts w:ascii="Times New Roman" w:hAnsi="Times New Roman" w:cs="Times New Roman" w:eastAsia="Times New Roman"/>
          <w:b w:val="0"/>
          <w:i w:val="0"/>
          <w:color w:val="000000"/>
          <w:sz w:val="28"/>
        </w:rPr>
        <w:t>Платформа обрабатывает историю заказов и по номеру столика выдаёт официанту профиль гостя и пять рекомендаций по меню. Отмеченные официантом аллергены исключаются из выдачи немедленно. Рекомендации строятся тремя способами по убыванию персонализации – матричное разложение, кластеризация, популярность, – вследствие чего продукт работает с первого дня, а не после накопления истории.</w:t>
      </w:r>
    </w:p>
    <w:p>
      <w:pPr>
        <w:spacing w:line="360" w:lineRule="auto" w:before="0" w:after="0"/>
        <w:ind w:firstLine="709" w:left="0" w:right="0"/>
        <w:jc w:val="both"/>
      </w:pPr>
      <w:r>
        <w:rPr>
          <w:rFonts w:ascii="Times New Roman" w:hAnsi="Times New Roman" w:cs="Times New Roman" w:eastAsia="Times New Roman"/>
          <w:b w:val="0"/>
          <w:i w:val="0"/>
          <w:color w:val="000000"/>
          <w:sz w:val="28"/>
        </w:rPr>
        <w:t>Продукт не заменяет систему учёта или программу лояльности: он работает поверх данных системы учёта и добавляет получателя, которого у этих данных до сих пор не было.</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Состояние проекта</w:t>
      </w:r>
    </w:p>
    <w:p>
      <w:pPr>
        <w:spacing w:line="360" w:lineRule="auto" w:before="0" w:after="0"/>
        <w:ind w:firstLine="709" w:left="0" w:right="0"/>
        <w:jc w:val="both"/>
      </w:pPr>
      <w:r>
        <w:rPr>
          <w:rFonts w:ascii="Times New Roman" w:hAnsi="Times New Roman" w:cs="Times New Roman" w:eastAsia="Times New Roman"/>
          <w:b w:val="0"/>
          <w:i w:val="0"/>
          <w:color w:val="000000"/>
          <w:sz w:val="28"/>
        </w:rPr>
        <w:t>Разработка завершена и профинансирована грантом Фонда содействия инновациям (договор 1105ГССС27/106900). Действует прототип: база данных, рекомендательное ядро, программный интерфейс, бот, интеграция с iiko. Достигнутая точность рекомендаций – 97,1 %, для гостя с единственным визитом – 84,4 %.</w:t>
      </w:r>
    </w:p>
    <w:p>
      <w:pPr>
        <w:spacing w:line="360" w:lineRule="auto" w:before="0" w:after="0"/>
        <w:ind w:firstLine="709" w:left="0" w:right="0"/>
        <w:jc w:val="both"/>
      </w:pPr>
      <w:r>
        <w:rPr>
          <w:rFonts w:ascii="Times New Roman" w:hAnsi="Times New Roman" w:cs="Times New Roman" w:eastAsia="Times New Roman"/>
          <w:b w:val="0"/>
          <w:i w:val="0"/>
          <w:color w:val="000000"/>
          <w:sz w:val="28"/>
        </w:rPr>
        <w:t>Внедрений нет. Проверка ценности продукта на данных действующих ресторанов относится к первому году и составляет главное допущение настоящего плана.</w:t>
      </w:r>
    </w:p>
    <w:p>
      <w:pPr>
        <w:spacing w:line="360" w:lineRule="auto" w:before="0" w:after="0"/>
        <w:ind w:firstLine="709" w:left="0" w:right="0"/>
        <w:jc w:val="both"/>
      </w:pPr>
      <w:r>
        <w:rPr>
          <w:rFonts w:ascii="Times New Roman" w:hAnsi="Times New Roman" w:cs="Times New Roman" w:eastAsia="Times New Roman"/>
          <w:b w:val="0"/>
          <w:i w:val="0"/>
          <w:color w:val="000000"/>
          <w:sz w:val="28"/>
        </w:rPr>
        <w:t>Предметом финансирования является поэтому не разработка, а вывод продукта на рынок.</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Рынок</w:t>
      </w:r>
    </w:p>
    <w:p>
      <w:pPr>
        <w:spacing w:line="360" w:lineRule="auto" w:before="0" w:after="0"/>
        <w:ind w:firstLine="709" w:left="0" w:right="0"/>
        <w:jc w:val="both"/>
      </w:pPr>
      <w:r>
        <w:rPr>
          <w:rFonts w:ascii="Times New Roman" w:hAnsi="Times New Roman" w:cs="Times New Roman" w:eastAsia="Times New Roman"/>
          <w:b w:val="0"/>
          <w:i w:val="0"/>
          <w:color w:val="000000"/>
          <w:sz w:val="28"/>
        </w:rPr>
        <w:t>Предельный объём рынка при полном охвате формата – 8,16 млрд рублей в год. Доступный при существующих интеграциях объём – 363 млн рублей, около 3 020 заведений в городах-миллионниках. План третьего года – 200 заказчиков, то есть 6,6 % доступных заведений; вытеснения действующих поставщиков он не предполагает.</w:t>
      </w:r>
    </w:p>
    <w:p>
      <w:pPr>
        <w:spacing w:line="360" w:lineRule="auto" w:before="0" w:after="0"/>
        <w:ind w:firstLine="709" w:left="0" w:right="0"/>
        <w:jc w:val="both"/>
      </w:pPr>
      <w:r>
        <w:rPr>
          <w:rFonts w:ascii="Times New Roman" w:hAnsi="Times New Roman" w:cs="Times New Roman" w:eastAsia="Times New Roman"/>
          <w:b w:val="0"/>
          <w:i w:val="0"/>
          <w:color w:val="000000"/>
          <w:sz w:val="28"/>
        </w:rPr>
        <w:t>Позиция не занята: персональные рекомендации официанту в момент обслуживания не предоставляют ни системы учёта, ни платформы лояльности, ни системы управления залом. Проверка по состоянию на август 2026 года объявленных решений такого рода не обнаружила.</w:t>
      </w:r>
    </w:p>
    <w:p>
      <w:pPr>
        <w:spacing w:line="360" w:lineRule="auto" w:before="0" w:after="0"/>
        <w:ind w:firstLine="709" w:left="0" w:right="0"/>
        <w:jc w:val="both"/>
      </w:pPr>
      <w:r>
        <w:rPr>
          <w:rFonts w:ascii="Times New Roman" w:hAnsi="Times New Roman" w:cs="Times New Roman" w:eastAsia="Times New Roman"/>
          <w:b w:val="0"/>
          <w:i w:val="0"/>
          <w:color w:val="000000"/>
          <w:sz w:val="28"/>
        </w:rPr>
        <w:t>Отрасль сокращается – за 2025 год ликвидировано 35,4 тыс. предприятий общественного питания, – и налоговая нагрузка на неё возрастает. Это обстоятельство действует в двух направлениях: сокращает свободные средства заказчика и одновременно увеличивает ценность выручки с каждого пришедшего гостя, поскольку ресурс повышения цен исчерпан.</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Экономика</w:t>
      </w:r>
    </w:p>
    <w:p>
      <w:pPr>
        <w:spacing w:line="360" w:lineRule="auto" w:before="0" w:after="0"/>
        <w:ind w:firstLine="709" w:left="0" w:right="0"/>
        <w:jc w:val="both"/>
      </w:pPr>
      <w:r>
        <w:rPr>
          <w:rFonts w:ascii="Times New Roman" w:hAnsi="Times New Roman" w:cs="Times New Roman" w:eastAsia="Times New Roman"/>
          <w:b w:val="0"/>
          <w:i w:val="0"/>
          <w:color w:val="000000"/>
          <w:sz w:val="28"/>
        </w:rPr>
        <w:t>Подписка 10 000 рублей в месяц окупается для заведения приростом 5,3 чека в месяц – примерно один дополнительный гость в неделю – и составляет 0,37 % его оборота. Цена не превышает стоимости учётной системы, которой ресторан уже пользуется.</w:t>
      </w:r>
    </w:p>
    <w:p>
      <w:pPr>
        <w:spacing w:line="360" w:lineRule="auto" w:before="0" w:after="0"/>
        <w:ind w:firstLine="709" w:left="0" w:right="0"/>
        <w:jc w:val="both"/>
      </w:pPr>
      <w:r>
        <w:rPr>
          <w:rFonts w:ascii="Times New Roman" w:hAnsi="Times New Roman" w:cs="Times New Roman" w:eastAsia="Times New Roman"/>
          <w:b w:val="0"/>
          <w:i w:val="0"/>
          <w:color w:val="000000"/>
          <w:sz w:val="28"/>
        </w:rPr>
        <w:t>Прямая себестоимость обслуживания одного заведения – 1 254 рубля в месяц, валовая рентабельность 87 %. Затраты на привлечение заказчика возмещаются менее чем за месяц подписки.</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2" w:name="_Tbl_0_2"/>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2"/>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Финансовые показатели, тыс. руб.</w:t>
      </w:r>
    </w:p>
    <w:tbl>
      <w:tblPr>
        <w:tblStyle w:val="TableGrid"/>
        <w:tblW w:type="auto" w:w="0"/>
        <w:jc w:val="center"/>
        <w:tblLayout w:type="fixed"/>
        <w:tblLook w:firstColumn="1" w:firstRow="1" w:lastColumn="0" w:lastRow="0" w:noHBand="0" w:noVBand="1" w:val="04A0"/>
      </w:tblPr>
      <w:tblGrid>
        <w:gridCol w:w="3846"/>
        <w:gridCol w:w="1836"/>
        <w:gridCol w:w="1836"/>
        <w:gridCol w:w="1836"/>
      </w:tblGrid>
      <w:tr>
        <w:trPr>
          <w:tblHeader/>
        </w:trPr>
        <w:tc>
          <w:tcPr>
            <w:tcW w:type="dxa" w:w="3846"/>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Показатель</w:t>
            </w:r>
          </w:p>
        </w:tc>
        <w:tc>
          <w:tcPr>
            <w:tcW w:type="dxa" w:w="1836"/>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1-й год</w:t>
            </w:r>
          </w:p>
        </w:tc>
        <w:tc>
          <w:tcPr>
            <w:tcW w:type="dxa" w:w="1836"/>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2-й год</w:t>
            </w:r>
          </w:p>
        </w:tc>
        <w:tc>
          <w:tcPr>
            <w:tcW w:type="dxa" w:w="1836"/>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3-й год</w:t>
            </w:r>
          </w:p>
        </w:tc>
      </w:tr>
      <w:tr>
        <w:tc>
          <w:tcPr>
            <w:tcW w:type="dxa" w:w="384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Заказчиков на конец года</w:t>
            </w:r>
          </w:p>
        </w:tc>
        <w:tc>
          <w:tcPr>
            <w:tcW w:type="dxa" w:w="183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30</w:t>
            </w:r>
          </w:p>
        </w:tc>
        <w:tc>
          <w:tcPr>
            <w:tcW w:type="dxa" w:w="183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100</w:t>
            </w:r>
          </w:p>
        </w:tc>
        <w:tc>
          <w:tcPr>
            <w:tcW w:type="dxa" w:w="183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200</w:t>
            </w:r>
          </w:p>
        </w:tc>
      </w:tr>
      <w:tr>
        <w:tc>
          <w:tcPr>
            <w:tcW w:type="dxa" w:w="384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Выручка</w:t>
            </w:r>
          </w:p>
        </w:tc>
        <w:tc>
          <w:tcPr>
            <w:tcW w:type="dxa" w:w="183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1 140</w:t>
            </w:r>
          </w:p>
        </w:tc>
        <w:tc>
          <w:tcPr>
            <w:tcW w:type="dxa" w:w="183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6 720</w:t>
            </w:r>
          </w:p>
        </w:tc>
        <w:tc>
          <w:tcPr>
            <w:tcW w:type="dxa" w:w="183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16 520</w:t>
            </w:r>
          </w:p>
        </w:tc>
      </w:tr>
      <w:tr>
        <w:tc>
          <w:tcPr>
            <w:tcW w:type="dxa" w:w="384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Расходы</w:t>
            </w:r>
          </w:p>
        </w:tc>
        <w:tc>
          <w:tcPr>
            <w:tcW w:type="dxa" w:w="183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2 210</w:t>
            </w:r>
          </w:p>
        </w:tc>
        <w:tc>
          <w:tcPr>
            <w:tcW w:type="dxa" w:w="183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4 197</w:t>
            </w:r>
          </w:p>
        </w:tc>
        <w:tc>
          <w:tcPr>
            <w:tcW w:type="dxa" w:w="183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8 576</w:t>
            </w:r>
          </w:p>
        </w:tc>
      </w:tr>
      <w:tr>
        <w:tc>
          <w:tcPr>
            <w:tcW w:type="dxa" w:w="384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Чистая прибыль</w:t>
            </w:r>
          </w:p>
        </w:tc>
        <w:tc>
          <w:tcPr>
            <w:tcW w:type="dxa" w:w="183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−1 104</w:t>
            </w:r>
          </w:p>
        </w:tc>
        <w:tc>
          <w:tcPr>
            <w:tcW w:type="dxa" w:w="183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2 123</w:t>
            </w:r>
          </w:p>
        </w:tc>
        <w:tc>
          <w:tcPr>
            <w:tcW w:type="dxa" w:w="183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7 547</w:t>
            </w:r>
          </w:p>
        </w:tc>
      </w:tr>
      <w:tr>
        <w:tc>
          <w:tcPr>
            <w:tcW w:type="dxa" w:w="384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То же нарастающим итогом</w:t>
            </w:r>
          </w:p>
        </w:tc>
        <w:tc>
          <w:tcPr>
            <w:tcW w:type="dxa" w:w="183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−1 104</w:t>
            </w:r>
          </w:p>
        </w:tc>
        <w:tc>
          <w:tcPr>
            <w:tcW w:type="dxa" w:w="183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1 019</w:t>
            </w:r>
          </w:p>
        </w:tc>
        <w:tc>
          <w:tcPr>
            <w:tcW w:type="dxa" w:w="183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8 566</w:t>
            </w:r>
          </w:p>
        </w:tc>
      </w:tr>
    </w:tbl>
    <w:p>
      <w:pPr>
        <w:spacing w:line="360" w:lineRule="auto" w:before="0" w:after="12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Убыток первого года образуется несовпадением моментов возникновения расходов и поступлений, а не превышением себестоимости над ценой: расходы на персонал возникают с четвёртого месяца, тогда как каждому заказчику предоставляется бесплатный период 30 дней. Безубыточность достигается при 18 заказчиках, на восьмом месяце первого года.</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Инвестиции</w:t>
      </w:r>
    </w:p>
    <w:p>
      <w:pPr>
        <w:spacing w:line="360" w:lineRule="auto" w:before="0" w:after="0"/>
        <w:ind w:firstLine="709" w:left="0" w:right="0"/>
        <w:jc w:val="both"/>
      </w:pPr>
      <w:r>
        <w:rPr>
          <w:rFonts w:ascii="Times New Roman" w:hAnsi="Times New Roman" w:cs="Times New Roman" w:eastAsia="Times New Roman"/>
          <w:b w:val="0"/>
          <w:i w:val="0"/>
          <w:color w:val="000000"/>
          <w:sz w:val="28"/>
        </w:rPr>
        <w:t>Требуется 1,5 млн рублей, вносимых учредителем. Величина определена расчётом движения денежных средств по месяцам и превышает убыток первого года на 0,4 млн: остаток обеспечивает платёжеспособность в начале второго года и образует резерв на отклонения от плана продаж. Наименьший остаток средств за трёхлетний период составляет 329 тыс. рублей, отрицательного остатка не возникает ни в одном месяце.</w:t>
      </w:r>
    </w:p>
    <w:p>
      <w:pPr>
        <w:spacing w:line="360" w:lineRule="auto" w:before="0" w:after="0"/>
        <w:ind w:firstLine="709" w:left="0" w:right="0"/>
        <w:jc w:val="both"/>
      </w:pPr>
      <w:r>
        <w:rPr>
          <w:rFonts w:ascii="Times New Roman" w:hAnsi="Times New Roman" w:cs="Times New Roman" w:eastAsia="Times New Roman"/>
          <w:b w:val="0"/>
          <w:i w:val="0"/>
          <w:color w:val="000000"/>
          <w:sz w:val="28"/>
        </w:rPr>
        <w:t>Заёмное финансирование в первые месяцы недоступно: банки предъявляют требование о сроке деятельности не менее шести месяцев и подтверждённой выручке. Капитальные вложения отсутствуют – оборудование не приобретается.</w:t>
      </w:r>
    </w:p>
    <w:p>
      <w:pPr>
        <w:spacing w:line="360" w:lineRule="auto" w:before="0" w:after="0"/>
        <w:ind w:firstLine="709" w:left="0" w:right="0"/>
        <w:jc w:val="both"/>
      </w:pPr>
      <w:r>
        <w:rPr>
          <w:rFonts w:ascii="Times New Roman" w:hAnsi="Times New Roman" w:cs="Times New Roman" w:eastAsia="Times New Roman"/>
          <w:b w:val="0"/>
          <w:i w:val="0"/>
          <w:color w:val="000000"/>
          <w:sz w:val="28"/>
        </w:rPr>
        <w:t>Дополнительным источником рассматривается грант «Старт-1» (до 4 млн рублей), подача заявки на который возможна по завершении действующего договора с Фондом. В расчёты он не включён: его получение улучшает результат, но не является условием осуществимости плана.</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Риски</w:t>
      </w:r>
    </w:p>
    <w:p>
      <w:pPr>
        <w:spacing w:line="360" w:lineRule="auto" w:before="0" w:after="0"/>
        <w:ind w:firstLine="709" w:left="0" w:right="0"/>
        <w:jc w:val="both"/>
      </w:pPr>
      <w:r>
        <w:rPr>
          <w:rFonts w:ascii="Times New Roman" w:hAnsi="Times New Roman" w:cs="Times New Roman" w:eastAsia="Times New Roman"/>
          <w:b w:val="0"/>
          <w:i w:val="0"/>
          <w:color w:val="000000"/>
          <w:sz w:val="28"/>
        </w:rPr>
        <w:t>Определяющими являются два связанных риска: снижение платёжеспособности заведений вследствие роста налоговой нагрузки и недостижение планового числа подключений. Оба относятся к периоду до выхода на самоокупаемость.</w:t>
      </w:r>
    </w:p>
    <w:p>
      <w:pPr>
        <w:spacing w:line="360" w:lineRule="auto" w:before="0" w:after="0"/>
        <w:ind w:firstLine="709" w:left="0" w:right="0"/>
        <w:jc w:val="both"/>
      </w:pPr>
      <w:r>
        <w:rPr>
          <w:rFonts w:ascii="Times New Roman" w:hAnsi="Times New Roman" w:cs="Times New Roman" w:eastAsia="Times New Roman"/>
          <w:b w:val="0"/>
          <w:i w:val="0"/>
          <w:color w:val="000000"/>
          <w:sz w:val="28"/>
        </w:rPr>
        <w:t>Основной мерой служит порядок планирования: наём привязан к достигнутым результатам, а не к календарю, а расходы на оплату труда составляют 84 % сметы первого года. При отставании от плана продаж перенос найма сохраняет платёжеспособность ценой замедления роста. Расчёт показывает, что подключение 20 заведений вместо 30 покрывается резервом без привлечения дополнительных средств.</w:t>
      </w:r>
    </w:p>
    <w:p>
      <w:pPr>
        <w:pStyle w:val="Heading1"/>
        <w:keepNext/>
        <w:pageBreakBefore/>
        <w:spacing w:line="360" w:lineRule="auto" w:before="0" w:after="0"/>
        <w:ind w:firstLine="709" w:left="0" w:right="0"/>
        <w:jc w:val="both"/>
      </w:pPr>
      <w:r>
        <w:rPr>
          <w:rFonts w:ascii="Times New Roman" w:hAnsi="Times New Roman" w:cs="Times New Roman" w:eastAsia="Times New Roman"/>
          <w:b/>
          <w:i w:val="0"/>
          <w:color w:val="000000"/>
          <w:sz w:val="28"/>
        </w:rPr>
        <w:t>1 Общая характеристика предприятия</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Сведения о предприятии</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3" w:name="_Tbl_1_1"/>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3"/>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Сведения о предприятии</w:t>
      </w:r>
    </w:p>
    <w:tbl>
      <w:tblPr>
        <w:tblStyle w:val="TableGrid"/>
        <w:tblW w:type="auto" w:w="0"/>
        <w:jc w:val="center"/>
        <w:tblLayout w:type="fixed"/>
        <w:tblLook w:firstColumn="1" w:firstRow="1" w:lastColumn="0" w:lastRow="0" w:noHBand="0" w:noVBand="1" w:val="04A0"/>
      </w:tblPr>
      <w:tblGrid>
        <w:gridCol w:w="3450"/>
        <w:gridCol w:w="5904"/>
      </w:tblGrid>
      <w:tr>
        <w:trPr>
          <w:tblHeader/>
        </w:trPr>
        <w:tc>
          <w:tcPr>
            <w:tcW w:type="dxa" w:w="3450"/>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Показатель</w:t>
            </w:r>
          </w:p>
        </w:tc>
        <w:tc>
          <w:tcPr>
            <w:tcW w:type="dxa" w:w="5904"/>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Значение</w:t>
            </w:r>
          </w:p>
        </w:tc>
      </w:tr>
      <w:tr>
        <w:tc>
          <w:tcPr>
            <w:tcW w:type="dxa" w:w="345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Наименование</w:t>
            </w:r>
          </w:p>
        </w:tc>
        <w:tc>
          <w:tcPr>
            <w:tcW w:type="dxa" w:w="590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Общество с ограниченной ответственностью «Бусторан»</w:t>
            </w:r>
          </w:p>
        </w:tc>
      </w:tr>
      <w:tr>
        <w:tc>
          <w:tcPr>
            <w:tcW w:type="dxa" w:w="345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Организационно-правовая форма</w:t>
            </w:r>
          </w:p>
        </w:tc>
        <w:tc>
          <w:tcPr>
            <w:tcW w:type="dxa" w:w="590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Общество с ограниченной ответственностью</w:t>
            </w:r>
          </w:p>
        </w:tc>
      </w:tr>
      <w:tr>
        <w:tc>
          <w:tcPr>
            <w:tcW w:type="dxa" w:w="345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Дата регистрации</w:t>
            </w:r>
          </w:p>
        </w:tc>
        <w:tc>
          <w:tcPr>
            <w:tcW w:type="dxa" w:w="590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20 ноября 2025 года</w:t>
            </w:r>
          </w:p>
        </w:tc>
      </w:tr>
      <w:tr>
        <w:tc>
          <w:tcPr>
            <w:tcW w:type="dxa" w:w="345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Юридический адрес</w:t>
            </w:r>
          </w:p>
        </w:tc>
        <w:tc>
          <w:tcPr>
            <w:tcW w:type="dxa" w:w="590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634034, Томская область, г. Томск, ул. Нижне-Луговая, д. 1, помещ. Ц003</w:t>
            </w:r>
          </w:p>
        </w:tc>
      </w:tr>
      <w:tr>
        <w:tc>
          <w:tcPr>
            <w:tcW w:type="dxa" w:w="345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Фактический адрес</w:t>
            </w:r>
          </w:p>
        </w:tc>
        <w:tc>
          <w:tcPr>
            <w:tcW w:type="dxa" w:w="590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Совпадает с юридическим</w:t>
            </w:r>
          </w:p>
        </w:tc>
      </w:tr>
      <w:tr>
        <w:tc>
          <w:tcPr>
            <w:tcW w:type="dxa" w:w="345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Банковские реквизиты</w:t>
            </w:r>
          </w:p>
        </w:tc>
        <w:tc>
          <w:tcPr>
            <w:tcW w:type="dxa" w:w="590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Р/с 40702810320000260862, БИК 044525104</w:t>
            </w:r>
          </w:p>
        </w:tc>
      </w:tr>
      <w:tr>
        <w:tc>
          <w:tcPr>
            <w:tcW w:type="dxa" w:w="345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Электронная почта</w:t>
            </w:r>
          </w:p>
        </w:tc>
        <w:tc>
          <w:tcPr>
            <w:tcW w:type="dxa" w:w="590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bo_rant@mail.ru</w:t>
            </w:r>
          </w:p>
        </w:tc>
      </w:tr>
      <w:tr>
        <w:tc>
          <w:tcPr>
            <w:tcW w:type="dxa" w:w="345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Сайт</w:t>
            </w:r>
          </w:p>
        </w:tc>
        <w:tc>
          <w:tcPr>
            <w:tcW w:type="dxa" w:w="590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https://boostaurant.tilda.ws/</w:t>
            </w:r>
          </w:p>
        </w:tc>
      </w:tr>
      <w:tr>
        <w:tc>
          <w:tcPr>
            <w:tcW w:type="dxa" w:w="345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Уставный капитал</w:t>
            </w:r>
          </w:p>
        </w:tc>
        <w:tc>
          <w:tcPr>
            <w:tcW w:type="dxa" w:w="590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10 000 рублей</w:t>
            </w:r>
          </w:p>
        </w:tc>
      </w:tr>
      <w:tr>
        <w:tc>
          <w:tcPr>
            <w:tcW w:type="dxa" w:w="345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Система налогообложения</w:t>
            </w:r>
          </w:p>
        </w:tc>
        <w:tc>
          <w:tcPr>
            <w:tcW w:type="dxa" w:w="590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АУСН</w:t>
            </w:r>
          </w:p>
        </w:tc>
      </w:tr>
    </w:tbl>
    <w:p>
      <w:pPr>
        <w:spacing w:line="360" w:lineRule="auto" w:before="0" w:after="120"/>
        <w:ind w:firstLine="0" w:left="0" w:right="0"/>
        <w:jc w:val="both"/>
      </w:pP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4" w:name="_Tbl_1_2"/>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4"/>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Учредители</w:t>
      </w:r>
    </w:p>
    <w:tbl>
      <w:tblPr>
        <w:tblStyle w:val="TableGrid"/>
        <w:tblW w:type="auto" w:w="0"/>
        <w:jc w:val="center"/>
        <w:tblLayout w:type="fixed"/>
        <w:tblLook w:firstColumn="1" w:firstRow="1" w:lastColumn="0" w:lastRow="0" w:noHBand="0" w:noVBand="1" w:val="04A0"/>
      </w:tblPr>
      <w:tblGrid>
        <w:gridCol w:w="881"/>
        <w:gridCol w:w="4087"/>
        <w:gridCol w:w="4387"/>
      </w:tblGrid>
      <w:tr>
        <w:trPr>
          <w:tblHeader/>
        </w:trPr>
        <w:tc>
          <w:tcPr>
            <w:tcW w:type="dxa" w:w="881"/>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w:t>
            </w:r>
          </w:p>
        </w:tc>
        <w:tc>
          <w:tcPr>
            <w:tcW w:type="dxa" w:w="4087"/>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ФИО</w:t>
            </w:r>
          </w:p>
        </w:tc>
        <w:tc>
          <w:tcPr>
            <w:tcW w:type="dxa" w:w="4387"/>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Доля в уставном капитале, %</w:t>
            </w:r>
          </w:p>
        </w:tc>
      </w:tr>
      <w:tr>
        <w:tc>
          <w:tcPr>
            <w:tcW w:type="dxa" w:w="88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w:t>
            </w:r>
          </w:p>
        </w:tc>
        <w:tc>
          <w:tcPr>
            <w:tcW w:type="dxa" w:w="408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Гричанов Игорь Андреевич</w:t>
            </w:r>
          </w:p>
        </w:tc>
        <w:tc>
          <w:tcPr>
            <w:tcW w:type="dxa" w:w="438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100</w:t>
            </w:r>
          </w:p>
        </w:tc>
      </w:tr>
    </w:tbl>
    <w:p>
      <w:pPr>
        <w:spacing w:line="360" w:lineRule="auto" w:before="0" w:after="12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Предприятие является действующим: заключён и исполняется договор с Фондом содействия инновациям № 1105ГССС27/106900 от 17 октября 2025 года о предоставлении гранта на выполнение научно-исследовательских и опытно-конструкторских работ (заявка СтС-506790). Разработка платформы выполнена в рамках этого договора и на момент составления настоящего плана завершена.</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Миссия и цели</w:t>
      </w:r>
    </w:p>
    <w:p>
      <w:pPr>
        <w:spacing w:line="360" w:lineRule="auto" w:before="0" w:after="0"/>
        <w:ind w:firstLine="709" w:left="0" w:right="0"/>
        <w:jc w:val="both"/>
      </w:pPr>
      <w:r>
        <w:rPr>
          <w:rFonts w:ascii="Times New Roman" w:hAnsi="Times New Roman" w:cs="Times New Roman" w:eastAsia="Times New Roman"/>
          <w:b/>
          <w:i w:val="0"/>
          <w:color w:val="000000"/>
          <w:sz w:val="28"/>
        </w:rPr>
        <w:t>Миссия.</w:t>
      </w:r>
      <w:r>
        <w:rPr>
          <w:rFonts w:ascii="Times New Roman" w:hAnsi="Times New Roman" w:cs="Times New Roman" w:eastAsia="Times New Roman"/>
          <w:b w:val="0"/>
          <w:i w:val="0"/>
          <w:color w:val="000000"/>
          <w:sz w:val="28"/>
        </w:rPr>
        <w:t xml:space="preserve"> Сделать очное обслуживание в ресторане таким же персональным, каким оно стало в электронной торговле: предоставить официанту сведения о госте и рекомендации по меню в момент приёма заказа.</w:t>
      </w:r>
    </w:p>
    <w:p>
      <w:pPr>
        <w:spacing w:line="360" w:lineRule="auto" w:before="0" w:after="0"/>
        <w:ind w:firstLine="709" w:left="0" w:right="0"/>
        <w:jc w:val="both"/>
      </w:pPr>
      <w:r>
        <w:rPr>
          <w:rFonts w:ascii="Times New Roman" w:hAnsi="Times New Roman" w:cs="Times New Roman" w:eastAsia="Times New Roman"/>
          <w:b w:val="0"/>
          <w:i w:val="0"/>
          <w:color w:val="000000"/>
          <w:sz w:val="28"/>
        </w:rPr>
        <w:t>Данные о заказах гостей накапливаются в системе учёта и обрабатываются, в том числе алгоритмами машинного обучения, но результат поступает либо менеджеру после смены, либо самому гостю в отдельный канал коммуникации. Официант остаётся единственным участником обслуживания, который в момент контакта с гостем не располагает ничем, кроме текущего заказа (раздел 3). Приёмы персонализации, освоенные в электронной торговле, к очному обслуживанию не применяются, хотя данные для них имеются.</w:t>
      </w:r>
    </w:p>
    <w:p>
      <w:pPr>
        <w:spacing w:line="360" w:lineRule="auto" w:before="0" w:after="0"/>
        <w:ind w:firstLine="709" w:left="0" w:right="0"/>
        <w:jc w:val="both"/>
      </w:pPr>
      <w:r>
        <w:rPr>
          <w:rFonts w:ascii="Times New Roman" w:hAnsi="Times New Roman" w:cs="Times New Roman" w:eastAsia="Times New Roman"/>
          <w:b w:val="0"/>
          <w:i w:val="0"/>
          <w:color w:val="000000"/>
          <w:sz w:val="28"/>
        </w:rPr>
        <w:t>Задача имеет и вторую сторону. Сведения о предпочтениях постоянного гостя, известные опытному официанту, хранятся в его памяти и утрачиваются при его уходе; отрасль испытывает высокую сменяемость персонала (раздел 3). Заметки, вносимые официантами через бот, сохраняют это знание в системе независимо от состава смены.</w:t>
      </w:r>
    </w:p>
    <w:p>
      <w:pPr>
        <w:spacing w:line="360" w:lineRule="auto" w:before="0" w:after="0"/>
        <w:ind w:firstLine="709" w:left="0" w:right="0"/>
        <w:jc w:val="both"/>
      </w:pPr>
      <w:r>
        <w:rPr>
          <w:rFonts w:ascii="Times New Roman" w:hAnsi="Times New Roman" w:cs="Times New Roman" w:eastAsia="Times New Roman"/>
          <w:b/>
          <w:i w:val="0"/>
          <w:color w:val="000000"/>
          <w:sz w:val="28"/>
        </w:rPr>
        <w:t>Цель первого года</w:t>
      </w:r>
      <w:r>
        <w:rPr>
          <w:rFonts w:ascii="Times New Roman" w:hAnsi="Times New Roman" w:cs="Times New Roman" w:eastAsia="Times New Roman"/>
          <w:b w:val="0"/>
          <w:i w:val="0"/>
          <w:color w:val="000000"/>
          <w:sz w:val="28"/>
        </w:rPr>
        <w:t xml:space="preserve"> – вывод продукта на рынок и достижение самоокупаемости: 30 действующих заказчиков при выручке 1,14 млн рублей (раздел 7). Точка безубыточности достигается при 18 заказчиках.</w:t>
      </w:r>
    </w:p>
    <w:p>
      <w:pPr>
        <w:spacing w:line="360" w:lineRule="auto" w:before="0" w:after="0"/>
        <w:ind w:firstLine="709" w:left="0" w:right="0"/>
        <w:jc w:val="both"/>
      </w:pPr>
      <w:r>
        <w:rPr>
          <w:rFonts w:ascii="Times New Roman" w:hAnsi="Times New Roman" w:cs="Times New Roman" w:eastAsia="Times New Roman"/>
          <w:b w:val="0"/>
          <w:i w:val="0"/>
          <w:color w:val="000000"/>
          <w:sz w:val="28"/>
        </w:rPr>
        <w:t>Задачи, обеспечивающие достижение цели:</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1. </w:t>
      </w:r>
      <w:r>
        <w:rPr>
          <w:rFonts w:ascii="Times New Roman" w:hAnsi="Times New Roman" w:cs="Times New Roman" w:eastAsia="Times New Roman"/>
          <w:b w:val="0"/>
          <w:i w:val="0"/>
          <w:color w:val="000000"/>
          <w:sz w:val="28"/>
        </w:rPr>
        <w:t>Подключение пяти пилотных заведений и измерение результата – к третьему месяцу.</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2. </w:t>
      </w:r>
      <w:r>
        <w:rPr>
          <w:rFonts w:ascii="Times New Roman" w:hAnsi="Times New Roman" w:cs="Times New Roman" w:eastAsia="Times New Roman"/>
          <w:b w:val="0"/>
          <w:i w:val="0"/>
          <w:color w:val="000000"/>
          <w:sz w:val="28"/>
        </w:rPr>
        <w:t>Перевод пилотных заведений на подписку, формирование штата – к пятому месяцу.</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3. </w:t>
      </w:r>
      <w:r>
        <w:rPr>
          <w:rFonts w:ascii="Times New Roman" w:hAnsi="Times New Roman" w:cs="Times New Roman" w:eastAsia="Times New Roman"/>
          <w:b w:val="0"/>
          <w:i w:val="0"/>
          <w:color w:val="000000"/>
          <w:sz w:val="28"/>
        </w:rPr>
        <w:t>Разработка интеграции с системой учёта r_keeper – к десятому месяцу.</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4. </w:t>
      </w:r>
      <w:r>
        <w:rPr>
          <w:rFonts w:ascii="Times New Roman" w:hAnsi="Times New Roman" w:cs="Times New Roman" w:eastAsia="Times New Roman"/>
          <w:b w:val="0"/>
          <w:i w:val="0"/>
          <w:color w:val="000000"/>
          <w:sz w:val="28"/>
        </w:rPr>
        <w:t>Государственная аккредитация в Министерстве цифрового развития и включение в реестр малых технологических компаний – в течение первого года (раздел 5).</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5. </w:t>
      </w:r>
      <w:r>
        <w:rPr>
          <w:rFonts w:ascii="Times New Roman" w:hAnsi="Times New Roman" w:cs="Times New Roman" w:eastAsia="Times New Roman"/>
          <w:b w:val="0"/>
          <w:i w:val="0"/>
          <w:color w:val="000000"/>
          <w:sz w:val="28"/>
        </w:rPr>
        <w:t>Подача заявки на грант «Старт-1» по завершении действующего договора с Фондом содействия инновациям – к двенадцатому месяцу (раздел 8).</w:t>
      </w:r>
    </w:p>
    <w:p>
      <w:pPr>
        <w:spacing w:line="360" w:lineRule="auto" w:before="0" w:after="0"/>
        <w:ind w:firstLine="709" w:left="0" w:right="0"/>
        <w:jc w:val="both"/>
      </w:pPr>
      <w:r>
        <w:rPr>
          <w:rFonts w:ascii="Times New Roman" w:hAnsi="Times New Roman" w:cs="Times New Roman" w:eastAsia="Times New Roman"/>
          <w:b w:val="0"/>
          <w:i w:val="0"/>
          <w:color w:val="000000"/>
          <w:sz w:val="28"/>
        </w:rPr>
        <w:t>Цели второго и третьего годов – рост числа заказчиков до 100 и 200 соответственно при выручке 6,72 и 16,52 млн рублей (раздел 7).</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Руководство</w:t>
      </w:r>
    </w:p>
    <w:p>
      <w:pPr>
        <w:spacing w:line="360" w:lineRule="auto" w:before="0" w:after="0"/>
        <w:ind w:firstLine="709" w:left="0" w:right="0"/>
        <w:jc w:val="both"/>
      </w:pPr>
      <w:r>
        <w:rPr>
          <w:rFonts w:ascii="Times New Roman" w:hAnsi="Times New Roman" w:cs="Times New Roman" w:eastAsia="Times New Roman"/>
          <w:b w:val="0"/>
          <w:i w:val="0"/>
          <w:color w:val="000000"/>
          <w:sz w:val="28"/>
        </w:rPr>
        <w:t xml:space="preserve">Единственный участник и генеральный директор – </w:t>
      </w:r>
      <w:r>
        <w:rPr>
          <w:rFonts w:ascii="Times New Roman" w:hAnsi="Times New Roman" w:cs="Times New Roman" w:eastAsia="Times New Roman"/>
          <w:b/>
          <w:i w:val="0"/>
          <w:color w:val="000000"/>
          <w:sz w:val="28"/>
        </w:rPr>
        <w:t>Гричанов Игорь Андреевич</w:t>
      </w:r>
      <w:r>
        <w:rPr>
          <w:rFonts w:ascii="Times New Roman" w:hAnsi="Times New Roman" w:cs="Times New Roman" w:eastAsia="Times New Roman"/>
          <w:b w:val="0"/>
          <w:i w:val="0"/>
          <w:color w:val="000000"/>
          <w:sz w:val="28"/>
        </w:rPr>
        <w:t>.</w:t>
      </w:r>
    </w:p>
    <w:p>
      <w:pPr>
        <w:spacing w:line="360" w:lineRule="auto" w:before="0" w:after="0"/>
        <w:ind w:firstLine="709" w:left="0" w:right="0"/>
        <w:jc w:val="both"/>
      </w:pPr>
      <w:r>
        <w:rPr>
          <w:rFonts w:ascii="Times New Roman" w:hAnsi="Times New Roman" w:cs="Times New Roman" w:eastAsia="Times New Roman"/>
          <w:b w:val="0"/>
          <w:i w:val="0"/>
          <w:color w:val="000000"/>
          <w:sz w:val="28"/>
        </w:rPr>
        <w:t>Сведения о квалификации:</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val="0"/>
          <w:i w:val="0"/>
          <w:color w:val="000000"/>
          <w:sz w:val="28"/>
        </w:rPr>
        <w:t>магистратура Бизнес-школы Томского политехнического университета, направление «Инноватика»; бакалавриат по тому же направлению, диплом с отличием;</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val="0"/>
          <w:i w:val="0"/>
          <w:color w:val="000000"/>
          <w:sz w:val="28"/>
        </w:rPr>
        <w:t>опыт работы в должности backend-разработчика – 2 года;</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val="0"/>
          <w:i w:val="0"/>
          <w:color w:val="000000"/>
          <w:sz w:val="28"/>
        </w:rPr>
        <w:t>опыт работы в должности продакт-менеджера – 2 года;</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val="0"/>
          <w:i w:val="0"/>
          <w:color w:val="000000"/>
          <w:sz w:val="28"/>
        </w:rPr>
        <w:t>выпускник АНО «Школа 21»;</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val="0"/>
          <w:i w:val="0"/>
          <w:color w:val="000000"/>
          <w:sz w:val="28"/>
        </w:rPr>
        <w:t>основатель предшествующего проекта в области цифровых сервисов для потребителей.</w:t>
      </w:r>
    </w:p>
    <w:p>
      <w:pPr>
        <w:spacing w:line="360" w:lineRule="auto" w:before="0" w:after="0"/>
        <w:ind w:firstLine="709" w:left="0" w:right="0"/>
        <w:jc w:val="both"/>
      </w:pPr>
      <w:r>
        <w:rPr>
          <w:rFonts w:ascii="Times New Roman" w:hAnsi="Times New Roman" w:cs="Times New Roman" w:eastAsia="Times New Roman"/>
          <w:b w:val="0"/>
          <w:i w:val="0"/>
          <w:color w:val="000000"/>
          <w:sz w:val="28"/>
        </w:rPr>
        <w:t>Сочетание технической подготовки и опыта управления продуктом существенно для проекта на текущем этапе: разработка прототипа выполнена основателем самостоятельно, продажи первых трёх лет также закреплены за ним (раздел 5). Продукт предполагает объяснение владельцу ресторана как экономики предложения, так и порядка обработки данных о гостях, вследствие чего передача продаж наёмному работнику потребовала бы подготовки, сопоставимой по трудоёмкости с самими продажами.</w:t>
      </w:r>
    </w:p>
    <w:p>
      <w:pPr>
        <w:spacing w:line="360" w:lineRule="auto" w:before="0" w:after="0"/>
        <w:ind w:firstLine="709" w:left="0" w:right="0"/>
        <w:jc w:val="both"/>
      </w:pPr>
      <w:r>
        <w:rPr>
          <w:rFonts w:ascii="Times New Roman" w:hAnsi="Times New Roman" w:cs="Times New Roman" w:eastAsia="Times New Roman"/>
          <w:b w:val="0"/>
          <w:i w:val="0"/>
          <w:color w:val="000000"/>
          <w:sz w:val="28"/>
        </w:rPr>
        <w:t>Штатное расписание, порядок найма и распределение обязанностей приведены в разделе 5.</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Конкурентные преимущества предприятия</w:t>
      </w:r>
    </w:p>
    <w:p>
      <w:pPr>
        <w:spacing w:line="360" w:lineRule="auto" w:before="0" w:after="0"/>
        <w:ind w:firstLine="709" w:left="0" w:right="0"/>
        <w:jc w:val="both"/>
      </w:pPr>
      <w:r>
        <w:rPr>
          <w:rFonts w:ascii="Times New Roman" w:hAnsi="Times New Roman" w:cs="Times New Roman" w:eastAsia="Times New Roman"/>
          <w:b/>
          <w:i w:val="0"/>
          <w:color w:val="000000"/>
          <w:sz w:val="28"/>
        </w:rPr>
        <w:t>Завершённая и профинансированная разработка.</w:t>
      </w:r>
      <w:r>
        <w:rPr>
          <w:rFonts w:ascii="Times New Roman" w:hAnsi="Times New Roman" w:cs="Times New Roman" w:eastAsia="Times New Roman"/>
          <w:b w:val="0"/>
          <w:i w:val="0"/>
          <w:color w:val="000000"/>
          <w:sz w:val="28"/>
        </w:rPr>
        <w:t xml:space="preserve"> Платформа создана в рамках гранта Фонда содействия инновациям "Студенческий стартап"; привлекаемые средства направляются не на разработку, а на вывод продукта на рынок (раздел 8). Это отличает предприятие от проектов, привлекающих финансирование на стадии замысла, и определяет структуру инвестиционных показателей.</w:t>
      </w:r>
    </w:p>
    <w:p>
      <w:pPr>
        <w:spacing w:line="360" w:lineRule="auto" w:before="0" w:after="0"/>
        <w:ind w:firstLine="709" w:left="0" w:right="0"/>
        <w:jc w:val="both"/>
      </w:pPr>
      <w:r>
        <w:rPr>
          <w:rFonts w:ascii="Times New Roman" w:hAnsi="Times New Roman" w:cs="Times New Roman" w:eastAsia="Times New Roman"/>
          <w:b/>
          <w:i w:val="0"/>
          <w:color w:val="000000"/>
          <w:sz w:val="28"/>
        </w:rPr>
        <w:t>Проверенные технические решения.</w:t>
      </w:r>
      <w:r>
        <w:rPr>
          <w:rFonts w:ascii="Times New Roman" w:hAnsi="Times New Roman" w:cs="Times New Roman" w:eastAsia="Times New Roman"/>
          <w:b w:val="0"/>
          <w:i w:val="0"/>
          <w:color w:val="000000"/>
          <w:sz w:val="28"/>
        </w:rPr>
        <w:t xml:space="preserve"> Состав признаков, алгоритмы и их параметры отобраны по результатам измерений на этапе прототипа, а не приняты по умолчанию. Достигнутая точность рекомендаций составляет 97,1 %, доля корректных рекомендаций для гостя с единственным визитом – 84,4 % (раздел 4.7).</w:t>
      </w:r>
    </w:p>
    <w:p>
      <w:pPr>
        <w:spacing w:line="360" w:lineRule="auto" w:before="0" w:after="0"/>
        <w:ind w:firstLine="709" w:left="0" w:right="0"/>
        <w:jc w:val="both"/>
      </w:pPr>
      <w:r>
        <w:rPr>
          <w:rFonts w:ascii="Times New Roman" w:hAnsi="Times New Roman" w:cs="Times New Roman" w:eastAsia="Times New Roman"/>
          <w:b/>
          <w:i w:val="0"/>
          <w:color w:val="000000"/>
          <w:sz w:val="28"/>
        </w:rPr>
        <w:t>Незанятая позиция на рынке.</w:t>
      </w:r>
      <w:r>
        <w:rPr>
          <w:rFonts w:ascii="Times New Roman" w:hAnsi="Times New Roman" w:cs="Times New Roman" w:eastAsia="Times New Roman"/>
          <w:b w:val="0"/>
          <w:i w:val="0"/>
          <w:color w:val="000000"/>
          <w:sz w:val="28"/>
        </w:rPr>
        <w:t xml:space="preserve"> Персональные рекомендации официанту в момент обслуживания не предоставляются ни системами учёта, ни платформами лояльности, ни системами управления залом (разделы 3, 4.1).</w:t>
      </w:r>
    </w:p>
    <w:p>
      <w:pPr>
        <w:spacing w:line="360" w:lineRule="auto" w:before="0" w:after="0"/>
        <w:ind w:firstLine="709" w:left="0" w:right="0"/>
        <w:jc w:val="both"/>
      </w:pPr>
      <w:r>
        <w:rPr>
          <w:rFonts w:ascii="Times New Roman" w:hAnsi="Times New Roman" w:cs="Times New Roman" w:eastAsia="Times New Roman"/>
          <w:b/>
          <w:i w:val="0"/>
          <w:color w:val="000000"/>
          <w:sz w:val="28"/>
        </w:rPr>
        <w:t>Основания для государственной поддержки.</w:t>
      </w:r>
      <w:r>
        <w:rPr>
          <w:rFonts w:ascii="Times New Roman" w:hAnsi="Times New Roman" w:cs="Times New Roman" w:eastAsia="Times New Roman"/>
          <w:b w:val="0"/>
          <w:i w:val="0"/>
          <w:color w:val="000000"/>
          <w:sz w:val="28"/>
        </w:rPr>
        <w:t xml:space="preserve"> Полученный грант Фонда содействия инновациям даёт право на включение в реестр малых технологических компаний в заявительном порядке, без прохождения независимой экспертизы, что освобождает от требования к уровню средней заработной платы при государственной аккредитации и сокращает расходы на 60 тыс. рублей (раздел 5).</w:t>
      </w:r>
    </w:p>
    <w:p>
      <w:pPr>
        <w:spacing w:line="360" w:lineRule="auto" w:before="0" w:after="0"/>
        <w:ind w:firstLine="709" w:left="0" w:right="0"/>
        <w:jc w:val="both"/>
      </w:pPr>
      <w:r>
        <w:rPr>
          <w:rFonts w:ascii="Times New Roman" w:hAnsi="Times New Roman" w:cs="Times New Roman" w:eastAsia="Times New Roman"/>
          <w:b/>
          <w:i w:val="0"/>
          <w:color w:val="000000"/>
          <w:sz w:val="28"/>
        </w:rPr>
        <w:t>Соответствие требованиям к обработке персональных данных.</w:t>
      </w:r>
      <w:r>
        <w:rPr>
          <w:rFonts w:ascii="Times New Roman" w:hAnsi="Times New Roman" w:cs="Times New Roman" w:eastAsia="Times New Roman"/>
          <w:b w:val="0"/>
          <w:i w:val="0"/>
          <w:color w:val="000000"/>
          <w:sz w:val="28"/>
        </w:rPr>
        <w:t xml:space="preserve"> Состав обрабатываемых сведений ограничен минимально необходимым: имя, пол, электронная почта, сведения о картах лояльности не собираются. Решение принято на этапе проектирования базы данных и снижает как правовой риск, так и возражения заказчика при продаже (разделы 6, 9).</w:t>
      </w:r>
    </w:p>
    <w:p>
      <w:pPr>
        <w:pStyle w:val="Heading1"/>
        <w:keepNext/>
        <w:pageBreakBefore/>
        <w:spacing w:line="360" w:lineRule="auto" w:before="0" w:after="0"/>
        <w:ind w:firstLine="709" w:left="0" w:right="0"/>
        <w:jc w:val="both"/>
      </w:pPr>
      <w:r>
        <w:rPr>
          <w:rFonts w:ascii="Times New Roman" w:hAnsi="Times New Roman" w:cs="Times New Roman" w:eastAsia="Times New Roman"/>
          <w:b/>
          <w:i w:val="0"/>
          <w:color w:val="000000"/>
          <w:sz w:val="28"/>
        </w:rPr>
        <w:t>2 Описание продукции</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Наименование и назначение</w:t>
      </w:r>
    </w:p>
    <w:p>
      <w:pPr>
        <w:spacing w:line="360" w:lineRule="auto" w:before="0" w:after="0"/>
        <w:ind w:firstLine="709" w:left="0" w:right="0"/>
        <w:jc w:val="both"/>
      </w:pPr>
      <w:r>
        <w:rPr>
          <w:rFonts w:ascii="Times New Roman" w:hAnsi="Times New Roman" w:cs="Times New Roman" w:eastAsia="Times New Roman"/>
          <w:b/>
          <w:i w:val="0"/>
          <w:color w:val="000000"/>
          <w:sz w:val="28"/>
        </w:rPr>
        <w:t>Наименование</w:t>
      </w:r>
      <w:r>
        <w:rPr>
          <w:rFonts w:ascii="Times New Roman" w:hAnsi="Times New Roman" w:cs="Times New Roman" w:eastAsia="Times New Roman"/>
          <w:b w:val="0"/>
          <w:i w:val="0"/>
          <w:color w:val="000000"/>
          <w:sz w:val="28"/>
        </w:rPr>
        <w:t xml:space="preserve"> – Boostaurant, цифровая платформа персонализации обслуживания в ресторанах с посадочными местами.</w:t>
      </w:r>
    </w:p>
    <w:p>
      <w:pPr>
        <w:spacing w:line="360" w:lineRule="auto" w:before="0" w:after="0"/>
        <w:ind w:firstLine="709" w:left="0" w:right="0"/>
        <w:jc w:val="both"/>
      </w:pPr>
      <w:r>
        <w:rPr>
          <w:rFonts w:ascii="Times New Roman" w:hAnsi="Times New Roman" w:cs="Times New Roman" w:eastAsia="Times New Roman"/>
          <w:b/>
          <w:i w:val="0"/>
          <w:color w:val="000000"/>
          <w:sz w:val="28"/>
        </w:rPr>
        <w:t>Назначение</w:t>
      </w:r>
      <w:r>
        <w:rPr>
          <w:rFonts w:ascii="Times New Roman" w:hAnsi="Times New Roman" w:cs="Times New Roman" w:eastAsia="Times New Roman"/>
          <w:b w:val="0"/>
          <w:i w:val="0"/>
          <w:color w:val="000000"/>
          <w:sz w:val="28"/>
        </w:rPr>
        <w:t xml:space="preserve"> – предоставление официанту сведений о госте и персональных рекомендаций по меню в момент приёма заказа.</w:t>
      </w:r>
    </w:p>
    <w:p>
      <w:pPr>
        <w:spacing w:line="360" w:lineRule="auto" w:before="0" w:after="0"/>
        <w:ind w:firstLine="709" w:left="0" w:right="0"/>
        <w:jc w:val="both"/>
      </w:pPr>
      <w:r>
        <w:rPr>
          <w:rFonts w:ascii="Times New Roman" w:hAnsi="Times New Roman" w:cs="Times New Roman" w:eastAsia="Times New Roman"/>
          <w:b w:val="0"/>
          <w:i w:val="0"/>
          <w:color w:val="000000"/>
          <w:sz w:val="28"/>
        </w:rPr>
        <w:t>Получателей два. Официант обращается к платформе по номеру столика и получает результат в момент разговора с гостем; иных действий по идентификации не требуется. Управляющий задаёт цели, которым подчинена выдача, и получает отчётность о её использовании.</w:t>
      </w:r>
    </w:p>
    <w:p>
      <w:pPr>
        <w:spacing w:line="360" w:lineRule="auto" w:before="0" w:after="0"/>
        <w:ind w:firstLine="709" w:left="0" w:right="0"/>
        <w:jc w:val="both"/>
      </w:pPr>
      <w:r>
        <w:rPr>
          <w:rFonts w:ascii="Times New Roman" w:hAnsi="Times New Roman" w:cs="Times New Roman" w:eastAsia="Times New Roman"/>
          <w:b w:val="0"/>
          <w:i w:val="0"/>
          <w:color w:val="000000"/>
          <w:sz w:val="28"/>
        </w:rPr>
        <w:t>История заказов хранится в системе учёта, но официанту недоступна: в кассовом интерфейсе он видит только текущий заказ. Платформа обрабатывает эту историю и возвращает результат тому, кто разговаривает с гостем.</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Состав продукта</w:t>
      </w:r>
    </w:p>
    <w:p>
      <w:pPr>
        <w:spacing w:line="360" w:lineRule="auto" w:before="0" w:after="0"/>
        <w:ind w:firstLine="709" w:left="0" w:right="0"/>
        <w:jc w:val="both"/>
      </w:pPr>
      <w:r>
        <w:rPr>
          <w:rFonts w:ascii="Times New Roman" w:hAnsi="Times New Roman" w:cs="Times New Roman" w:eastAsia="Times New Roman"/>
          <w:b w:val="0"/>
          <w:i w:val="0"/>
          <w:color w:val="000000"/>
          <w:sz w:val="28"/>
        </w:rPr>
        <w:t>Продукт представляет собой услугу, а не экземпляр программы: заказчик получает доступ к работающему сервису, размещённому на серверах предприятия (раздел 6). Для каждого ресторана разворачивается отдельный экземпляр платформы с собственной базой данных и собственными моделями – меню и состав гостей у заведений различаются, и общая модель для нескольких ресторанов давала бы худший результат.</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5" w:name="_Tbl_2_1"/>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5"/>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Состав платформы</w:t>
      </w:r>
    </w:p>
    <w:tbl>
      <w:tblPr>
        <w:tblStyle w:val="TableGrid"/>
        <w:tblW w:type="auto" w:w="0"/>
        <w:jc w:val="center"/>
        <w:tblLayout w:type="fixed"/>
        <w:tblLook w:firstColumn="1" w:firstRow="1" w:lastColumn="0" w:lastRow="0" w:noHBand="0" w:noVBand="1" w:val="04A0"/>
      </w:tblPr>
      <w:tblGrid>
        <w:gridCol w:w="2795"/>
        <w:gridCol w:w="6559"/>
      </w:tblGrid>
      <w:tr>
        <w:trPr>
          <w:tblHeader/>
        </w:trPr>
        <w:tc>
          <w:tcPr>
            <w:tcW w:type="dxa" w:w="2795"/>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Компонент</w:t>
            </w:r>
          </w:p>
        </w:tc>
        <w:tc>
          <w:tcPr>
            <w:tcW w:type="dxa" w:w="6559"/>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Назначение</w:t>
            </w:r>
          </w:p>
        </w:tc>
      </w:tr>
      <w:tr>
        <w:tc>
          <w:tcPr>
            <w:tcW w:type="dxa" w:w="279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Модуль интеграции</w:t>
            </w:r>
          </w:p>
        </w:tc>
        <w:tc>
          <w:tcPr>
            <w:tcW w:type="dxa" w:w="655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Выгрузка истории заказов, справочника меню и профилей гостей из системы учёта заказчика</w:t>
            </w:r>
          </w:p>
        </w:tc>
      </w:tr>
      <w:tr>
        <w:tc>
          <w:tcPr>
            <w:tcW w:type="dxa" w:w="279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База данных</w:t>
            </w:r>
          </w:p>
        </w:tc>
        <w:tc>
          <w:tcPr>
            <w:tcW w:type="dxa" w:w="655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Хранение выгруженных сведений и заметок официантов</w:t>
            </w:r>
          </w:p>
        </w:tc>
      </w:tr>
      <w:tr>
        <w:tc>
          <w:tcPr>
            <w:tcW w:type="dxa" w:w="279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Модуль рекомендаций</w:t>
            </w:r>
          </w:p>
        </w:tc>
        <w:tc>
          <w:tcPr>
            <w:tcW w:type="dxa" w:w="655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Обучение моделей и построение персональной выдачи</w:t>
            </w:r>
          </w:p>
        </w:tc>
      </w:tr>
      <w:tr>
        <w:tc>
          <w:tcPr>
            <w:tcW w:type="dxa" w:w="279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Программный интерфейс</w:t>
            </w:r>
          </w:p>
        </w:tc>
        <w:tc>
          <w:tcPr>
            <w:tcW w:type="dxa" w:w="655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Обмен между модулем рекомендаций и клиентским приложением</w:t>
            </w:r>
          </w:p>
        </w:tc>
      </w:tr>
      <w:tr>
        <w:tc>
          <w:tcPr>
            <w:tcW w:type="dxa" w:w="279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Бот в мессенджере MAX</w:t>
            </w:r>
          </w:p>
        </w:tc>
        <w:tc>
          <w:tcPr>
            <w:tcW w:type="dxa" w:w="655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Рабочее место официанта</w:t>
            </w:r>
          </w:p>
        </w:tc>
      </w:tr>
    </w:tbl>
    <w:p>
      <w:pPr>
        <w:spacing w:line="360" w:lineRule="auto" w:before="0" w:after="12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Выбор мессенджера в качестве интерфейса определён отсутствием необходимости в установке: приложение уже имеется на личном телефоне официанта, отдельного устройства ресторан не приобретает, а сменившийся официант получает доступ без участия технического специалиста.</w:t>
      </w:r>
    </w:p>
    <w:p>
      <w:pPr>
        <w:spacing w:line="360" w:lineRule="auto" w:before="0" w:after="0"/>
        <w:ind w:firstLine="709" w:left="0" w:right="0"/>
        <w:jc w:val="both"/>
      </w:pPr>
      <w:r>
        <w:rPr>
          <w:rFonts w:ascii="Times New Roman" w:hAnsi="Times New Roman" w:cs="Times New Roman" w:eastAsia="Times New Roman"/>
          <w:b w:val="0"/>
          <w:i w:val="0"/>
          <w:color w:val="000000"/>
          <w:sz w:val="28"/>
        </w:rPr>
        <w:t>Прототип выполнен на платформе Telegram. С учётом ограничения доступа к этому мессенджеру на территории Российской Федерации, осуществляемого Федеральной службой по надзору в сфере связи, информационных технологий и массовых коммуникаций с февраля 2026 года [1], рабочим местом официанта принят бот в мессенджере MAX. Замена не затрагивает расчётную часть платформы: интерфейс отделён от логики и обменивается с ней через программный интерфейс (</w:t>
      </w:r>
      <w:r>
        <w:rPr>
          <w:rFonts w:ascii="Times New Roman" w:hAnsi="Times New Roman" w:cs="Times New Roman" w:eastAsia="Times New Roman"/>
          <w:b w:val="0"/>
          <w:i w:val="0"/>
          <w:color w:val="000000"/>
          <w:sz w:val="28"/>
        </w:rPr>
        <w:t xml:space="preserve">таблица </w:t>
      </w:r>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REF _Tbl_2_1 \h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r>
        <w:rPr>
          <w:rFonts w:ascii="Times New Roman" w:hAnsi="Times New Roman" w:cs="Times New Roman" w:eastAsia="Times New Roman"/>
          <w:b w:val="0"/>
          <w:i w:val="0"/>
          <w:color w:val="000000"/>
          <w:sz w:val="28"/>
        </w:rPr>
        <w:t>), вследствие чего переносу подлежит только клиентский модуль. Трудоёмкость работы оценивается в 40 человеко-часов и отнесена к первому году.</w:t>
      </w:r>
    </w:p>
    <w:p>
      <w:pPr>
        <w:spacing w:line="360" w:lineRule="auto" w:before="0" w:after="0"/>
        <w:ind w:firstLine="709" w:left="0" w:right="0"/>
        <w:jc w:val="both"/>
      </w:pPr>
      <w:r>
        <w:rPr>
          <w:rFonts w:ascii="Times New Roman" w:hAnsi="Times New Roman" w:cs="Times New Roman" w:eastAsia="Times New Roman"/>
          <w:b w:val="0"/>
          <w:i w:val="0"/>
          <w:color w:val="000000"/>
          <w:sz w:val="28"/>
        </w:rPr>
        <w:t>Программный интерфейс MAX предоставляет средства, необходимые для решаемой задачи [2]; создание бота требует верификации организации, которую предприятие проходит как юридическое лицо – резидент Российской Федерации [3].</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Функции</w:t>
      </w:r>
    </w:p>
    <w:p>
      <w:pPr>
        <w:spacing w:line="360" w:lineRule="auto" w:before="0" w:after="0"/>
        <w:ind w:firstLine="709" w:left="0" w:right="0"/>
        <w:jc w:val="both"/>
      </w:pPr>
      <w:r>
        <w:rPr>
          <w:rFonts w:ascii="Times New Roman" w:hAnsi="Times New Roman" w:cs="Times New Roman" w:eastAsia="Times New Roman"/>
          <w:b w:val="0"/>
          <w:i w:val="0"/>
          <w:color w:val="000000"/>
          <w:sz w:val="28"/>
        </w:rPr>
        <w:t>Интерфейс образован тремя действиями.</w:t>
      </w:r>
    </w:p>
    <w:p>
      <w:pPr>
        <w:spacing w:line="360" w:lineRule="auto" w:before="0" w:after="0"/>
        <w:ind w:firstLine="709" w:left="0" w:right="0"/>
        <w:jc w:val="both"/>
      </w:pPr>
      <w:r>
        <w:rPr>
          <w:rFonts w:ascii="Times New Roman" w:hAnsi="Times New Roman" w:cs="Times New Roman" w:eastAsia="Times New Roman"/>
          <w:b/>
          <w:i w:val="0"/>
          <w:color w:val="000000"/>
          <w:sz w:val="28"/>
        </w:rPr>
        <w:t>Рекомендация.</w:t>
      </w:r>
      <w:r>
        <w:rPr>
          <w:rFonts w:ascii="Times New Roman" w:hAnsi="Times New Roman" w:cs="Times New Roman" w:eastAsia="Times New Roman"/>
          <w:b w:val="0"/>
          <w:i w:val="0"/>
          <w:color w:val="000000"/>
          <w:sz w:val="28"/>
        </w:rPr>
        <w:t xml:space="preserve"> По номеру столика выдаётся пять позиций меню с указанием категории и цены. Одновременно указывается, на каком основании построена выдача: «персонально для гостя», «по похожим гостям» либо «популярное в зале». Официант видит, насколько система знает гостя, и не выдаёт за персональное предложение список ходовых блюд.</w:t>
      </w:r>
    </w:p>
    <w:p>
      <w:pPr>
        <w:spacing w:line="360" w:lineRule="auto" w:before="0" w:after="0"/>
        <w:ind w:firstLine="709" w:left="0" w:right="0"/>
        <w:jc w:val="both"/>
      </w:pPr>
      <w:r>
        <w:rPr>
          <w:rFonts w:ascii="Times New Roman" w:hAnsi="Times New Roman" w:cs="Times New Roman" w:eastAsia="Times New Roman"/>
          <w:b/>
          <w:i w:val="0"/>
          <w:color w:val="000000"/>
          <w:sz w:val="28"/>
        </w:rPr>
        <w:t>Сведения о госте.</w:t>
      </w:r>
      <w:r>
        <w:rPr>
          <w:rFonts w:ascii="Times New Roman" w:hAnsi="Times New Roman" w:cs="Times New Roman" w:eastAsia="Times New Roman"/>
          <w:b w:val="0"/>
          <w:i w:val="0"/>
          <w:color w:val="000000"/>
          <w:sz w:val="28"/>
        </w:rPr>
        <w:t xml:space="preserve"> Выводятся число визитов, средний чек, дата последнего визита, уровень лояльности, любимые блюда с числом заказов, а также аллергены и предпочтения. Сведения об аллергии выделены и размещены отдельно от прочих: их пропуск влечёт последствия для здоровья гостя.</w:t>
      </w:r>
    </w:p>
    <w:p>
      <w:pPr>
        <w:spacing w:line="360" w:lineRule="auto" w:before="0" w:after="0"/>
        <w:ind w:firstLine="709" w:left="0" w:right="0"/>
        <w:jc w:val="both"/>
      </w:pPr>
      <w:r>
        <w:rPr>
          <w:rFonts w:ascii="Times New Roman" w:hAnsi="Times New Roman" w:cs="Times New Roman" w:eastAsia="Times New Roman"/>
          <w:b/>
          <w:i w:val="0"/>
          <w:color w:val="000000"/>
          <w:sz w:val="28"/>
        </w:rPr>
        <w:t>Заметка.</w:t>
      </w:r>
      <w:r>
        <w:rPr>
          <w:rFonts w:ascii="Times New Roman" w:hAnsi="Times New Roman" w:cs="Times New Roman" w:eastAsia="Times New Roman"/>
          <w:b w:val="0"/>
          <w:i w:val="0"/>
          <w:color w:val="000000"/>
          <w:sz w:val="28"/>
        </w:rPr>
        <w:t xml:space="preserve"> Официант отмечает выявленное ограничение или предпочтение – восемь типовых значений (аллергия на молочное, глютен, яйца, морепродукты, сою; отказ от острого, мяса, алкоголя) либо произвольный текст. Типовые значения совпадают со справочником признаков блюд, вследствие чего отмеченный аллерген исключается из выдачи немедленно, начиная со следующего обращения.</w:t>
      </w:r>
    </w:p>
    <w:p>
      <w:pPr>
        <w:spacing w:line="360" w:lineRule="auto" w:before="0" w:after="0"/>
        <w:ind w:firstLine="709" w:left="0" w:right="0"/>
        <w:jc w:val="both"/>
      </w:pPr>
      <w:r>
        <w:rPr>
          <w:rFonts w:ascii="Times New Roman" w:hAnsi="Times New Roman" w:cs="Times New Roman" w:eastAsia="Times New Roman"/>
          <w:b w:val="0"/>
          <w:i w:val="0"/>
          <w:color w:val="000000"/>
          <w:sz w:val="28"/>
        </w:rPr>
        <w:t>Последнее свойство образует существенное отличие от систем, накапливающих пометки о госте: внесённое сведение не только сохраняется, но и изменяет результат работы алгоритма.</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Развитие платформы: рабочее место управляющего</w:t>
      </w:r>
    </w:p>
    <w:p>
      <w:pPr>
        <w:spacing w:line="360" w:lineRule="auto" w:before="0" w:after="0"/>
        <w:ind w:firstLine="709" w:left="0" w:right="0"/>
        <w:jc w:val="both"/>
      </w:pPr>
      <w:r>
        <w:rPr>
          <w:rFonts w:ascii="Times New Roman" w:hAnsi="Times New Roman" w:cs="Times New Roman" w:eastAsia="Times New Roman"/>
          <w:b w:val="0"/>
          <w:i w:val="0"/>
          <w:color w:val="000000"/>
          <w:sz w:val="28"/>
        </w:rPr>
        <w:t>Перечисленные функции адресованы официанту и составляют содержание прототипа. Развитие продукта состоит в предоставлении управляющему средств воздействия на выдачу и оценки её результата. Соответствующие функции к моменту составления настоящего плана не реализованы; их разработка отнесена ко второму году и входит в обязанности специалиста по рекомендательным системам (раздел 5). Расчёты бизнес-плана на них не опираются: цена подписки и план продаж определены исходя из состава функций, имеющегося в настоящее время.</w:t>
      </w:r>
    </w:p>
    <w:p>
      <w:pPr>
        <w:spacing w:line="360" w:lineRule="auto" w:before="0" w:after="0"/>
        <w:ind w:firstLine="709" w:left="0" w:right="0"/>
        <w:jc w:val="both"/>
      </w:pPr>
      <w:r>
        <w:rPr>
          <w:rFonts w:ascii="Times New Roman" w:hAnsi="Times New Roman" w:cs="Times New Roman" w:eastAsia="Times New Roman"/>
          <w:b/>
          <w:i w:val="0"/>
          <w:color w:val="000000"/>
          <w:sz w:val="28"/>
        </w:rPr>
        <w:t>Постановка бизнес-целей.</w:t>
      </w:r>
      <w:r>
        <w:rPr>
          <w:rFonts w:ascii="Times New Roman" w:hAnsi="Times New Roman" w:cs="Times New Roman" w:eastAsia="Times New Roman"/>
          <w:b w:val="0"/>
          <w:i w:val="0"/>
          <w:color w:val="000000"/>
          <w:sz w:val="28"/>
        </w:rPr>
        <w:t xml:space="preserve"> Управляющий указывает, какие позиции меню продвигать: блюда с высоким маржинальным доходом, позиции сезонного предложения, продукцию с ограниченным сроком хранения. Указание учитывается при упорядочении выдачи наряду со вкусом гостя.</w:t>
      </w:r>
    </w:p>
    <w:p>
      <w:pPr>
        <w:spacing w:line="360" w:lineRule="auto" w:before="0" w:after="0"/>
        <w:ind w:firstLine="709" w:left="0" w:right="0"/>
        <w:jc w:val="both"/>
      </w:pPr>
      <w:r>
        <w:rPr>
          <w:rFonts w:ascii="Times New Roman" w:hAnsi="Times New Roman" w:cs="Times New Roman" w:eastAsia="Times New Roman"/>
          <w:b w:val="0"/>
          <w:i w:val="0"/>
          <w:color w:val="000000"/>
          <w:sz w:val="28"/>
        </w:rPr>
        <w:t>Существенно, что цель влияет на порядок позиций, а не подменяет собой персонализацию: рекомендация неподходящего гостю блюда не приводит к заказу и обесценивает как саму рекомендацию, так и доверие официанта к платформе. Исключение блюд с отмеченными аллергенами приоритетам не подчиняется ни при каких условиях.</w:t>
      </w:r>
    </w:p>
    <w:p>
      <w:pPr>
        <w:spacing w:line="360" w:lineRule="auto" w:before="0" w:after="0"/>
        <w:ind w:firstLine="709" w:left="0" w:right="0"/>
        <w:jc w:val="both"/>
      </w:pPr>
      <w:r>
        <w:rPr>
          <w:rFonts w:ascii="Times New Roman" w:hAnsi="Times New Roman" w:cs="Times New Roman" w:eastAsia="Times New Roman"/>
          <w:b/>
          <w:i w:val="0"/>
          <w:color w:val="000000"/>
          <w:sz w:val="28"/>
        </w:rPr>
        <w:t>Отчётность.</w:t>
      </w:r>
      <w:r>
        <w:rPr>
          <w:rFonts w:ascii="Times New Roman" w:hAnsi="Times New Roman" w:cs="Times New Roman" w:eastAsia="Times New Roman"/>
          <w:b w:val="0"/>
          <w:i w:val="0"/>
          <w:color w:val="000000"/>
          <w:sz w:val="28"/>
        </w:rPr>
        <w:t xml:space="preserve"> Число обращений официантов, доля рекомендаций, вошедших в заказ, результат по позициям, отмеченным как приоритетные. Отчёт предоставляется заказчику ежемесячно и предусмотрен порядком сопровождения (раздел 4.5).</w:t>
      </w:r>
    </w:p>
    <w:p>
      <w:pPr>
        <w:spacing w:line="360" w:lineRule="auto" w:before="0" w:after="0"/>
        <w:ind w:firstLine="709" w:left="0" w:right="0"/>
        <w:jc w:val="both"/>
      </w:pPr>
      <w:r>
        <w:rPr>
          <w:rFonts w:ascii="Times New Roman" w:hAnsi="Times New Roman" w:cs="Times New Roman" w:eastAsia="Times New Roman"/>
          <w:b w:val="0"/>
          <w:i w:val="0"/>
          <w:color w:val="000000"/>
          <w:sz w:val="28"/>
        </w:rPr>
        <w:t>Значение этой части продукта определяется тем, кто принимает решение о покупке: пользуется платформой официант, а оплачивает её владелец или управляющий (раздел 4.2). Возможность подчинить выдачу задачам заведения и увидеть результат в числовом выражении обращена именно к нему.</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Порядок построения рекомендаций</w:t>
      </w:r>
    </w:p>
    <w:p>
      <w:pPr>
        <w:spacing w:line="360" w:lineRule="auto" w:before="0" w:after="0"/>
        <w:ind w:firstLine="709" w:left="0" w:right="0"/>
        <w:jc w:val="both"/>
      </w:pPr>
      <w:r>
        <w:rPr>
          <w:rFonts w:ascii="Times New Roman" w:hAnsi="Times New Roman" w:cs="Times New Roman" w:eastAsia="Times New Roman"/>
          <w:b w:val="0"/>
          <w:i w:val="0"/>
          <w:color w:val="000000"/>
          <w:sz w:val="28"/>
        </w:rPr>
        <w:t>Выдача формируется тремя способами, применяемыми по убыванию персонализации.</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6" w:name="_Tbl_2_2"/>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6"/>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Способы построения рекомендаций</w:t>
      </w:r>
    </w:p>
    <w:tbl>
      <w:tblPr>
        <w:tblStyle w:val="TableGrid"/>
        <w:tblW w:type="auto" w:w="0"/>
        <w:jc w:val="center"/>
        <w:tblLayout w:type="fixed"/>
        <w:tblLook w:firstColumn="1" w:firstRow="1" w:lastColumn="0" w:lastRow="0" w:noHBand="0" w:noVBand="1" w:val="04A0"/>
      </w:tblPr>
      <w:tblGrid>
        <w:gridCol w:w="2420"/>
        <w:gridCol w:w="2741"/>
        <w:gridCol w:w="4193"/>
      </w:tblGrid>
      <w:tr>
        <w:trPr>
          <w:tblHeader/>
        </w:trPr>
        <w:tc>
          <w:tcPr>
            <w:tcW w:type="dxa" w:w="2420"/>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Способ</w:t>
            </w:r>
          </w:p>
        </w:tc>
        <w:tc>
          <w:tcPr>
            <w:tcW w:type="dxa" w:w="2741"/>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Условие применения</w:t>
            </w:r>
          </w:p>
        </w:tc>
        <w:tc>
          <w:tcPr>
            <w:tcW w:type="dxa" w:w="4193"/>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Основание выдачи</w:t>
            </w:r>
          </w:p>
        </w:tc>
      </w:tr>
      <w:tr>
        <w:tc>
          <w:tcPr>
            <w:tcW w:type="dxa" w:w="242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Матричное разложение (SVD)</w:t>
            </w:r>
          </w:p>
        </w:tc>
        <w:tc>
          <w:tcPr>
            <w:tcW w:type="dxa" w:w="274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Гость включён в обученную модель</w:t>
            </w:r>
          </w:p>
        </w:tc>
        <w:tc>
          <w:tcPr>
            <w:tcW w:type="dxa" w:w="419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Скрытые признаки вкуса, выявленные по заказам сопоставимых гостей</w:t>
            </w:r>
          </w:p>
        </w:tc>
      </w:tr>
      <w:tr>
        <w:tc>
          <w:tcPr>
            <w:tcW w:type="dxa" w:w="242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Кластеризация (k-means)</w:t>
            </w:r>
          </w:p>
        </w:tc>
        <w:tc>
          <w:tcPr>
            <w:tcW w:type="dxa" w:w="274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Имеется хотя бы один заказ</w:t>
            </w:r>
          </w:p>
        </w:tc>
        <w:tc>
          <w:tcPr>
            <w:tcW w:type="dxa" w:w="419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Предпочтения группы гостей со сходной структурой заказов</w:t>
            </w:r>
          </w:p>
        </w:tc>
      </w:tr>
      <w:tr>
        <w:tc>
          <w:tcPr>
            <w:tcW w:type="dxa" w:w="242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Популярность</w:t>
            </w:r>
          </w:p>
        </w:tc>
        <w:tc>
          <w:tcPr>
            <w:tcW w:type="dxa" w:w="274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Сведений о госте нет</w:t>
            </w:r>
          </w:p>
        </w:tc>
        <w:tc>
          <w:tcPr>
            <w:tcW w:type="dxa" w:w="419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Частота заказов позиции в заведении</w:t>
            </w:r>
          </w:p>
        </w:tc>
      </w:tr>
    </w:tbl>
    <w:p>
      <w:pPr>
        <w:spacing w:line="360" w:lineRule="auto" w:before="0" w:after="12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Такое устройство обеспечивает работоспособность продукта с первого дня: гость, пришедший впервые, получает обоснованное предложение, а по мере накопления истории выдача становится персональной. К результату любого из способов применяется исключение блюд с отмеченными аллергенами.</w:t>
      </w:r>
    </w:p>
    <w:p>
      <w:pPr>
        <w:spacing w:line="360" w:lineRule="auto" w:before="0" w:after="0"/>
        <w:ind w:firstLine="709" w:left="0" w:right="0"/>
        <w:jc w:val="both"/>
      </w:pPr>
      <w:r>
        <w:rPr>
          <w:rFonts w:ascii="Times New Roman" w:hAnsi="Times New Roman" w:cs="Times New Roman" w:eastAsia="Times New Roman"/>
          <w:b w:val="0"/>
          <w:i w:val="0"/>
          <w:color w:val="000000"/>
          <w:sz w:val="28"/>
        </w:rPr>
        <w:t>Достигнутые показатели: точность рекомендаций 97,1 %, доля корректных рекомендаций для гостя с единственным визитом – 84,4 % (раздел 4.7).</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Область применения и номенклатура</w:t>
      </w:r>
    </w:p>
    <w:p>
      <w:pPr>
        <w:spacing w:line="360" w:lineRule="auto" w:before="0" w:after="0"/>
        <w:ind w:firstLine="709" w:left="0" w:right="0"/>
        <w:jc w:val="both"/>
      </w:pPr>
      <w:r>
        <w:rPr>
          <w:rFonts w:ascii="Times New Roman" w:hAnsi="Times New Roman" w:cs="Times New Roman" w:eastAsia="Times New Roman"/>
          <w:b/>
          <w:i w:val="0"/>
          <w:color w:val="000000"/>
          <w:sz w:val="28"/>
        </w:rPr>
        <w:t>Область применения</w:t>
      </w:r>
      <w:r>
        <w:rPr>
          <w:rFonts w:ascii="Times New Roman" w:hAnsi="Times New Roman" w:cs="Times New Roman" w:eastAsia="Times New Roman"/>
          <w:b w:val="0"/>
          <w:i w:val="0"/>
          <w:color w:val="000000"/>
          <w:sz w:val="28"/>
        </w:rPr>
        <w:t xml:space="preserve"> – предприятия общественного питания с полным обслуживанием, использующие системы учёта iiko или r_keeper. Признаки применимости и их обоснование приведены в разделе 4.2.</w:t>
      </w:r>
    </w:p>
    <w:p>
      <w:pPr>
        <w:spacing w:line="360" w:lineRule="auto" w:before="0" w:after="0"/>
        <w:ind w:firstLine="709" w:left="0" w:right="0"/>
        <w:jc w:val="both"/>
      </w:pPr>
      <w:r>
        <w:rPr>
          <w:rFonts w:ascii="Times New Roman" w:hAnsi="Times New Roman" w:cs="Times New Roman" w:eastAsia="Times New Roman"/>
          <w:b/>
          <w:i w:val="0"/>
          <w:color w:val="000000"/>
          <w:sz w:val="28"/>
        </w:rPr>
        <w:t>Номенклатура.</w:t>
      </w:r>
      <w:r>
        <w:rPr>
          <w:rFonts w:ascii="Times New Roman" w:hAnsi="Times New Roman" w:cs="Times New Roman" w:eastAsia="Times New Roman"/>
          <w:b w:val="0"/>
          <w:i w:val="0"/>
          <w:color w:val="000000"/>
          <w:sz w:val="28"/>
        </w:rPr>
        <w:t xml:space="preserve"> Предлагается единственный вид услуги – подписка на использование платформы для одного заведения стоимостью 10 000 рублей в месяц. Тарифных уровней и ограничений по числу работников, гостей или обращений не предусмотрено: затраты предприятия на обслуживание заведения от его загрузки практически не зависят (раздел 4.6). Подключение и обучение персонала отдельной платы не требуют.</w:t>
      </w:r>
    </w:p>
    <w:p>
      <w:pPr>
        <w:spacing w:line="360" w:lineRule="auto" w:before="0" w:after="0"/>
        <w:ind w:firstLine="709" w:left="0" w:right="0"/>
        <w:jc w:val="both"/>
      </w:pPr>
      <w:r>
        <w:rPr>
          <w:rFonts w:ascii="Times New Roman" w:hAnsi="Times New Roman" w:cs="Times New Roman" w:eastAsia="Times New Roman"/>
          <w:b/>
          <w:i w:val="0"/>
          <w:color w:val="000000"/>
          <w:sz w:val="28"/>
        </w:rPr>
        <w:t>Основной вид экономической деятельности</w:t>
      </w:r>
      <w:r>
        <w:rPr>
          <w:rFonts w:ascii="Times New Roman" w:hAnsi="Times New Roman" w:cs="Times New Roman" w:eastAsia="Times New Roman"/>
          <w:b w:val="0"/>
          <w:i w:val="0"/>
          <w:color w:val="000000"/>
          <w:sz w:val="28"/>
        </w:rPr>
        <w:t xml:space="preserve"> – ОКВЭД 62.01 «Разработка компьютерного программного обеспечения».</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Особенности эксплуатации</w:t>
      </w:r>
    </w:p>
    <w:p>
      <w:pPr>
        <w:spacing w:line="360" w:lineRule="auto" w:before="0" w:after="0"/>
        <w:ind w:firstLine="709" w:left="0" w:right="0"/>
        <w:jc w:val="both"/>
      </w:pPr>
      <w:r>
        <w:rPr>
          <w:rFonts w:ascii="Times New Roman" w:hAnsi="Times New Roman" w:cs="Times New Roman" w:eastAsia="Times New Roman"/>
          <w:b w:val="0"/>
          <w:i w:val="0"/>
          <w:color w:val="000000"/>
          <w:sz w:val="28"/>
        </w:rPr>
        <w:t>Со стороны заказчика требуются доступ к программному интерфейсу системы учёта и наличие мессенджера MAX на телефонах официантов. Установка программ на кассы и изменение настроек системы учёта не выполняются, работа зала при подключении не затрагивается.</w:t>
      </w:r>
    </w:p>
    <w:p>
      <w:pPr>
        <w:spacing w:line="360" w:lineRule="auto" w:before="0" w:after="0"/>
        <w:ind w:firstLine="709" w:left="0" w:right="0"/>
        <w:jc w:val="both"/>
      </w:pPr>
      <w:r>
        <w:rPr>
          <w:rFonts w:ascii="Times New Roman" w:hAnsi="Times New Roman" w:cs="Times New Roman" w:eastAsia="Times New Roman"/>
          <w:b w:val="0"/>
          <w:i w:val="0"/>
          <w:color w:val="000000"/>
          <w:sz w:val="28"/>
        </w:rPr>
        <w:t>Подключение занимает 16 человеко-часов и выполняется силами предприятия за два рабочих дня (раздел 6). Инструктаж персонала занимает около часа. Сервис работает круглосуточно; обновление сведений о заказах выполняется ежесуточно, переобучение моделей – еженедельно, что поддерживает соответствие выдачи изменившемуся меню.</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Обработка персональных данных</w:t>
      </w:r>
    </w:p>
    <w:p>
      <w:pPr>
        <w:spacing w:line="360" w:lineRule="auto" w:before="0" w:after="0"/>
        <w:ind w:firstLine="709" w:left="0" w:right="0"/>
        <w:jc w:val="both"/>
      </w:pPr>
      <w:r>
        <w:rPr>
          <w:rFonts w:ascii="Times New Roman" w:hAnsi="Times New Roman" w:cs="Times New Roman" w:eastAsia="Times New Roman"/>
          <w:b w:val="0"/>
          <w:i w:val="0"/>
          <w:color w:val="000000"/>
          <w:sz w:val="28"/>
        </w:rPr>
        <w:t>Состав обрабатываемых сведений ограничен минимально необходимым для построения рекомендаций: имя, пол, адрес электронной почты, сведения о картах лояльности и бонусных балансах не собираются и не хранятся. Ограничение принято на этапе проектирования базы данных и уменьшает как обязанности предприятия как обработчика, так и возражения заказчика при заключении договора.</w:t>
      </w:r>
    </w:p>
    <w:p>
      <w:pPr>
        <w:spacing w:line="360" w:lineRule="auto" w:before="0" w:after="0"/>
        <w:ind w:firstLine="709" w:left="0" w:right="0"/>
        <w:jc w:val="both"/>
      </w:pPr>
      <w:r>
        <w:rPr>
          <w:rFonts w:ascii="Times New Roman" w:hAnsi="Times New Roman" w:cs="Times New Roman" w:eastAsia="Times New Roman"/>
          <w:b w:val="0"/>
          <w:i w:val="0"/>
          <w:color w:val="000000"/>
          <w:sz w:val="28"/>
        </w:rPr>
        <w:t>Предприятие обрабатывает данные гостей по поручению ресторана; соглашение об обработке персональных данных входит в состав документов, подписываемых при заключении договора (раздел 4.5). Данные каждого заказчика размещаются в отдельной базе и между заказчиками не смешиваются.</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Защита интеллектуальной собственности</w:t>
      </w:r>
    </w:p>
    <w:p>
      <w:pPr>
        <w:spacing w:line="360" w:lineRule="auto" w:before="0" w:after="0"/>
        <w:ind w:firstLine="709" w:left="0" w:right="0"/>
        <w:jc w:val="both"/>
      </w:pPr>
      <w:r>
        <w:rPr>
          <w:rFonts w:ascii="Times New Roman" w:hAnsi="Times New Roman" w:cs="Times New Roman" w:eastAsia="Times New Roman"/>
          <w:b w:val="0"/>
          <w:i w:val="0"/>
          <w:color w:val="000000"/>
          <w:sz w:val="28"/>
        </w:rPr>
        <w:t>Охраняемым результатом является программа для электронных вычислительных машин. Правовая охрана возникает в силу факта создания произведения и не требует регистрации либо соблюдения иных формальностей.</w:t>
      </w:r>
    </w:p>
    <w:p>
      <w:pPr>
        <w:spacing w:line="360" w:lineRule="auto" w:before="0" w:after="0"/>
        <w:ind w:firstLine="709" w:left="0" w:right="0"/>
        <w:jc w:val="both"/>
      </w:pPr>
      <w:r>
        <w:rPr>
          <w:rFonts w:ascii="Times New Roman" w:hAnsi="Times New Roman" w:cs="Times New Roman" w:eastAsia="Times New Roman"/>
          <w:b w:val="0"/>
          <w:i w:val="0"/>
          <w:color w:val="000000"/>
          <w:sz w:val="28"/>
        </w:rPr>
        <w:t>Исключительное право принадлежит предприятию: программа создана основателем в качестве работника общества, а при привлечении работников и исполнителей условие о переходе исключительного права к обществу включается в договор. Государственная регистрация программы в федеральном органе исполнительной власти по интеллектуальной собственности не производилась; она носит удостоверяющий характер и на возникновение права не влияет. Регистрация рассматривается как мера, применяемая при возникновении необходимости подтвердить авторство перед третьими лицами.</w:t>
      </w:r>
    </w:p>
    <w:p>
      <w:pPr>
        <w:spacing w:line="360" w:lineRule="auto" w:before="0" w:after="0"/>
        <w:ind w:firstLine="709" w:left="0" w:right="0"/>
        <w:jc w:val="both"/>
      </w:pPr>
      <w:r>
        <w:rPr>
          <w:rFonts w:ascii="Times New Roman" w:hAnsi="Times New Roman" w:cs="Times New Roman" w:eastAsia="Times New Roman"/>
          <w:b w:val="0"/>
          <w:i w:val="0"/>
          <w:color w:val="000000"/>
          <w:sz w:val="28"/>
        </w:rPr>
        <w:t>Патентная охрана не применяется: используемые алгоритмы – матричное разложение и кластеризация – общеизвестны и признаку новизны не отвечают. Существо решения состоит не в алгоритме, а в его применении к задаче и в порядке подготовки данных; такие решения охраняются авторским правом в форме выражения, а не патентом.</w:t>
      </w:r>
    </w:p>
    <w:p>
      <w:pPr>
        <w:spacing w:line="360" w:lineRule="auto" w:before="0" w:after="0"/>
        <w:ind w:firstLine="709" w:left="0" w:right="0"/>
        <w:jc w:val="both"/>
      </w:pPr>
      <w:r>
        <w:rPr>
          <w:rFonts w:ascii="Times New Roman" w:hAnsi="Times New Roman" w:cs="Times New Roman" w:eastAsia="Times New Roman"/>
          <w:b w:val="0"/>
          <w:i w:val="0"/>
          <w:color w:val="000000"/>
          <w:sz w:val="28"/>
        </w:rPr>
        <w:t>Дополнительной мерой служит модель распространения: заказчик получает доступ к работающему сервису, а не экземпляр программы, вследствие чего исходный код за пределы предприятия не передаётся.</w:t>
      </w:r>
    </w:p>
    <w:p>
      <w:pPr>
        <w:pStyle w:val="Heading1"/>
        <w:keepNext/>
        <w:pageBreakBefore/>
        <w:spacing w:line="360" w:lineRule="auto" w:before="0" w:after="0"/>
        <w:ind w:firstLine="709" w:left="0" w:right="0"/>
        <w:jc w:val="both"/>
      </w:pPr>
      <w:r>
        <w:rPr>
          <w:rFonts w:ascii="Times New Roman" w:hAnsi="Times New Roman" w:cs="Times New Roman" w:eastAsia="Times New Roman"/>
          <w:b/>
          <w:i w:val="0"/>
          <w:color w:val="000000"/>
          <w:sz w:val="28"/>
        </w:rPr>
        <w:t>3 Описание отрасли</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Характеристика отрасли</w:t>
      </w:r>
    </w:p>
    <w:p>
      <w:pPr>
        <w:spacing w:line="360" w:lineRule="auto" w:before="0" w:after="0"/>
        <w:ind w:firstLine="709" w:left="0" w:right="0"/>
        <w:jc w:val="both"/>
      </w:pPr>
      <w:r>
        <w:rPr>
          <w:rFonts w:ascii="Times New Roman" w:hAnsi="Times New Roman" w:cs="Times New Roman" w:eastAsia="Times New Roman"/>
          <w:b w:val="0"/>
          <w:i w:val="0"/>
          <w:color w:val="000000"/>
          <w:sz w:val="28"/>
        </w:rPr>
        <w:t>Проект работает на стыке двух отраслей. Отрасль-потребитель – рестораны с посадочными местами, где заказ принимает официант. Отрасль, к которой относится продукт, – разработка программного обеспечения для автоматизации предприятий общественного питания. Спрос определяется состоянием обеих: экономикой ресторанов, формирующей потребность, и уровнем их автоматизации, делающим подключение возможным.</w:t>
      </w:r>
    </w:p>
    <w:p>
      <w:pPr>
        <w:spacing w:line="360" w:lineRule="auto" w:before="0" w:after="0"/>
        <w:ind w:firstLine="709" w:left="0" w:right="0"/>
        <w:jc w:val="both"/>
      </w:pPr>
      <w:r>
        <w:rPr>
          <w:rFonts w:ascii="Times New Roman" w:hAnsi="Times New Roman" w:cs="Times New Roman" w:eastAsia="Times New Roman"/>
          <w:b w:val="0"/>
          <w:i w:val="0"/>
          <w:color w:val="000000"/>
          <w:sz w:val="28"/>
        </w:rPr>
        <w:t xml:space="preserve">По данным INFOLine, по итогам 2025 года в России действовало более 240 тысяч предприятий общественного питания, что на 8 % больше, чем годом ранее [4]. Оборот отрасли составил 4,29 трлн рублей [5]. Распределение заведений по форматам приведено на </w:t>
      </w:r>
      <w:r>
        <w:rPr>
          <w:rFonts w:ascii="Times New Roman" w:hAnsi="Times New Roman" w:cs="Times New Roman" w:eastAsia="Times New Roman"/>
          <w:b w:val="0"/>
          <w:i w:val="0"/>
          <w:color w:val="000000"/>
          <w:sz w:val="28"/>
        </w:rPr>
        <w:t xml:space="preserve">рисунке </w:t>
      </w:r>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REF _Fig_3_1 \h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r>
        <w:rPr>
          <w:rFonts w:ascii="Times New Roman" w:hAnsi="Times New Roman" w:cs="Times New Roman" w:eastAsia="Times New Roman"/>
          <w:b w:val="0"/>
          <w:i w:val="0"/>
          <w:color w:val="000000"/>
          <w:sz w:val="28"/>
        </w:rPr>
        <w:t>.</w:t>
      </w:r>
    </w:p>
    <w:p>
      <w:pPr>
        <w:keepNext/>
        <w:spacing w:line="360" w:lineRule="auto" w:before="0" w:after="0"/>
        <w:ind w:firstLine="0" w:left="0" w:right="0"/>
        <w:jc w:val="center"/>
      </w:pPr>
      <w:r>
        <w:drawing>
          <wp:inline xmlns:a="http://schemas.openxmlformats.org/drawingml/2006/main" xmlns:pic="http://schemas.openxmlformats.org/drawingml/2006/picture">
            <wp:extent cx="5400000" cy="2268000"/>
            <wp:docPr id="1" name="Picture 1"/>
            <wp:cNvGraphicFramePr>
              <a:graphicFrameLocks noChangeAspect="1"/>
            </wp:cNvGraphicFramePr>
            <a:graphic>
              <a:graphicData uri="http://schemas.openxmlformats.org/drawingml/2006/picture">
                <pic:pic>
                  <pic:nvPicPr>
                    <pic:cNvPr id="0" name="segments.png"/>
                    <pic:cNvPicPr/>
                  </pic:nvPicPr>
                  <pic:blipFill>
                    <a:blip r:embed="rId10"/>
                    <a:stretch>
                      <a:fillRect/>
                    </a:stretch>
                  </pic:blipFill>
                  <pic:spPr>
                    <a:xfrm>
                      <a:off x="0" y="0"/>
                      <a:ext cx="5400000" cy="2268000"/>
                    </a:xfrm>
                    <a:prstGeom prst="rect"/>
                  </pic:spPr>
                </pic:pic>
              </a:graphicData>
            </a:graphic>
          </wp:inline>
        </w:drawing>
      </w:r>
    </w:p>
    <w:p>
      <w:pPr>
        <w:pStyle w:val="Caption"/>
        <w:keepNext w:val="0"/>
        <w:spacing w:line="240" w:lineRule="auto" w:before="120" w:after="0"/>
        <w:ind w:firstLine="0" w:left="0" w:right="0"/>
        <w:jc w:val="center"/>
      </w:pPr>
      <w:r>
        <w:rPr>
          <w:rFonts w:ascii="Times New Roman" w:hAnsi="Times New Roman" w:cs="Times New Roman" w:eastAsia="Times New Roman"/>
          <w:b w:val="0"/>
          <w:i w:val="0"/>
          <w:color w:val="000000"/>
          <w:sz w:val="28"/>
        </w:rPr>
        <w:t xml:space="preserve">Рисунок </w:t>
      </w:r>
      <w:bookmarkStart w:id="7" w:name="_Fig_3_1"/>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Рисунок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7"/>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Число заведений общественного питания и прирост за 2025 год по форматам (по данным INFOLine [4])</w:t>
      </w:r>
    </w:p>
    <w:p>
      <w:pPr>
        <w:spacing w:line="360" w:lineRule="auto" w:before="0" w:after="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Рестораны с полным обслуживанием образуют второй по величине сегмент – около 68 тысяч заведений, – но растут медленнее прочих форматов: 6,5 % против 9 % у быстрого питания и 8,4 % у кофеен и заведений формата grab &amp; go. Формат с официантами проигрывает быстрым форматам в скорости и цене и не конкурирует с ними по числу чеков; его экономика опирается на величину чека и возвращаемость гостя – показатели, на которые влияет персонализация обслуживания.</w:t>
      </w:r>
    </w:p>
    <w:p>
      <w:pPr>
        <w:spacing w:line="360" w:lineRule="auto" w:before="0" w:after="0"/>
        <w:ind w:firstLine="709" w:left="0" w:right="0"/>
        <w:jc w:val="both"/>
      </w:pPr>
      <w:r>
        <w:rPr>
          <w:rFonts w:ascii="Times New Roman" w:hAnsi="Times New Roman" w:cs="Times New Roman" w:eastAsia="Times New Roman"/>
          <w:b w:val="0"/>
          <w:i w:val="0"/>
          <w:color w:val="000000"/>
          <w:sz w:val="28"/>
        </w:rPr>
        <w:t>Уровень автоматизации сегмента достаточен для работы платформы. Система учёта обслуживает в таких заведениях не только расчёт с гостем, но и работу зала, склада и кухни. На рынке систем учёта сложилась двойная концентрация: подавляющее большинство заведений обслуживают iiko и r_keeper [6]. Интеграция с двумя программными интерфейсами (API) покрывает основную часть целевого сегмента.</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Структура рынка</w:t>
      </w:r>
    </w:p>
    <w:p>
      <w:pPr>
        <w:spacing w:line="360" w:lineRule="auto" w:before="0" w:after="0"/>
        <w:ind w:firstLine="709" w:left="0" w:right="0"/>
        <w:jc w:val="both"/>
      </w:pPr>
      <w:r>
        <w:rPr>
          <w:rFonts w:ascii="Times New Roman" w:hAnsi="Times New Roman" w:cs="Times New Roman" w:eastAsia="Times New Roman"/>
          <w:b w:val="0"/>
          <w:i w:val="0"/>
          <w:color w:val="000000"/>
          <w:sz w:val="28"/>
        </w:rPr>
        <w:t>Целевой рынок – программное обеспечение для ресторанов с полным обслуживанием, использующее накопленные данные о гостях. Решения различаются тем, кому и в какой момент они отдают результат обработки данных.</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1. </w:t>
      </w:r>
      <w:r>
        <w:rPr>
          <w:rFonts w:ascii="Times New Roman" w:hAnsi="Times New Roman" w:cs="Times New Roman" w:eastAsia="Times New Roman"/>
          <w:b/>
          <w:i w:val="0"/>
          <w:color w:val="000000"/>
          <w:sz w:val="28"/>
        </w:rPr>
        <w:t>Системы учёта и автоматизации</w:t>
      </w:r>
      <w:r>
        <w:rPr>
          <w:rFonts w:ascii="Times New Roman" w:hAnsi="Times New Roman" w:cs="Times New Roman" w:eastAsia="Times New Roman"/>
          <w:b w:val="0"/>
          <w:i w:val="0"/>
          <w:color w:val="000000"/>
          <w:sz w:val="28"/>
        </w:rPr>
        <w:t xml:space="preserve"> (iiko, r_keeper, Poster). Собирают данные о заказах и гостях, предоставляют аналитику. Получатель – менеджер, момент – отчётный период. Официант работает в интерфейсе этих систем, но видит в нём только заказ.</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2. </w:t>
      </w:r>
      <w:r>
        <w:rPr>
          <w:rFonts w:ascii="Times New Roman" w:hAnsi="Times New Roman" w:cs="Times New Roman" w:eastAsia="Times New Roman"/>
          <w:b/>
          <w:i w:val="0"/>
          <w:color w:val="000000"/>
          <w:sz w:val="28"/>
        </w:rPr>
        <w:t>Программы лояльности и CRM-надстройки</w:t>
      </w:r>
      <w:r>
        <w:rPr>
          <w:rFonts w:ascii="Times New Roman" w:hAnsi="Times New Roman" w:cs="Times New Roman" w:eastAsia="Times New Roman"/>
          <w:b w:val="0"/>
          <w:i w:val="0"/>
          <w:color w:val="000000"/>
          <w:sz w:val="28"/>
        </w:rPr>
        <w:t xml:space="preserve"> (Plazius, «Фабрика лояльности», Loymax). Используют данные о госте для маркетинговых коммуникаций; развитые платформы применяют машинное обучение и определяют любимые блюда гостя по чекам. Получатель – гость, канал – мобильное приложение, СМС или push-уведомление. Интерфейса для персонала зала не предоставляют.</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3. </w:t>
      </w:r>
      <w:r>
        <w:rPr>
          <w:rFonts w:ascii="Times New Roman" w:hAnsi="Times New Roman" w:cs="Times New Roman" w:eastAsia="Times New Roman"/>
          <w:b/>
          <w:i w:val="0"/>
          <w:color w:val="000000"/>
          <w:sz w:val="28"/>
        </w:rPr>
        <w:t>Системы бронирования и CRM для управления залом</w:t>
      </w:r>
      <w:r>
        <w:rPr>
          <w:rFonts w:ascii="Times New Roman" w:hAnsi="Times New Roman" w:cs="Times New Roman" w:eastAsia="Times New Roman"/>
          <w:b w:val="0"/>
          <w:i w:val="0"/>
          <w:color w:val="000000"/>
          <w:sz w:val="28"/>
        </w:rPr>
        <w:t xml:space="preserve"> (ReMarked, Restoplace, Saby Presto). Ведут схему зала и посадку, накапливают профиль гостя: частоту визитов, средний чек, историю заказов, любимые блюда, пометки о предпочтениях; часть систем передаёт брони в iiko и r_keeper. Получатель – хостес и менеджер, момент – приём брони и встреча гостя. Сведения отображаются в том виде, в каком накоплены; ранжирование меню под гостя не выполняется.</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4. </w:t>
      </w:r>
      <w:r>
        <w:rPr>
          <w:rFonts w:ascii="Times New Roman" w:hAnsi="Times New Roman" w:cs="Times New Roman" w:eastAsia="Times New Roman"/>
          <w:b/>
          <w:i w:val="0"/>
          <w:color w:val="000000"/>
          <w:sz w:val="28"/>
        </w:rPr>
        <w:t>Инструменты официанта</w:t>
      </w:r>
      <w:r>
        <w:rPr>
          <w:rFonts w:ascii="Times New Roman" w:hAnsi="Times New Roman" w:cs="Times New Roman" w:eastAsia="Times New Roman"/>
          <w:b w:val="0"/>
          <w:i w:val="0"/>
          <w:color w:val="000000"/>
          <w:sz w:val="28"/>
        </w:rPr>
        <w:t xml:space="preserve"> (iikoWaiter, FusionPOS, YUMA). Обслуживают формирование заказа, обмен с кухней, печать чека и приём чаевых. Отдельные приложения выводят подсказки для допродажи, привязанные к позиции в заказе, а не к гостю. Профиль гостя не отображается.</w:t>
      </w:r>
    </w:p>
    <w:p>
      <w:pPr>
        <w:spacing w:line="360" w:lineRule="auto" w:before="0" w:after="0"/>
        <w:ind w:firstLine="709" w:left="0" w:right="0"/>
        <w:jc w:val="both"/>
      </w:pPr>
      <w:r>
        <w:rPr>
          <w:rFonts w:ascii="Times New Roman" w:hAnsi="Times New Roman" w:cs="Times New Roman" w:eastAsia="Times New Roman"/>
          <w:b w:val="0"/>
          <w:i w:val="0"/>
          <w:color w:val="000000"/>
          <w:sz w:val="28"/>
        </w:rPr>
        <w:t>Данные о госте в отрасли собираются и обрабатываются, в том числе алгоритмами машинного обучения, но результат поступает либо менеджеру после смены, либо гостю в отдельный канал коммуникации. Официант остаётся единственным участником обслуживания, который в момент контакта с гостем не располагает ничем, кроме текущего заказа. Boostaurant занимает эту позицию: он не заменяет систему учёта или программу лояльности, а работает поверх данных системы учёта, добавляя недостающего получателя.</w:t>
      </w:r>
    </w:p>
    <w:p>
      <w:pPr>
        <w:spacing w:line="360" w:lineRule="auto" w:before="0" w:after="0"/>
        <w:ind w:firstLine="709" w:left="0" w:right="0"/>
        <w:jc w:val="both"/>
      </w:pPr>
      <w:r>
        <w:rPr>
          <w:rFonts w:ascii="Times New Roman" w:hAnsi="Times New Roman" w:cs="Times New Roman" w:eastAsia="Times New Roman"/>
          <w:b w:val="0"/>
          <w:i w:val="0"/>
          <w:color w:val="000000"/>
          <w:sz w:val="28"/>
        </w:rPr>
        <w:t>Системы учёта конкурентами не являются – они поставщики данных и условие работы платформы; проникновение iiko и r_keeper в целевом сегменте определяет размер доступного рынка. Разбор конкурирующих решений приведён в разделе 4.1.</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Тенденции и перспективы развития отрасли</w:t>
      </w:r>
    </w:p>
    <w:p>
      <w:pPr>
        <w:spacing w:line="360" w:lineRule="auto" w:before="0" w:after="0"/>
        <w:ind w:firstLine="709" w:left="0" w:right="0"/>
        <w:jc w:val="both"/>
      </w:pPr>
      <w:r>
        <w:rPr>
          <w:rFonts w:ascii="Times New Roman" w:hAnsi="Times New Roman" w:cs="Times New Roman" w:eastAsia="Times New Roman"/>
          <w:b/>
          <w:i w:val="0"/>
          <w:color w:val="000000"/>
          <w:sz w:val="28"/>
        </w:rPr>
        <w:t>Падение трафика при сохранении номинального оборота.</w:t>
      </w:r>
      <w:r>
        <w:rPr>
          <w:rFonts w:ascii="Times New Roman" w:hAnsi="Times New Roman" w:cs="Times New Roman" w:eastAsia="Times New Roman"/>
          <w:b w:val="0"/>
          <w:i w:val="0"/>
          <w:color w:val="000000"/>
          <w:sz w:val="28"/>
        </w:rPr>
        <w:t xml:space="preserve"> Оборот отрасли вырос, но в сопоставимых ценах прирост составил 2,6 % против 12–14 % годом ранее [7]: рост достигнут за счёт открытия новых заведений и повышения цен на 15,3 %, а не за счёт увеличения числа гостей. По оценке Like4Like, падение трафика испытывают 80–90 % игроков рынка, у отдельных брендов оно доходит до 20–30 % [4].</w:t>
      </w:r>
    </w:p>
    <w:p>
      <w:pPr>
        <w:spacing w:line="360" w:lineRule="auto" w:before="0" w:after="0"/>
        <w:ind w:firstLine="709" w:left="0" w:right="0"/>
        <w:jc w:val="both"/>
      </w:pPr>
      <w:r>
        <w:rPr>
          <w:rFonts w:ascii="Times New Roman" w:hAnsi="Times New Roman" w:cs="Times New Roman" w:eastAsia="Times New Roman"/>
          <w:b w:val="0"/>
          <w:i w:val="0"/>
          <w:color w:val="000000"/>
          <w:sz w:val="28"/>
        </w:rPr>
        <w:t>Ресторан, потерявший часть потока, не может компенсировать потерю дальнейшим повышением цен – этот ресурс исчерпан в 2025 году – и вынужден работать над выручкой с каждого пришедшего гостя. Спрос на инструменты, влияющие на средний чек и возвращаемость, растёт, тогда как спрос на инструменты привлечения потока сжимается.</w:t>
      </w:r>
    </w:p>
    <w:p>
      <w:pPr>
        <w:spacing w:line="360" w:lineRule="auto" w:before="0" w:after="0"/>
        <w:ind w:firstLine="709" w:left="0" w:right="0"/>
        <w:jc w:val="both"/>
      </w:pPr>
      <w:r>
        <w:rPr>
          <w:rFonts w:ascii="Times New Roman" w:hAnsi="Times New Roman" w:cs="Times New Roman" w:eastAsia="Times New Roman"/>
          <w:b/>
          <w:i w:val="0"/>
          <w:color w:val="000000"/>
          <w:sz w:val="28"/>
        </w:rPr>
        <w:t>Рост налоговой нагрузки.</w:t>
      </w:r>
      <w:r>
        <w:rPr>
          <w:rFonts w:ascii="Times New Roman" w:hAnsi="Times New Roman" w:cs="Times New Roman" w:eastAsia="Times New Roman"/>
          <w:b w:val="0"/>
          <w:i w:val="0"/>
          <w:color w:val="000000"/>
          <w:sz w:val="28"/>
        </w:rPr>
        <w:t xml:space="preserve"> Порог выручки, дающий право на освобождение от налога на добавленную стоимость при упрощённой системе налогообложения, снижается последовательно: 60 млн рублей в 2025 году, 20 млн в 2026, 15 млн в 2027 и 10 млн в 2028 году [8]. Введённое законом от 25 апреля 2026 года № 104-ФЗ освобождение для предприятий общественного питания ограничено периодом до 31 декабря 2026 года [9]. Заведение целевого сегмента – от 1 000 заказов в месяц – превышает порог 2026 года и все последующие, то есть является плательщиком налога. Нагрузка на отрасль возрастает в течение всего рассматриваемого горизонта, что усиливает описанную выше тенденцию: значение выручки с каждого гостя увеличивается, а свободные средства заведения на новые расходы сокращаются. Обе стороны этого обстоятельства рассмотрены в разделе «Анализ рисков».</w:t>
      </w:r>
    </w:p>
    <w:p>
      <w:pPr>
        <w:spacing w:line="360" w:lineRule="auto" w:before="0" w:after="0"/>
        <w:ind w:firstLine="709" w:left="0" w:right="0"/>
        <w:jc w:val="both"/>
      </w:pPr>
      <w:r>
        <w:rPr>
          <w:rFonts w:ascii="Times New Roman" w:hAnsi="Times New Roman" w:cs="Times New Roman" w:eastAsia="Times New Roman"/>
          <w:b/>
          <w:i w:val="0"/>
          <w:color w:val="000000"/>
          <w:sz w:val="28"/>
        </w:rPr>
        <w:t>Кадровый дефицит и сменяемость персонала.</w:t>
      </w:r>
      <w:r>
        <w:rPr>
          <w:rFonts w:ascii="Times New Roman" w:hAnsi="Times New Roman" w:cs="Times New Roman" w:eastAsia="Times New Roman"/>
          <w:b w:val="0"/>
          <w:i w:val="0"/>
          <w:color w:val="000000"/>
          <w:sz w:val="28"/>
        </w:rPr>
        <w:t xml:space="preserve"> Отрасль испытывает нехватку персонала, заведения вынуждены повышать заработную плату [4]. При высокой сменяемости официантов знание постоянных гостей не накапливается: опытный сотрудник уходит вместе с ним, новый начинает с нуля. Платформа переносит это знание из памяти сотрудника в систему, где оно сохраняется независимо от состава смены.</w:t>
      </w:r>
    </w:p>
    <w:p>
      <w:pPr>
        <w:spacing w:line="360" w:lineRule="auto" w:before="0" w:after="0"/>
        <w:ind w:firstLine="709" w:left="0" w:right="0"/>
        <w:jc w:val="both"/>
      </w:pPr>
      <w:r>
        <w:rPr>
          <w:rFonts w:ascii="Times New Roman" w:hAnsi="Times New Roman" w:cs="Times New Roman" w:eastAsia="Times New Roman"/>
          <w:b/>
          <w:i w:val="0"/>
          <w:color w:val="000000"/>
          <w:sz w:val="28"/>
        </w:rPr>
        <w:t>Рост рынка цифровизации HoReCa.</w:t>
      </w:r>
      <w:r>
        <w:rPr>
          <w:rFonts w:ascii="Times New Roman" w:hAnsi="Times New Roman" w:cs="Times New Roman" w:eastAsia="Times New Roman"/>
          <w:b w:val="0"/>
          <w:i w:val="0"/>
          <w:color w:val="000000"/>
          <w:sz w:val="28"/>
        </w:rPr>
        <w:t xml:space="preserve"> По оценке TAdviser, рынок автоматизации HoReCa в ближайшие три года будет расти на 9–13 % ежегодно, основной драйвер – спрос на решения по модели SaaS [6]. Модель распространения проекта совпадает с этим драйвером: ресторан не приобретает оборудование и не оплачивает внедрение отдельно.</w:t>
      </w:r>
    </w:p>
    <w:p>
      <w:pPr>
        <w:spacing w:line="360" w:lineRule="auto" w:before="0" w:after="0"/>
        <w:ind w:firstLine="709" w:left="0" w:right="0"/>
        <w:jc w:val="both"/>
      </w:pPr>
      <w:r>
        <w:rPr>
          <w:rFonts w:ascii="Times New Roman" w:hAnsi="Times New Roman" w:cs="Times New Roman" w:eastAsia="Times New Roman"/>
          <w:b/>
          <w:i w:val="0"/>
          <w:color w:val="000000"/>
          <w:sz w:val="28"/>
        </w:rPr>
        <w:t>Импортозамещение.</w:t>
      </w:r>
      <w:r>
        <w:rPr>
          <w:rFonts w:ascii="Times New Roman" w:hAnsi="Times New Roman" w:cs="Times New Roman" w:eastAsia="Times New Roman"/>
          <w:b w:val="0"/>
          <w:i w:val="0"/>
          <w:color w:val="000000"/>
          <w:sz w:val="28"/>
        </w:rPr>
        <w:t xml:space="preserve"> Уход зарубежных поставщиков закрепил лидерство отечественных систем автоматизации и бронирования [6]. Ключевые для проекта интеграции – iiko и r_keeper – относятся к российским продуктам с устойчивым положением на рынке.</w:t>
      </w:r>
    </w:p>
    <w:p>
      <w:pPr>
        <w:spacing w:line="360" w:lineRule="auto" w:before="0" w:after="0"/>
        <w:ind w:firstLine="709" w:left="0" w:right="0"/>
        <w:jc w:val="both"/>
      </w:pPr>
      <w:r>
        <w:rPr>
          <w:rFonts w:ascii="Times New Roman" w:hAnsi="Times New Roman" w:cs="Times New Roman" w:eastAsia="Times New Roman"/>
          <w:b/>
          <w:i w:val="0"/>
          <w:color w:val="000000"/>
          <w:sz w:val="28"/>
        </w:rPr>
        <w:t>Поляризация форматов.</w:t>
      </w:r>
      <w:r>
        <w:rPr>
          <w:rFonts w:ascii="Times New Roman" w:hAnsi="Times New Roman" w:cs="Times New Roman" w:eastAsia="Times New Roman"/>
          <w:b w:val="0"/>
          <w:i w:val="0"/>
          <w:color w:val="000000"/>
          <w:sz w:val="28"/>
        </w:rPr>
        <w:t xml:space="preserve"> Прогнозы предполагают дальнейшее расхождение: быстрое питание усиливает позиции за счёт доступности и скорости, рестораны полного обслуживания растут за счёт качества обслуживания как самостоятельной ценности [4]. Узнавание гостя и точное предложение относятся к качеству обслуживания, а не к цене блюда.</w:t>
      </w:r>
    </w:p>
    <w:p>
      <w:pPr>
        <w:spacing w:line="360" w:lineRule="auto" w:before="0" w:after="0"/>
        <w:ind w:firstLine="709" w:left="0" w:right="0"/>
        <w:jc w:val="both"/>
      </w:pPr>
      <w:r>
        <w:rPr>
          <w:rFonts w:ascii="Times New Roman" w:hAnsi="Times New Roman" w:cs="Times New Roman" w:eastAsia="Times New Roman"/>
          <w:b/>
          <w:i w:val="0"/>
          <w:color w:val="000000"/>
          <w:sz w:val="28"/>
        </w:rPr>
        <w:t>Внедрение искусственного интеллекта в обслуживание.</w:t>
      </w:r>
      <w:r>
        <w:rPr>
          <w:rFonts w:ascii="Times New Roman" w:hAnsi="Times New Roman" w:cs="Times New Roman" w:eastAsia="Times New Roman"/>
          <w:b w:val="0"/>
          <w:i w:val="0"/>
          <w:color w:val="000000"/>
          <w:sz w:val="28"/>
        </w:rPr>
        <w:t xml:space="preserve"> Технологии рекомендаций, освоенные в электронной торговле, начинают применяться в HoReCa; системы рекомендаций и персонализации оцениваются как одно из наиболее маржинальных направлений цифровизации отрасли [6].</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Тип рынка</w:t>
      </w:r>
    </w:p>
    <w:p>
      <w:pPr>
        <w:spacing w:line="360" w:lineRule="auto" w:before="0" w:after="0"/>
        <w:ind w:firstLine="709" w:left="0" w:right="0"/>
        <w:jc w:val="both"/>
      </w:pPr>
      <w:r>
        <w:rPr>
          <w:rFonts w:ascii="Times New Roman" w:hAnsi="Times New Roman" w:cs="Times New Roman" w:eastAsia="Times New Roman"/>
          <w:b w:val="0"/>
          <w:i w:val="0"/>
          <w:color w:val="000000"/>
          <w:sz w:val="28"/>
        </w:rPr>
        <w:t>Тип рынка – монополистическая конкуренция с признаками формирующегося рынка.</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Множество продавцов.</w:t>
      </w:r>
      <w:r>
        <w:rPr>
          <w:rFonts w:ascii="Times New Roman" w:hAnsi="Times New Roman" w:cs="Times New Roman" w:eastAsia="Times New Roman"/>
          <w:b w:val="0"/>
          <w:i w:val="0"/>
          <w:color w:val="000000"/>
          <w:sz w:val="28"/>
        </w:rPr>
        <w:t xml:space="preserve"> На рынке программного обеспечения для ресторанов действуют системы учёта, программы лояльности, системы бронирования, сервисы аналитики и управления отзывами. В позиции, занимаемой проектом – персональные рекомендации официанту в момент обслуживания, – рынок только формируется.</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Дифференцированный продукт.</w:t>
      </w:r>
      <w:r>
        <w:rPr>
          <w:rFonts w:ascii="Times New Roman" w:hAnsi="Times New Roman" w:cs="Times New Roman" w:eastAsia="Times New Roman"/>
          <w:b w:val="0"/>
          <w:i w:val="0"/>
          <w:color w:val="000000"/>
          <w:sz w:val="28"/>
        </w:rPr>
        <w:t xml:space="preserve"> Решения различаются составом функций, получателем результата и моделью распространения; сравнение по цене затруднено, поскольку они закрывают разные задачи. Проект дифференцирован по получателю результата – официант – и моменту его получения.</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Неценовая конкуренция.</w:t>
      </w:r>
      <w:r>
        <w:rPr>
          <w:rFonts w:ascii="Times New Roman" w:hAnsi="Times New Roman" w:cs="Times New Roman" w:eastAsia="Times New Roman"/>
          <w:b w:val="0"/>
          <w:i w:val="0"/>
          <w:color w:val="000000"/>
          <w:sz w:val="28"/>
        </w:rPr>
        <w:t xml:space="preserve"> Поставщики конкурируют функциями, трудоёмкостью внедрения, наличием интеграций и подтверждёнными результатами у заказчиков, а не стоимостью подписки.</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Умеренные барьеры входа при существенных издержках переключения у заказчика.</w:t>
      </w:r>
      <w:r>
        <w:rPr>
          <w:rFonts w:ascii="Times New Roman" w:hAnsi="Times New Roman" w:cs="Times New Roman" w:eastAsia="Times New Roman"/>
          <w:b w:val="0"/>
          <w:i w:val="0"/>
          <w:color w:val="000000"/>
          <w:sz w:val="28"/>
        </w:rPr>
        <w:t xml:space="preserve"> Начать разработку конкурирующего решения технологически несложно. Ресторан с обученной на его данных моделью переключается на другого поставщика неохотно: качество рекомендаций у нового поставщика восстанавливается не сразу.</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Зависимость от поставщиков систем учёта.</w:t>
      </w:r>
      <w:r>
        <w:rPr>
          <w:rFonts w:ascii="Times New Roman" w:hAnsi="Times New Roman" w:cs="Times New Roman" w:eastAsia="Times New Roman"/>
          <w:b w:val="0"/>
          <w:i w:val="0"/>
          <w:color w:val="000000"/>
          <w:sz w:val="28"/>
        </w:rPr>
        <w:t xml:space="preserve"> Работоспособность продукта определяется доступностью программных интерфейсов iiko и r_keeper: поставщики систем учёта, не будучи конкурентами, влияют на условия работы проекта. Риск и меры его нивелирования рассмотрены в разделе «Анализ рисков».</w:t>
      </w:r>
    </w:p>
    <w:p>
      <w:pPr>
        <w:pStyle w:val="Heading1"/>
        <w:keepNext/>
        <w:pageBreakBefore/>
        <w:spacing w:line="360" w:lineRule="auto" w:before="0" w:after="0"/>
        <w:ind w:firstLine="709" w:left="0" w:right="0"/>
        <w:jc w:val="both"/>
      </w:pPr>
      <w:r>
        <w:rPr>
          <w:rFonts w:ascii="Times New Roman" w:hAnsi="Times New Roman" w:cs="Times New Roman" w:eastAsia="Times New Roman"/>
          <w:b/>
          <w:i w:val="0"/>
          <w:color w:val="000000"/>
          <w:sz w:val="28"/>
        </w:rPr>
        <w:t>4 Анализ рынка</w:t>
      </w:r>
    </w:p>
    <w:p>
      <w:pPr>
        <w:pStyle w:val="Heading2"/>
        <w:keepNext/>
        <w:spacing w:line="360" w:lineRule="auto" w:before="0" w:after="0"/>
        <w:ind w:firstLine="709" w:left="0" w:right="0"/>
        <w:jc w:val="both"/>
      </w:pPr>
      <w:r>
        <w:rPr>
          <w:rFonts w:ascii="Times New Roman" w:hAnsi="Times New Roman" w:cs="Times New Roman" w:eastAsia="Times New Roman"/>
          <w:b/>
          <w:i w:val="0"/>
          <w:color w:val="000000"/>
          <w:sz w:val="28"/>
        </w:rPr>
        <w:t>4.1 Анализ конкурентов</w:t>
      </w:r>
    </w:p>
    <w:p>
      <w:pPr>
        <w:spacing w:line="360" w:lineRule="auto" w:before="0" w:after="0"/>
        <w:ind w:firstLine="709" w:left="0" w:right="0"/>
        <w:jc w:val="both"/>
      </w:pPr>
      <w:r>
        <w:rPr>
          <w:rFonts w:ascii="Times New Roman" w:hAnsi="Times New Roman" w:cs="Times New Roman" w:eastAsia="Times New Roman"/>
          <w:b w:val="0"/>
          <w:i w:val="0"/>
          <w:color w:val="000000"/>
          <w:sz w:val="28"/>
        </w:rPr>
        <w:t>Проект продаётся владельцу ресторана как средство увеличения выручки с одного гостя – среднего чека и частоты повторных визитов. Конкурентом в анализе считается любой способ, которым ресторан решает эту задачу сегодня: как программные продукты, претендующие на тот же бюджет цифровизации, так и организационные меры, делающие покупку необязательной. Решения сопоставлялись по механизму работы, получателю результата и моменту его получения. Источники – сайты поставщиков, отраслевые обзоры, публикации разработчиков.</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Прямые конкуренты</w:t>
      </w:r>
    </w:p>
    <w:p>
      <w:pPr>
        <w:spacing w:line="360" w:lineRule="auto" w:before="0" w:after="0"/>
        <w:ind w:firstLine="709" w:left="0" w:right="0"/>
        <w:jc w:val="both"/>
      </w:pPr>
      <w:r>
        <w:rPr>
          <w:rFonts w:ascii="Times New Roman" w:hAnsi="Times New Roman" w:cs="Times New Roman" w:eastAsia="Times New Roman"/>
          <w:b w:val="0"/>
          <w:i w:val="0"/>
          <w:color w:val="000000"/>
          <w:sz w:val="28"/>
        </w:rPr>
        <w:t>Продукты, продаваемые ресторану под ту же задачу и претендующие на тот же бюджет.</w:t>
      </w:r>
    </w:p>
    <w:p>
      <w:pPr>
        <w:spacing w:line="360" w:lineRule="auto" w:before="0" w:after="0"/>
        <w:ind w:firstLine="709" w:left="0" w:right="0"/>
        <w:jc w:val="both"/>
      </w:pPr>
      <w:r>
        <w:rPr>
          <w:rFonts w:ascii="Times New Roman" w:hAnsi="Times New Roman" w:cs="Times New Roman" w:eastAsia="Times New Roman"/>
          <w:b/>
          <w:i w:val="0"/>
          <w:color w:val="000000"/>
          <w:sz w:val="28"/>
        </w:rPr>
        <w:t>Платформы лояльности.</w:t>
      </w:r>
      <w:r>
        <w:rPr>
          <w:rFonts w:ascii="Times New Roman" w:hAnsi="Times New Roman" w:cs="Times New Roman" w:eastAsia="Times New Roman"/>
          <w:b w:val="0"/>
          <w:i w:val="0"/>
          <w:color w:val="000000"/>
          <w:sz w:val="28"/>
        </w:rPr>
        <w:t xml:space="preserve"> Наиболее сильная группа. Plazius работает на данных iiko и применяет машинное обучение: определяет по чекам гостя любимую категорию и любимое блюдо, оценивает вероятность возврата и выделяет «остывающих» гостей для адресных предложений [10]. Задача роста возвращаемости решается напрямую, рекомендательное ядро сопоставимо с ядром проекта. Результат адресуется гостю через мобильное приложение; интерфейса для персонала зала платформа не предоставляет [10]. К группе относятся также «Фабрика лояльности» и Loymax – последняя ориентирована преимущественно на розничную торговлю, более 25 тысяч магазинов на 2022 год [11].</w:t>
      </w:r>
    </w:p>
    <w:p>
      <w:pPr>
        <w:spacing w:line="360" w:lineRule="auto" w:before="0" w:after="0"/>
        <w:ind w:firstLine="709" w:left="0" w:right="0"/>
        <w:jc w:val="both"/>
      </w:pPr>
      <w:r>
        <w:rPr>
          <w:rFonts w:ascii="Times New Roman" w:hAnsi="Times New Roman" w:cs="Times New Roman" w:eastAsia="Times New Roman"/>
          <w:b w:val="0"/>
          <w:i w:val="0"/>
          <w:color w:val="000000"/>
          <w:sz w:val="28"/>
        </w:rPr>
        <w:t>Ресторан, подключивший платформу лояльности, считает задачу персонализации закрытой, поэтому именно эта группа определяет содержание возражений при продаже.</w:t>
      </w:r>
    </w:p>
    <w:p>
      <w:pPr>
        <w:spacing w:line="360" w:lineRule="auto" w:before="0" w:after="0"/>
        <w:ind w:firstLine="709" w:left="0" w:right="0"/>
        <w:jc w:val="both"/>
      </w:pPr>
      <w:r>
        <w:rPr>
          <w:rFonts w:ascii="Times New Roman" w:hAnsi="Times New Roman" w:cs="Times New Roman" w:eastAsia="Times New Roman"/>
          <w:b/>
          <w:i w:val="0"/>
          <w:color w:val="000000"/>
          <w:sz w:val="28"/>
        </w:rPr>
        <w:t>CRM для ресторанов.</w:t>
      </w:r>
      <w:r>
        <w:rPr>
          <w:rFonts w:ascii="Times New Roman" w:hAnsi="Times New Roman" w:cs="Times New Roman" w:eastAsia="Times New Roman"/>
          <w:b w:val="0"/>
          <w:i w:val="0"/>
          <w:color w:val="000000"/>
          <w:sz w:val="28"/>
        </w:rPr>
        <w:t xml:space="preserve"> ReMarked ведёт профиль гостя: частота визитов, средний чек, история заказов, любимые блюда, теги и заметки; интегрирована с iiko и r_keeper [12]. Сведения доступны сотруднику зала в реальном времени, но отображаются в том виде, в каком накоплены, – ранжирования меню под гостя система не выполняет. Адресат – хостес при приёме брони и встрече гостя [12]. Restik располагает ИИ-ассистентом для задач бэк-офиса: оптимизация меню, анализ продаж, складской учёт [13].</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Организационные альтернативы</w:t>
      </w:r>
    </w:p>
    <w:p>
      <w:pPr>
        <w:spacing w:line="360" w:lineRule="auto" w:before="0" w:after="0"/>
        <w:ind w:firstLine="709" w:left="0" w:right="0"/>
        <w:jc w:val="both"/>
      </w:pPr>
      <w:r>
        <w:rPr>
          <w:rFonts w:ascii="Times New Roman" w:hAnsi="Times New Roman" w:cs="Times New Roman" w:eastAsia="Times New Roman"/>
          <w:b w:val="0"/>
          <w:i w:val="0"/>
          <w:color w:val="000000"/>
          <w:sz w:val="28"/>
        </w:rPr>
        <w:t>Способы решения задачи без приобретения программного продукта. Основной – опора на память и квалификацию официантов, подкреплённая стандартами сервиса и обучением персонала допродажам. Расходов на подписку такой способ не требует и для ресторана является отправной точкой сравнения.</w:t>
      </w:r>
    </w:p>
    <w:p>
      <w:pPr>
        <w:spacing w:line="360" w:lineRule="auto" w:before="0" w:after="0"/>
        <w:ind w:firstLine="709" w:left="0" w:right="0"/>
        <w:jc w:val="both"/>
      </w:pPr>
      <w:r>
        <w:rPr>
          <w:rFonts w:ascii="Times New Roman" w:hAnsi="Times New Roman" w:cs="Times New Roman" w:eastAsia="Times New Roman"/>
          <w:b w:val="0"/>
          <w:i w:val="0"/>
          <w:color w:val="000000"/>
          <w:sz w:val="28"/>
        </w:rPr>
        <w:t>Его ограничения определяются кадровой ситуацией в отрасли: при высокой сменяемости персонала знание постоянных гостей не накапливается и уходит вместе с сотрудником. Ограничение проявляется постепенно и владельцем ресторана как статья потерь не осознаётся, поэтому отказ от покупки остаётся наиболее вероятной альтернативой предложению проекта и учитывается в плане продвижения (раздел 4.4).</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Смежные решения</w:t>
      </w:r>
    </w:p>
    <w:p>
      <w:pPr>
        <w:spacing w:line="360" w:lineRule="auto" w:before="0" w:after="0"/>
        <w:ind w:firstLine="709" w:left="0" w:right="0"/>
        <w:jc w:val="both"/>
      </w:pPr>
      <w:r>
        <w:rPr>
          <w:rFonts w:ascii="Times New Roman" w:hAnsi="Times New Roman" w:cs="Times New Roman" w:eastAsia="Times New Roman"/>
          <w:b w:val="0"/>
          <w:i w:val="0"/>
          <w:color w:val="000000"/>
          <w:sz w:val="28"/>
        </w:rPr>
        <w:t>Продукты, влияющие на средний чек иными средствами и не претендующие на персонализацию по истории гостя.</w:t>
      </w:r>
    </w:p>
    <w:p>
      <w:pPr>
        <w:spacing w:line="360" w:lineRule="auto" w:before="0" w:after="0"/>
        <w:ind w:firstLine="709" w:left="0" w:right="0"/>
        <w:jc w:val="both"/>
      </w:pPr>
      <w:r>
        <w:rPr>
          <w:rFonts w:ascii="Times New Roman" w:hAnsi="Times New Roman" w:cs="Times New Roman" w:eastAsia="Times New Roman"/>
          <w:b/>
          <w:i w:val="0"/>
          <w:color w:val="000000"/>
          <w:sz w:val="28"/>
        </w:rPr>
        <w:t>Приложения официанта.</w:t>
      </w:r>
      <w:r>
        <w:rPr>
          <w:rFonts w:ascii="Times New Roman" w:hAnsi="Times New Roman" w:cs="Times New Roman" w:eastAsia="Times New Roman"/>
          <w:b w:val="0"/>
          <w:i w:val="0"/>
          <w:color w:val="000000"/>
          <w:sz w:val="28"/>
        </w:rPr>
        <w:t xml:space="preserve"> FusionPOS выводит официанту подсказки для допродажи: «к стейку рекомендуем вино», «добавьте десерт со скидкой» [14]. Подсказка привязана к позиции в заказе, а не к гостю: вино предлагается любому, кто заказал стейк. Механизм её формирования в открытых материалах поставщика не раскрыт; по составу примеров он соответствует настраиваемым правилам сопутствующих продаж. В iikoWaiter и YUMA профиль гостя не отображается.</w:t>
      </w:r>
    </w:p>
    <w:p>
      <w:pPr>
        <w:spacing w:line="360" w:lineRule="auto" w:before="0" w:after="0"/>
        <w:ind w:firstLine="709" w:left="0" w:right="0"/>
        <w:jc w:val="both"/>
      </w:pPr>
      <w:r>
        <w:rPr>
          <w:rFonts w:ascii="Times New Roman" w:hAnsi="Times New Roman" w:cs="Times New Roman" w:eastAsia="Times New Roman"/>
          <w:b/>
          <w:i w:val="0"/>
          <w:color w:val="000000"/>
          <w:sz w:val="28"/>
        </w:rPr>
        <w:t>Сервисы для гостя.</w:t>
      </w:r>
      <w:r>
        <w:rPr>
          <w:rFonts w:ascii="Times New Roman" w:hAnsi="Times New Roman" w:cs="Times New Roman" w:eastAsia="Times New Roman"/>
          <w:b w:val="0"/>
          <w:i w:val="0"/>
          <w:color w:val="000000"/>
          <w:sz w:val="28"/>
        </w:rPr>
        <w:t xml:space="preserve"> food2mood формирует подборку блюд по анкете и текущему настроению гостя и выдаёт QR-код для передачи заказа в кассовую систему; подключено около 15 точек питания [15]. Рекомендация строится не на истории заказов и адресуется гостю.</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Заказные разработки</w:t>
      </w:r>
    </w:p>
    <w:p>
      <w:pPr>
        <w:spacing w:line="360" w:lineRule="auto" w:before="0" w:after="0"/>
        <w:ind w:firstLine="709" w:left="0" w:right="0"/>
        <w:jc w:val="both"/>
      </w:pPr>
      <w:r>
        <w:rPr>
          <w:rFonts w:ascii="Times New Roman" w:hAnsi="Times New Roman" w:cs="Times New Roman" w:eastAsia="Times New Roman"/>
          <w:b w:val="0"/>
          <w:i w:val="0"/>
          <w:color w:val="000000"/>
          <w:sz w:val="28"/>
        </w:rPr>
        <w:t>В июне 2026 года опубликовано описание системы единой базы данных гостей, разработанной подрядчиком для сети из десяти ресторанов на стыке Telegram, ReMarked и iiko. Заявлено предоставление официанту или менеджеру краткого досье на гостя с предпочтениями, историей визитов и персональными рекомендациями [16]. Система находится в состоянии альфа-версии, досье с рекомендациями отнесено к следующему этапу работ, алгоритмическая основа не раскрыта. Создана для одной сети и другим ресторанам не предлагается.</w:t>
      </w:r>
    </w:p>
    <w:p>
      <w:pPr>
        <w:spacing w:line="360" w:lineRule="auto" w:before="0" w:after="0"/>
        <w:ind w:firstLine="709" w:left="0" w:right="0"/>
        <w:jc w:val="both"/>
      </w:pPr>
      <w:r>
        <w:rPr>
          <w:rFonts w:ascii="Times New Roman" w:hAnsi="Times New Roman" w:cs="Times New Roman" w:eastAsia="Times New Roman"/>
          <w:b w:val="0"/>
          <w:i w:val="0"/>
          <w:color w:val="000000"/>
          <w:sz w:val="28"/>
        </w:rPr>
        <w:t>За заказчика такая разработка не конкурирует, но показывает, что независимая команда пришла к той же архитектуре – данные системы учёта, дополненные системой бронирования и доставляемые персоналу через мессенджер. Потребность осознана отраслью, технологический порог входа невысок.</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Сопоставление решений</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8" w:name="_Tbl_4_1"/>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8"/>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Сопоставление решений по получателю и моменту получения результата</w:t>
      </w:r>
    </w:p>
    <w:tbl>
      <w:tblPr>
        <w:tblStyle w:val="TableGrid"/>
        <w:tblW w:type="auto" w:w="0"/>
        <w:jc w:val="center"/>
        <w:tblLayout w:type="fixed"/>
        <w:tblLook w:firstColumn="1" w:firstRow="1" w:lastColumn="0" w:lastRow="0" w:noHBand="0" w:noVBand="1" w:val="04A0"/>
      </w:tblPr>
      <w:tblGrid>
        <w:gridCol w:w="2255"/>
        <w:gridCol w:w="2489"/>
        <w:gridCol w:w="1730"/>
        <w:gridCol w:w="1898"/>
        <w:gridCol w:w="982"/>
      </w:tblGrid>
      <w:tr>
        <w:trPr>
          <w:tblHeader/>
        </w:trPr>
        <w:tc>
          <w:tcPr>
            <w:tcW w:type="dxa" w:w="2255"/>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Решение</w:t>
            </w:r>
          </w:p>
        </w:tc>
        <w:tc>
          <w:tcPr>
            <w:tcW w:type="dxa" w:w="2489"/>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Персональные рекомендации по меню</w:t>
            </w:r>
          </w:p>
        </w:tc>
        <w:tc>
          <w:tcPr>
            <w:tcW w:type="dxa" w:w="1730"/>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Получатель</w:t>
            </w:r>
          </w:p>
        </w:tc>
        <w:tc>
          <w:tcPr>
            <w:tcW w:type="dxa" w:w="1898"/>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Момент</w:t>
            </w:r>
          </w:p>
        </w:tc>
        <w:tc>
          <w:tcPr>
            <w:tcW w:type="dxa" w:w="982"/>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Продукт</w:t>
            </w:r>
          </w:p>
        </w:tc>
      </w:tr>
      <w:tr>
        <w:tc>
          <w:tcPr>
            <w:tcW w:type="dxa" w:w="225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Plazius</w:t>
            </w:r>
          </w:p>
        </w:tc>
        <w:tc>
          <w:tcPr>
            <w:tcW w:type="dxa" w:w="248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да, машинное обучение</w:t>
            </w:r>
          </w:p>
        </w:tc>
        <w:tc>
          <w:tcPr>
            <w:tcW w:type="dxa" w:w="173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гость</w:t>
            </w:r>
          </w:p>
        </w:tc>
        <w:tc>
          <w:tcPr>
            <w:tcW w:type="dxa" w:w="189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до визита, при оплате</w:t>
            </w:r>
          </w:p>
        </w:tc>
        <w:tc>
          <w:tcPr>
            <w:tcW w:type="dxa" w:w="98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да</w:t>
            </w:r>
          </w:p>
        </w:tc>
      </w:tr>
      <w:tr>
        <w:tc>
          <w:tcPr>
            <w:tcW w:type="dxa" w:w="225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«Фабрика лояльности», Loymax</w:t>
            </w:r>
          </w:p>
        </w:tc>
        <w:tc>
          <w:tcPr>
            <w:tcW w:type="dxa" w:w="248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да, маркетинговые кампании</w:t>
            </w:r>
          </w:p>
        </w:tc>
        <w:tc>
          <w:tcPr>
            <w:tcW w:type="dxa" w:w="173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гость</w:t>
            </w:r>
          </w:p>
        </w:tc>
        <w:tc>
          <w:tcPr>
            <w:tcW w:type="dxa" w:w="189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вне обслуживания</w:t>
            </w:r>
          </w:p>
        </w:tc>
        <w:tc>
          <w:tcPr>
            <w:tcW w:type="dxa" w:w="98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да</w:t>
            </w:r>
          </w:p>
        </w:tc>
      </w:tr>
      <w:tr>
        <w:tc>
          <w:tcPr>
            <w:tcW w:type="dxa" w:w="225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ReMarked</w:t>
            </w:r>
          </w:p>
        </w:tc>
        <w:tc>
          <w:tcPr>
            <w:tcW w:type="dxa" w:w="248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нет, профиль без обработки</w:t>
            </w:r>
          </w:p>
        </w:tc>
        <w:tc>
          <w:tcPr>
            <w:tcW w:type="dxa" w:w="173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хостес, менеджер</w:t>
            </w:r>
          </w:p>
        </w:tc>
        <w:tc>
          <w:tcPr>
            <w:tcW w:type="dxa" w:w="189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приём брони, встреча</w:t>
            </w:r>
          </w:p>
        </w:tc>
        <w:tc>
          <w:tcPr>
            <w:tcW w:type="dxa" w:w="98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да</w:t>
            </w:r>
          </w:p>
        </w:tc>
      </w:tr>
      <w:tr>
        <w:tc>
          <w:tcPr>
            <w:tcW w:type="dxa" w:w="225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Restik</w:t>
            </w:r>
          </w:p>
        </w:tc>
        <w:tc>
          <w:tcPr>
            <w:tcW w:type="dxa" w:w="248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нет, ИИ для бэк-офиса</w:t>
            </w:r>
          </w:p>
        </w:tc>
        <w:tc>
          <w:tcPr>
            <w:tcW w:type="dxa" w:w="173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управляющий</w:t>
            </w:r>
          </w:p>
        </w:tc>
        <w:tc>
          <w:tcPr>
            <w:tcW w:type="dxa" w:w="189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отчётный период</w:t>
            </w:r>
          </w:p>
        </w:tc>
        <w:tc>
          <w:tcPr>
            <w:tcW w:type="dxa" w:w="98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да</w:t>
            </w:r>
          </w:p>
        </w:tc>
      </w:tr>
      <w:tr>
        <w:tc>
          <w:tcPr>
            <w:tcW w:type="dxa" w:w="225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Обучение персонала</w:t>
            </w:r>
          </w:p>
        </w:tc>
        <w:tc>
          <w:tcPr>
            <w:tcW w:type="dxa" w:w="248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нет, память официанта</w:t>
            </w:r>
          </w:p>
        </w:tc>
        <w:tc>
          <w:tcPr>
            <w:tcW w:type="dxa" w:w="173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официант</w:t>
            </w:r>
          </w:p>
        </w:tc>
        <w:tc>
          <w:tcPr>
            <w:tcW w:type="dxa" w:w="189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обслуживание</w:t>
            </w:r>
          </w:p>
        </w:tc>
        <w:tc>
          <w:tcPr>
            <w:tcW w:type="dxa" w:w="98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нет</w:t>
            </w:r>
          </w:p>
        </w:tc>
      </w:tr>
      <w:tr>
        <w:tc>
          <w:tcPr>
            <w:tcW w:type="dxa" w:w="225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FusionPOS</w:t>
            </w:r>
          </w:p>
        </w:tc>
        <w:tc>
          <w:tcPr>
            <w:tcW w:type="dxa" w:w="248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нет, правила к позиции заказа</w:t>
            </w:r>
          </w:p>
        </w:tc>
        <w:tc>
          <w:tcPr>
            <w:tcW w:type="dxa" w:w="173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официант</w:t>
            </w:r>
          </w:p>
        </w:tc>
        <w:tc>
          <w:tcPr>
            <w:tcW w:type="dxa" w:w="189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обслуживание</w:t>
            </w:r>
          </w:p>
        </w:tc>
        <w:tc>
          <w:tcPr>
            <w:tcW w:type="dxa" w:w="98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да</w:t>
            </w:r>
          </w:p>
        </w:tc>
      </w:tr>
      <w:tr>
        <w:tc>
          <w:tcPr>
            <w:tcW w:type="dxa" w:w="225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iikoWaiter, YUMA</w:t>
            </w:r>
          </w:p>
        </w:tc>
        <w:tc>
          <w:tcPr>
            <w:tcW w:type="dxa" w:w="248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нет</w:t>
            </w:r>
          </w:p>
        </w:tc>
        <w:tc>
          <w:tcPr>
            <w:tcW w:type="dxa" w:w="173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официант</w:t>
            </w:r>
          </w:p>
        </w:tc>
        <w:tc>
          <w:tcPr>
            <w:tcW w:type="dxa" w:w="189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обслуживание</w:t>
            </w:r>
          </w:p>
        </w:tc>
        <w:tc>
          <w:tcPr>
            <w:tcW w:type="dxa" w:w="98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да</w:t>
            </w:r>
          </w:p>
        </w:tc>
      </w:tr>
      <w:tr>
        <w:tc>
          <w:tcPr>
            <w:tcW w:type="dxa" w:w="225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food2mood</w:t>
            </w:r>
          </w:p>
        </w:tc>
        <w:tc>
          <w:tcPr>
            <w:tcW w:type="dxa" w:w="248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да, по анкете и настроению</w:t>
            </w:r>
          </w:p>
        </w:tc>
        <w:tc>
          <w:tcPr>
            <w:tcW w:type="dxa" w:w="173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гость</w:t>
            </w:r>
          </w:p>
        </w:tc>
        <w:tc>
          <w:tcPr>
            <w:tcW w:type="dxa" w:w="189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обслуживание</w:t>
            </w:r>
          </w:p>
        </w:tc>
        <w:tc>
          <w:tcPr>
            <w:tcW w:type="dxa" w:w="98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да</w:t>
            </w:r>
          </w:p>
        </w:tc>
      </w:tr>
      <w:tr>
        <w:tc>
          <w:tcPr>
            <w:tcW w:type="dxa" w:w="225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Разработка для сети (2026)</w:t>
            </w:r>
          </w:p>
        </w:tc>
        <w:tc>
          <w:tcPr>
            <w:tcW w:type="dxa" w:w="248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заявлены, этап не завершён</w:t>
            </w:r>
          </w:p>
        </w:tc>
        <w:tc>
          <w:tcPr>
            <w:tcW w:type="dxa" w:w="173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официант, менеджер</w:t>
            </w:r>
          </w:p>
        </w:tc>
        <w:tc>
          <w:tcPr>
            <w:tcW w:type="dxa" w:w="189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обслуживание</w:t>
            </w:r>
          </w:p>
        </w:tc>
        <w:tc>
          <w:tcPr>
            <w:tcW w:type="dxa" w:w="98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нет</w:t>
            </w:r>
          </w:p>
        </w:tc>
      </w:tr>
      <w:tr>
        <w:tc>
          <w:tcPr>
            <w:tcW w:type="dxa" w:w="2255"/>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Boostaurant</w:t>
            </w:r>
          </w:p>
        </w:tc>
        <w:tc>
          <w:tcPr>
            <w:tcW w:type="dxa" w:w="2489"/>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да, по истории заказов</w:t>
            </w:r>
          </w:p>
        </w:tc>
        <w:tc>
          <w:tcPr>
            <w:tcW w:type="dxa" w:w="1730"/>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официант</w:t>
            </w:r>
          </w:p>
        </w:tc>
        <w:tc>
          <w:tcPr>
            <w:tcW w:type="dxa" w:w="1898"/>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обслуживание</w:t>
            </w:r>
          </w:p>
        </w:tc>
        <w:tc>
          <w:tcPr>
            <w:tcW w:type="dxa" w:w="982"/>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да</w:t>
            </w:r>
          </w:p>
        </w:tc>
      </w:tr>
    </w:tbl>
    <w:p>
      <w:pPr>
        <w:spacing w:line="360" w:lineRule="auto" w:before="0" w:after="120"/>
        <w:ind w:firstLine="0" w:left="0" w:right="0"/>
        <w:jc w:val="both"/>
      </w:pPr>
    </w:p>
    <w:p>
      <w:pPr>
        <w:keepNext/>
        <w:spacing w:line="360" w:lineRule="auto" w:before="0" w:after="0"/>
        <w:ind w:firstLine="709" w:left="0" w:right="0"/>
        <w:jc w:val="both"/>
      </w:pPr>
      <w:r>
        <w:rPr>
          <w:rFonts w:ascii="Times New Roman" w:hAnsi="Times New Roman" w:cs="Times New Roman" w:eastAsia="Times New Roman"/>
          <w:b/>
          <w:i w:val="0"/>
          <w:color w:val="000000"/>
          <w:sz w:val="28"/>
        </w:rPr>
        <w:t>Выводы</w:t>
      </w:r>
    </w:p>
    <w:p>
      <w:pPr>
        <w:spacing w:line="360" w:lineRule="auto" w:before="0" w:after="0"/>
        <w:ind w:firstLine="709" w:left="0" w:right="0"/>
        <w:jc w:val="both"/>
      </w:pPr>
      <w:r>
        <w:rPr>
          <w:rFonts w:ascii="Times New Roman" w:hAnsi="Times New Roman" w:cs="Times New Roman" w:eastAsia="Times New Roman"/>
          <w:b w:val="0"/>
          <w:i w:val="0"/>
          <w:color w:val="000000"/>
          <w:sz w:val="28"/>
        </w:rPr>
        <w:t>Задачу роста выручки с гостя решает значительное число поставщиков, и рынок персонализации в общественном питании нельзя считать свободным. Плотнее всего занята работа с гостем вне ресторана: платформы лояльности применяют машинное обучение на тех же данных, что использует проект, и опережают его по накопленной клиентской базе.</w:t>
      </w:r>
    </w:p>
    <w:p>
      <w:pPr>
        <w:spacing w:line="360" w:lineRule="auto" w:before="0" w:after="0"/>
        <w:ind w:firstLine="709" w:left="0" w:right="0"/>
        <w:jc w:val="both"/>
      </w:pPr>
      <w:r>
        <w:rPr>
          <w:rFonts w:ascii="Times New Roman" w:hAnsi="Times New Roman" w:cs="Times New Roman" w:eastAsia="Times New Roman"/>
          <w:b w:val="0"/>
          <w:i w:val="0"/>
          <w:color w:val="000000"/>
          <w:sz w:val="28"/>
        </w:rPr>
        <w:t>Незанятой остаётся точка контакта официанта с гостем. Из решений, доставляющих результат официанту в момент обслуживания, ни одно не персонализирует предложение по истории заказов: подсказки приложений привязаны к позиции в заказе, память официанта ограничена его стажем в заведении. Из решений, персонализирующих предложение, ни одно не адресует результат официанту. Этим определяется дифференциация проекта и содержание аргументации при продаже: ресторану с уже подключённой платформой лояльности продукт предлагается не взамен, а как дополнение в той точке, где платформа не работает.</w:t>
      </w:r>
    </w:p>
    <w:p>
      <w:pPr>
        <w:spacing w:line="360" w:lineRule="auto" w:before="0" w:after="0"/>
        <w:ind w:firstLine="709" w:left="0" w:right="0"/>
        <w:jc w:val="both"/>
      </w:pPr>
      <w:r>
        <w:rPr>
          <w:rFonts w:ascii="Times New Roman" w:hAnsi="Times New Roman" w:cs="Times New Roman" w:eastAsia="Times New Roman"/>
          <w:b w:val="0"/>
          <w:i w:val="0"/>
          <w:color w:val="000000"/>
          <w:sz w:val="28"/>
        </w:rPr>
        <w:t>Наиболее вероятный источник будущей конкуренции – поставщики платформ лояльности. Располагая данными ресторанов и обученными моделями, они способны добавить интерфейс для персонала зала, не разрабатывая рекомендательное ядро заново. Устойчивость положения проекта будет определяться не первенством, а результатами пилотных внедрений и издержками переключения: ресторан с обученной на его данных моделью переходит к другому поставщику неохотно. Риск и меры его нивелирования рассмотрены в разделе «Анализ рисков».</w:t>
      </w:r>
    </w:p>
    <w:p>
      <w:pPr>
        <w:pStyle w:val="Heading2"/>
        <w:keepNext/>
        <w:spacing w:line="360" w:lineRule="auto" w:before="0" w:after="0"/>
        <w:ind w:firstLine="709" w:left="0" w:right="0"/>
        <w:jc w:val="both"/>
      </w:pPr>
      <w:r>
        <w:rPr>
          <w:rFonts w:ascii="Times New Roman" w:hAnsi="Times New Roman" w:cs="Times New Roman" w:eastAsia="Times New Roman"/>
          <w:b/>
          <w:i w:val="0"/>
          <w:color w:val="000000"/>
          <w:sz w:val="28"/>
        </w:rPr>
        <w:t>4.2 Анализ потребителей</w:t>
      </w:r>
    </w:p>
    <w:p>
      <w:pPr>
        <w:spacing w:line="360" w:lineRule="auto" w:before="0" w:after="0"/>
        <w:ind w:firstLine="709" w:left="0" w:right="0"/>
        <w:jc w:val="both"/>
      </w:pPr>
      <w:r>
        <w:rPr>
          <w:rFonts w:ascii="Times New Roman" w:hAnsi="Times New Roman" w:cs="Times New Roman" w:eastAsia="Times New Roman"/>
          <w:b w:val="0"/>
          <w:i w:val="0"/>
          <w:color w:val="000000"/>
          <w:sz w:val="28"/>
        </w:rPr>
        <w:t>Потребитель продукта – предприятие общественного питания. Решение о покупке принимает владелец или управляющий, пользуется продуктом официант, результат получает гость. Настоящий раздел определяет признаки заведения, при которых продукт применим и экономически оправдан, и оценивает численность соответствующих групп.</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Критерии отбора</w:t>
      </w:r>
    </w:p>
    <w:p>
      <w:pPr>
        <w:spacing w:line="360" w:lineRule="auto" w:before="0" w:after="0"/>
        <w:ind w:firstLine="709" w:left="0" w:right="0"/>
        <w:jc w:val="both"/>
      </w:pPr>
      <w:r>
        <w:rPr>
          <w:rFonts w:ascii="Times New Roman" w:hAnsi="Times New Roman" w:cs="Times New Roman" w:eastAsia="Times New Roman"/>
          <w:b w:val="0"/>
          <w:i w:val="0"/>
          <w:color w:val="000000"/>
          <w:sz w:val="28"/>
        </w:rPr>
        <w:t>Пригодность заведения определяется четырьмя условиями. Первые три задают возможность работы продукта, четвёртое – целесообразность покупки.</w:t>
      </w:r>
    </w:p>
    <w:p>
      <w:pPr>
        <w:spacing w:line="360" w:lineRule="auto" w:before="0" w:after="0"/>
        <w:ind w:firstLine="709" w:left="0" w:right="0"/>
        <w:jc w:val="both"/>
      </w:pPr>
      <w:r>
        <w:rPr>
          <w:rFonts w:ascii="Times New Roman" w:hAnsi="Times New Roman" w:cs="Times New Roman" w:eastAsia="Times New Roman"/>
          <w:b/>
          <w:i w:val="0"/>
          <w:color w:val="000000"/>
          <w:sz w:val="28"/>
        </w:rPr>
        <w:t>Формат обслуживания.</w:t>
      </w:r>
      <w:r>
        <w:rPr>
          <w:rFonts w:ascii="Times New Roman" w:hAnsi="Times New Roman" w:cs="Times New Roman" w:eastAsia="Times New Roman"/>
          <w:b w:val="0"/>
          <w:i w:val="0"/>
          <w:color w:val="000000"/>
          <w:sz w:val="28"/>
        </w:rPr>
        <w:t xml:space="preserve"> Требуется полное обслуживание: посадка и приём заказа официантом. Продукт адресован официанту в момент выбора гостем блюд; при отсутствии такого момента – в быстром питании, кофейнях формата grab &amp; go, столовых – он неприменим.</w:t>
      </w:r>
    </w:p>
    <w:p>
      <w:pPr>
        <w:spacing w:line="360" w:lineRule="auto" w:before="0" w:after="0"/>
        <w:ind w:firstLine="709" w:left="0" w:right="0"/>
        <w:jc w:val="both"/>
      </w:pPr>
      <w:r>
        <w:rPr>
          <w:rFonts w:ascii="Times New Roman" w:hAnsi="Times New Roman" w:cs="Times New Roman" w:eastAsia="Times New Roman"/>
          <w:b/>
          <w:i w:val="0"/>
          <w:color w:val="000000"/>
          <w:sz w:val="28"/>
        </w:rPr>
        <w:t>Система учёта.</w:t>
      </w:r>
      <w:r>
        <w:rPr>
          <w:rFonts w:ascii="Times New Roman" w:hAnsi="Times New Roman" w:cs="Times New Roman" w:eastAsia="Times New Roman"/>
          <w:b w:val="0"/>
          <w:i w:val="0"/>
          <w:color w:val="000000"/>
          <w:sz w:val="28"/>
        </w:rPr>
        <w:t xml:space="preserve"> Требуется iiko или r_keeper с доступом к программному интерфейсу. Источником данных для обучения модели служит история заказов из системы учёта; без неё платформа не работает.</w:t>
      </w:r>
    </w:p>
    <w:p>
      <w:pPr>
        <w:spacing w:line="360" w:lineRule="auto" w:before="0" w:after="0"/>
        <w:ind w:firstLine="709" w:left="0" w:right="0"/>
        <w:jc w:val="both"/>
      </w:pPr>
      <w:r>
        <w:rPr>
          <w:rFonts w:ascii="Times New Roman" w:hAnsi="Times New Roman" w:cs="Times New Roman" w:eastAsia="Times New Roman"/>
          <w:b/>
          <w:i w:val="0"/>
          <w:color w:val="000000"/>
          <w:sz w:val="28"/>
        </w:rPr>
        <w:t>Объём накопленных данных.</w:t>
      </w:r>
      <w:r>
        <w:rPr>
          <w:rFonts w:ascii="Times New Roman" w:hAnsi="Times New Roman" w:cs="Times New Roman" w:eastAsia="Times New Roman"/>
          <w:b w:val="0"/>
          <w:i w:val="0"/>
          <w:color w:val="000000"/>
          <w:sz w:val="28"/>
        </w:rPr>
        <w:t xml:space="preserve"> Требуется база от 500 постоянных гостей или от 1 000 заказов в месяц. Критерий имеет техническую природу: он определяется объёмом обучающей выборки, необходимым для построения рекомендаций, и обоснован результатами проверки моделей. При меньшем объёме данных система работает в режиме рекомендаций по популярности, не создавая ценности относительно имеющихся у ресторана средств.</w:t>
      </w:r>
    </w:p>
    <w:p>
      <w:pPr>
        <w:spacing w:line="360" w:lineRule="auto" w:before="0" w:after="0"/>
        <w:ind w:firstLine="709" w:left="0" w:right="0"/>
        <w:jc w:val="both"/>
      </w:pPr>
      <w:r>
        <w:rPr>
          <w:rFonts w:ascii="Times New Roman" w:hAnsi="Times New Roman" w:cs="Times New Roman" w:eastAsia="Times New Roman"/>
          <w:b/>
          <w:i w:val="0"/>
          <w:color w:val="000000"/>
          <w:sz w:val="28"/>
        </w:rPr>
        <w:t>Экономическая целесообразность.</w:t>
      </w:r>
      <w:r>
        <w:rPr>
          <w:rFonts w:ascii="Times New Roman" w:hAnsi="Times New Roman" w:cs="Times New Roman" w:eastAsia="Times New Roman"/>
          <w:b w:val="0"/>
          <w:i w:val="0"/>
          <w:color w:val="000000"/>
          <w:sz w:val="28"/>
        </w:rPr>
        <w:t xml:space="preserve"> Подписка окупается не приростом выручки, а приростом маржинального дохода: дополнительный заказ приносит заведению разность между ценой и себестоимостью блюд. При фудкосте 20–30 %, составляющем норму для ресторана полного обслуживания в среднем ценовом сегменте [17], маржинальный доход принят равным 70 % выручки. Прочие расходы заведения – аренда, оплата труда, коммунальные платежи – от дополнительного заказа не возрастают.</w:t>
      </w:r>
    </w:p>
    <w:p>
      <w:pPr>
        <w:spacing w:line="360" w:lineRule="auto" w:before="0" w:after="0"/>
        <w:ind w:firstLine="709" w:left="0" w:right="0"/>
        <w:jc w:val="both"/>
      </w:pPr>
      <w:r>
        <w:rPr>
          <w:rFonts w:ascii="Times New Roman" w:hAnsi="Times New Roman" w:cs="Times New Roman" w:eastAsia="Times New Roman"/>
          <w:b w:val="0"/>
          <w:i w:val="0"/>
          <w:color w:val="000000"/>
          <w:sz w:val="28"/>
        </w:rPr>
        <w:t>При среднем чеке ресторанов и баров 2 710 рублей [18] и подписке 10 000 рублей в месяц окупаемость достигается приростом 5,3 чека в месяц, то есть примерно одного дополнительного гостя в неделю. Требуемый прирост выручки – 14,3 тыс. рублей, или 0,53 % оборота заведения с 1 000 заказов в месяц.</w:t>
      </w:r>
    </w:p>
    <w:p>
      <w:pPr>
        <w:spacing w:line="360" w:lineRule="auto" w:before="0" w:after="0"/>
        <w:ind w:firstLine="709" w:left="0" w:right="0"/>
        <w:jc w:val="both"/>
      </w:pPr>
      <w:r>
        <w:rPr>
          <w:rFonts w:ascii="Times New Roman" w:hAnsi="Times New Roman" w:cs="Times New Roman" w:eastAsia="Times New Roman"/>
          <w:b w:val="0"/>
          <w:i w:val="0"/>
          <w:color w:val="000000"/>
          <w:sz w:val="28"/>
        </w:rPr>
        <w:t>Отдельным условием со стороны заказчика выступает трудоёмкость внедрения: ресторан не располагает ИТ-персоналом, поэтому подключение не должно затрагивать работу зала. Установка программ на кассы и изменение настроек системы учёта не требуются, от заказчика необходим только доступ к программному интерфейсу.</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Сегменты заведений</w:t>
      </w:r>
    </w:p>
    <w:p>
      <w:pPr>
        <w:spacing w:line="360" w:lineRule="auto" w:before="0" w:after="0"/>
        <w:ind w:firstLine="709" w:left="0" w:right="0"/>
        <w:jc w:val="both"/>
      </w:pPr>
      <w:r>
        <w:rPr>
          <w:rFonts w:ascii="Times New Roman" w:hAnsi="Times New Roman" w:cs="Times New Roman" w:eastAsia="Times New Roman"/>
          <w:b w:val="0"/>
          <w:i w:val="0"/>
          <w:color w:val="000000"/>
          <w:sz w:val="28"/>
        </w:rPr>
        <w:t>По сочетанию перечисленных условий выделяются три группы.</w:t>
      </w:r>
    </w:p>
    <w:p>
      <w:pPr>
        <w:spacing w:line="360" w:lineRule="auto" w:before="0" w:after="0"/>
        <w:ind w:firstLine="709" w:left="0" w:right="0"/>
        <w:jc w:val="both"/>
      </w:pPr>
      <w:r>
        <w:rPr>
          <w:rFonts w:ascii="Times New Roman" w:hAnsi="Times New Roman" w:cs="Times New Roman" w:eastAsia="Times New Roman"/>
          <w:b/>
          <w:i w:val="0"/>
          <w:color w:val="000000"/>
          <w:sz w:val="28"/>
        </w:rPr>
        <w:t>Целевой сегмент – самостоятельные рестораны и небольшие сети.</w:t>
      </w:r>
      <w:r>
        <w:rPr>
          <w:rFonts w:ascii="Times New Roman" w:hAnsi="Times New Roman" w:cs="Times New Roman" w:eastAsia="Times New Roman"/>
          <w:b w:val="0"/>
          <w:i w:val="0"/>
          <w:color w:val="000000"/>
          <w:sz w:val="28"/>
        </w:rPr>
        <w:t xml:space="preserve"> Заведения полного обслуживания с базой постоянных гостей, работающие на iiko или r_keeper. Располагают достаточным объёмом данных, но не имеют собственных специалистов по обработке данных, поэтому задача персонализации своими силами не решается. Решение о покупке принимается владельцем единолично и в короткий срок, без процедуры согласования. Это основной сегмент для продаж первых двух лет.</w:t>
      </w:r>
    </w:p>
    <w:p>
      <w:pPr>
        <w:spacing w:line="360" w:lineRule="auto" w:before="0" w:after="0"/>
        <w:ind w:firstLine="709" w:left="0" w:right="0"/>
        <w:jc w:val="both"/>
      </w:pPr>
      <w:r>
        <w:rPr>
          <w:rFonts w:ascii="Times New Roman" w:hAnsi="Times New Roman" w:cs="Times New Roman" w:eastAsia="Times New Roman"/>
          <w:b w:val="0"/>
          <w:i w:val="0"/>
          <w:color w:val="000000"/>
          <w:sz w:val="28"/>
        </w:rPr>
        <w:t>Географических ограничений сегмент не имеет: подключение и сопровождение выполняются удалённо (раздел 4.5), поэтому расположение заведения на применимость продукта не влияет. Города-миллионники избраны начальной географией продаж – в них выше плотность заведений и уровень автоматизации, что при единственном продавце сокращает издержки на один заключённый договор. Города с населением свыше 500 тысяч человек отвечают тем же критериям отбора и вовлекаются по мере расширения штата продаж; в расчёте ёмкости рынка (раздел 4.3) они не учтены, вследствие чего оценка является консервативной.</w:t>
      </w:r>
    </w:p>
    <w:p>
      <w:pPr>
        <w:spacing w:line="360" w:lineRule="auto" w:before="0" w:after="0"/>
        <w:ind w:firstLine="709" w:left="0" w:right="0"/>
        <w:jc w:val="both"/>
      </w:pPr>
      <w:r>
        <w:rPr>
          <w:rFonts w:ascii="Times New Roman" w:hAnsi="Times New Roman" w:cs="Times New Roman" w:eastAsia="Times New Roman"/>
          <w:b/>
          <w:i w:val="0"/>
          <w:color w:val="000000"/>
          <w:sz w:val="28"/>
        </w:rPr>
        <w:t>Крупные сети.</w:t>
      </w:r>
      <w:r>
        <w:rPr>
          <w:rFonts w:ascii="Times New Roman" w:hAnsi="Times New Roman" w:cs="Times New Roman" w:eastAsia="Times New Roman"/>
          <w:b w:val="0"/>
          <w:i w:val="0"/>
          <w:color w:val="000000"/>
          <w:sz w:val="28"/>
        </w:rPr>
        <w:t xml:space="preserve"> Располагают данными по десяткам заведений и собственными подразделениями разработки, вследствие чего решают задачу персонализации самостоятельно либо заказывают разработку у подрядчика (см. раздел 4.1). Цикл продажи включает согласование в нескольких подразделениях и пилотную эксплуатацию. Приоритетным сегментом не является.</w:t>
      </w:r>
    </w:p>
    <w:p>
      <w:pPr>
        <w:spacing w:line="360" w:lineRule="auto" w:before="0" w:after="0"/>
        <w:ind w:firstLine="709" w:left="0" w:right="0"/>
        <w:jc w:val="both"/>
      </w:pPr>
      <w:r>
        <w:rPr>
          <w:rFonts w:ascii="Times New Roman" w:hAnsi="Times New Roman" w:cs="Times New Roman" w:eastAsia="Times New Roman"/>
          <w:b/>
          <w:i w:val="0"/>
          <w:color w:val="000000"/>
          <w:sz w:val="28"/>
        </w:rPr>
        <w:t>Заведения вне целевого сегмента.</w:t>
      </w:r>
      <w:r>
        <w:rPr>
          <w:rFonts w:ascii="Times New Roman" w:hAnsi="Times New Roman" w:cs="Times New Roman" w:eastAsia="Times New Roman"/>
          <w:b w:val="0"/>
          <w:i w:val="0"/>
          <w:color w:val="000000"/>
          <w:sz w:val="28"/>
        </w:rPr>
        <w:t xml:space="preserve"> Быстрое питание, кофейни, столовые, бары без посадки – не отвечают требованию к формату обслуживания. Рестораны с базой менее 500 гостей – требованию к объёму данных. Заведения на прочих системах учёта становятся доступны по мере разработки соответствующих интеграций.</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Численность целевого сегмента</w:t>
      </w:r>
    </w:p>
    <w:p>
      <w:pPr>
        <w:spacing w:line="360" w:lineRule="auto" w:before="0" w:after="0"/>
        <w:ind w:firstLine="709" w:left="0" w:right="0"/>
        <w:jc w:val="both"/>
      </w:pPr>
      <w:r>
        <w:rPr>
          <w:rFonts w:ascii="Times New Roman" w:hAnsi="Times New Roman" w:cs="Times New Roman" w:eastAsia="Times New Roman"/>
          <w:b w:val="0"/>
          <w:i w:val="0"/>
          <w:color w:val="000000"/>
          <w:sz w:val="28"/>
        </w:rPr>
        <w:t>По данным 2ГИС, в марте 2026 года в городах-миллионниках России работало 7,2 тысячи ресторанов [19]. Величина принята основанием расчёта ёмкости рынка как поддающаяся проверке по внешнему источнику; заведения городов с населением от 500 тысяч до миллиона человек в неё не входят и оценку увеличивают.</w:t>
      </w:r>
    </w:p>
    <w:p>
      <w:pPr>
        <w:spacing w:line="360" w:lineRule="auto" w:before="0" w:after="0"/>
        <w:ind w:firstLine="709" w:left="0" w:right="0"/>
        <w:jc w:val="both"/>
      </w:pPr>
      <w:r>
        <w:rPr>
          <w:rFonts w:ascii="Times New Roman" w:hAnsi="Times New Roman" w:cs="Times New Roman" w:eastAsia="Times New Roman"/>
          <w:b w:val="0"/>
          <w:i w:val="0"/>
          <w:color w:val="000000"/>
          <w:sz w:val="28"/>
        </w:rPr>
        <w:t>Сегмент сокращается: за год число ресторанов в миллионниках уменьшилось на 5 %, кафе – на 6 %, баров – на 11 % [19]. Причины – падение посещаемости, рост налоговой нагрузки и стоимости заёмного финансирования [19]. Сокращение числа заведений уменьшает размер рынка, но усиливает потребность в продукте у сохранившихся: в условиях падения трафика выручка с каждого пришедшего гостя приобретает определяющее значение (см. раздел 3).</w:t>
      </w:r>
    </w:p>
    <w:p>
      <w:pPr>
        <w:spacing w:line="360" w:lineRule="auto" w:before="0" w:after="0"/>
        <w:ind w:firstLine="709" w:left="0" w:right="0"/>
        <w:jc w:val="both"/>
      </w:pPr>
      <w:r>
        <w:rPr>
          <w:rFonts w:ascii="Times New Roman" w:hAnsi="Times New Roman" w:cs="Times New Roman" w:eastAsia="Times New Roman"/>
          <w:b w:val="0"/>
          <w:i w:val="0"/>
          <w:color w:val="000000"/>
          <w:sz w:val="28"/>
        </w:rPr>
        <w:t>Из 7,2 тысячи ресторанов отсеиваются заведения на прочих системах учёта и заведения с недостаточным объёмом данных. Количественная оценка доли, остающейся после отбора, приведена в разделе 4.3.</w:t>
      </w:r>
    </w:p>
    <w:p>
      <w:pPr>
        <w:pStyle w:val="Heading2"/>
        <w:keepNext/>
        <w:spacing w:line="360" w:lineRule="auto" w:before="0" w:after="0"/>
        <w:ind w:firstLine="709" w:left="0" w:right="0"/>
        <w:jc w:val="both"/>
      </w:pPr>
      <w:r>
        <w:rPr>
          <w:rFonts w:ascii="Times New Roman" w:hAnsi="Times New Roman" w:cs="Times New Roman" w:eastAsia="Times New Roman"/>
          <w:b/>
          <w:i w:val="0"/>
          <w:color w:val="000000"/>
          <w:sz w:val="28"/>
        </w:rPr>
        <w:t>4.3 Расчёт ёмкости рынка</w:t>
      </w:r>
    </w:p>
    <w:p>
      <w:pPr>
        <w:spacing w:line="360" w:lineRule="auto" w:before="0" w:after="0"/>
        <w:ind w:firstLine="709" w:left="0" w:right="0"/>
        <w:jc w:val="both"/>
      </w:pPr>
      <w:r>
        <w:rPr>
          <w:rFonts w:ascii="Times New Roman" w:hAnsi="Times New Roman" w:cs="Times New Roman" w:eastAsia="Times New Roman"/>
          <w:b w:val="0"/>
          <w:i w:val="0"/>
          <w:color w:val="000000"/>
          <w:sz w:val="28"/>
        </w:rPr>
        <w:t>Ёмкость рынка рассчитывается в денежном выражении как произведение числа заведений, отвечающих критериям раздела 4.2, на стоимость годовой подписки. Стоимость подписки принята равной 10 000 рублей в месяц за заведение, или 120 000 рублей в год (обоснование цены – раздел 4.6).</w:t>
      </w:r>
    </w:p>
    <w:p>
      <w:pPr>
        <w:spacing w:line="360" w:lineRule="auto" w:before="0" w:after="0"/>
        <w:ind w:firstLine="709" w:left="0" w:right="0"/>
        <w:jc w:val="both"/>
      </w:pPr>
      <w:r>
        <w:rPr>
          <w:rFonts w:ascii="Times New Roman" w:hAnsi="Times New Roman" w:cs="Times New Roman" w:eastAsia="Times New Roman"/>
          <w:b w:val="0"/>
          <w:i w:val="0"/>
          <w:color w:val="000000"/>
          <w:sz w:val="28"/>
        </w:rPr>
        <w:t>Расчёт выполнен по трём уровням: TAM – предельный объём при полном охвате формата, SAM – объём сегмента, доступного при существующих интеграциях, SOM – объём, достижимый силами предприятия в течение трёх лет.</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Общий объём рынка (TAM)</w:t>
      </w:r>
    </w:p>
    <w:p>
      <w:pPr>
        <w:spacing w:line="360" w:lineRule="auto" w:before="0" w:after="0"/>
        <w:ind w:firstLine="709" w:left="0" w:right="0"/>
        <w:jc w:val="both"/>
      </w:pPr>
      <w:r>
        <w:rPr>
          <w:rFonts w:ascii="Times New Roman" w:hAnsi="Times New Roman" w:cs="Times New Roman" w:eastAsia="Times New Roman"/>
          <w:b w:val="0"/>
          <w:i w:val="0"/>
          <w:color w:val="000000"/>
          <w:sz w:val="28"/>
        </w:rPr>
        <w:t>Верхнюю границу задаёт число ресторанов полного обслуживания в России – около 68 тысяч заведений по данным INFOLine за 2025 год (раздел 3):</w:t>
      </w:r>
    </w:p>
    <w:p>
      <w:pPr>
        <w:spacing w:line="360" w:lineRule="auto" w:before="0" w:after="0"/>
        <w:ind w:firstLine="709" w:left="0" w:right="0"/>
        <w:jc w:val="both"/>
      </w:pPr>
      <w:r>
        <w:rPr>
          <w:rFonts w:ascii="Times New Roman" w:hAnsi="Times New Roman" w:cs="Times New Roman" w:eastAsia="Times New Roman"/>
          <w:b/>
          <w:i w:val="0"/>
          <w:color w:val="000000"/>
          <w:sz w:val="28"/>
        </w:rPr>
        <w:t>TAM = 68 000 × 120 000 = 8,16 млрд рублей в год.</w:t>
      </w:r>
    </w:p>
    <w:p>
      <w:pPr>
        <w:spacing w:line="360" w:lineRule="auto" w:before="0" w:after="0"/>
        <w:ind w:firstLine="709" w:left="0" w:right="0"/>
        <w:jc w:val="both"/>
      </w:pPr>
      <w:r>
        <w:rPr>
          <w:rFonts w:ascii="Times New Roman" w:hAnsi="Times New Roman" w:cs="Times New Roman" w:eastAsia="Times New Roman"/>
          <w:b w:val="0"/>
          <w:i w:val="0"/>
          <w:color w:val="000000"/>
          <w:sz w:val="28"/>
        </w:rPr>
        <w:t>Величина носит справочный характер. Она предполагает, что подписку приобретают все заведения формата независимо от системы учёта, объёма клиентской базы и местоположения, что недостижимо ни при каком развитии проекта.</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Доступный объём рынка (SAM)</w:t>
      </w:r>
    </w:p>
    <w:p>
      <w:pPr>
        <w:spacing w:line="360" w:lineRule="auto" w:before="0" w:after="0"/>
        <w:ind w:firstLine="709" w:left="0" w:right="0"/>
        <w:jc w:val="both"/>
      </w:pPr>
      <w:r>
        <w:rPr>
          <w:rFonts w:ascii="Times New Roman" w:hAnsi="Times New Roman" w:cs="Times New Roman" w:eastAsia="Times New Roman"/>
          <w:b w:val="0"/>
          <w:i w:val="0"/>
          <w:color w:val="000000"/>
          <w:sz w:val="28"/>
        </w:rPr>
        <w:t>Доступный рынок ограничивается географией, системой учёта и объёмом накопленных данных.</w:t>
      </w:r>
    </w:p>
    <w:p>
      <w:pPr>
        <w:spacing w:line="360" w:lineRule="auto" w:before="0" w:after="0"/>
        <w:ind w:firstLine="709" w:left="0" w:right="0"/>
        <w:jc w:val="both"/>
      </w:pPr>
      <w:r>
        <w:rPr>
          <w:rFonts w:ascii="Times New Roman" w:hAnsi="Times New Roman" w:cs="Times New Roman" w:eastAsia="Times New Roman"/>
          <w:b/>
          <w:i w:val="0"/>
          <w:color w:val="000000"/>
          <w:sz w:val="28"/>
        </w:rPr>
        <w:t>География.</w:t>
      </w:r>
      <w:r>
        <w:rPr>
          <w:rFonts w:ascii="Times New Roman" w:hAnsi="Times New Roman" w:cs="Times New Roman" w:eastAsia="Times New Roman"/>
          <w:b w:val="0"/>
          <w:i w:val="0"/>
          <w:color w:val="000000"/>
          <w:sz w:val="28"/>
        </w:rPr>
        <w:t xml:space="preserve"> По данным 2ГИС, в марте 2026 года в городах-миллионниках работало 7,2 тысячи ресторанов [20]. Ограничение города-миллионника принято по разделу 4.2: в таких городах сосредоточены заведения с достаточной клиентской базой, а уровень автоматизации выше, чем в среднем по стране.</w:t>
      </w:r>
    </w:p>
    <w:p>
      <w:pPr>
        <w:spacing w:line="360" w:lineRule="auto" w:before="0" w:after="0"/>
        <w:ind w:firstLine="709" w:left="0" w:right="0"/>
        <w:jc w:val="both"/>
      </w:pPr>
      <w:r>
        <w:rPr>
          <w:rFonts w:ascii="Times New Roman" w:hAnsi="Times New Roman" w:cs="Times New Roman" w:eastAsia="Times New Roman"/>
          <w:b/>
          <w:i w:val="0"/>
          <w:color w:val="000000"/>
          <w:sz w:val="28"/>
        </w:rPr>
        <w:t>Система учёта.</w:t>
      </w:r>
      <w:r>
        <w:rPr>
          <w:rFonts w:ascii="Times New Roman" w:hAnsi="Times New Roman" w:cs="Times New Roman" w:eastAsia="Times New Roman"/>
          <w:b w:val="0"/>
          <w:i w:val="0"/>
          <w:color w:val="000000"/>
          <w:sz w:val="28"/>
        </w:rPr>
        <w:t xml:space="preserve"> Требуется iiko или r_keeper. Обе системы – лидеры российского рынка автоматизации общественного питания (раздел 3), однако публичных данных об их совокупной доле именно в сегменте ресторанов полного обслуживания в городах-миллионниках в открытых источниках не обнаружено. Доля принята равной 70 % как расчётное допущение; её проверка отнесена к результатам продаж.</w:t>
      </w:r>
    </w:p>
    <w:p>
      <w:pPr>
        <w:spacing w:line="360" w:lineRule="auto" w:before="0" w:after="0"/>
        <w:ind w:firstLine="709" w:left="0" w:right="0"/>
        <w:jc w:val="both"/>
      </w:pPr>
      <w:r>
        <w:rPr>
          <w:rFonts w:ascii="Times New Roman" w:hAnsi="Times New Roman" w:cs="Times New Roman" w:eastAsia="Times New Roman"/>
          <w:b/>
          <w:i w:val="0"/>
          <w:color w:val="000000"/>
          <w:sz w:val="28"/>
        </w:rPr>
        <w:t>Объём данных.</w:t>
      </w:r>
      <w:r>
        <w:rPr>
          <w:rFonts w:ascii="Times New Roman" w:hAnsi="Times New Roman" w:cs="Times New Roman" w:eastAsia="Times New Roman"/>
          <w:b w:val="0"/>
          <w:i w:val="0"/>
          <w:color w:val="000000"/>
          <w:sz w:val="28"/>
        </w:rPr>
        <w:t xml:space="preserve"> Требуется база от 500 постоянных гостей или от 1 000 заказов в месяц. Доля заведений, отвечающих условию, принята равной 60 %: критерий соответствует примерно 33 заказам в сутки, что для ресторана полного обслуживания в городе-миллионнике является умеренной загрузкой, однако часть заведений сегмента работает ниже этого уровня. Величина также является допущением.</w:t>
      </w:r>
    </w:p>
    <w:p>
      <w:pPr>
        <w:spacing w:line="360" w:lineRule="auto" w:before="0" w:after="0"/>
        <w:ind w:firstLine="709" w:left="0" w:right="0"/>
        <w:jc w:val="both"/>
      </w:pPr>
      <w:r>
        <w:rPr>
          <w:rFonts w:ascii="Times New Roman" w:hAnsi="Times New Roman" w:cs="Times New Roman" w:eastAsia="Times New Roman"/>
          <w:b w:val="0"/>
          <w:i w:val="0"/>
          <w:color w:val="000000"/>
          <w:sz w:val="28"/>
        </w:rPr>
        <w:t>Расчёт:</w:t>
      </w:r>
    </w:p>
    <w:p>
      <w:pPr>
        <w:spacing w:line="360" w:lineRule="auto" w:before="0" w:after="0"/>
        <w:ind w:firstLine="709" w:left="0" w:right="0"/>
        <w:jc w:val="both"/>
      </w:pPr>
      <w:r>
        <w:rPr>
          <w:rFonts w:ascii="Times New Roman" w:hAnsi="Times New Roman" w:cs="Times New Roman" w:eastAsia="Times New Roman"/>
          <w:b/>
          <w:i w:val="0"/>
          <w:color w:val="000000"/>
          <w:sz w:val="28"/>
        </w:rPr>
        <w:t>SAM = 7 200 × 0,70 × 0,60 × 120 000 = 363 млн рублей в год</w:t>
      </w:r>
      <w:r>
        <w:rPr>
          <w:rFonts w:ascii="Times New Roman" w:hAnsi="Times New Roman" w:cs="Times New Roman" w:eastAsia="Times New Roman"/>
          <w:b w:val="0"/>
          <w:i w:val="0"/>
          <w:color w:val="000000"/>
          <w:sz w:val="28"/>
        </w:rPr>
        <w:t xml:space="preserve"> (около 3 020 заведений).</w:t>
      </w:r>
    </w:p>
    <w:p>
      <w:pPr>
        <w:spacing w:line="360" w:lineRule="auto" w:before="0" w:after="0"/>
        <w:ind w:firstLine="709" w:left="0" w:right="0"/>
        <w:jc w:val="both"/>
      </w:pPr>
      <w:r>
        <w:rPr>
          <w:rFonts w:ascii="Times New Roman" w:hAnsi="Times New Roman" w:cs="Times New Roman" w:eastAsia="Times New Roman"/>
          <w:b w:val="0"/>
          <w:i w:val="0"/>
          <w:color w:val="000000"/>
          <w:sz w:val="28"/>
        </w:rPr>
        <w:t xml:space="preserve">Чувствительность оценки к принятым допущениям приведена в </w:t>
      </w:r>
      <w:r>
        <w:rPr>
          <w:rFonts w:ascii="Times New Roman" w:hAnsi="Times New Roman" w:cs="Times New Roman" w:eastAsia="Times New Roman"/>
          <w:b w:val="0"/>
          <w:i w:val="0"/>
          <w:color w:val="000000"/>
          <w:sz w:val="28"/>
        </w:rPr>
        <w:t xml:space="preserve">таблице </w:t>
      </w:r>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REF _Tbl_6_1 \h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r>
        <w:rPr>
          <w:rFonts w:ascii="Times New Roman" w:hAnsi="Times New Roman" w:cs="Times New Roman" w:eastAsia="Times New Roman"/>
          <w:b w:val="0"/>
          <w:i w:val="0"/>
          <w:color w:val="000000"/>
          <w:sz w:val="28"/>
        </w:rPr>
        <w:t>.</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9" w:name="_Tbl_6_1"/>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9"/>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Зависимость доступного объёма рынка от принятых допущений</w:t>
      </w:r>
    </w:p>
    <w:tbl>
      <w:tblPr>
        <w:tblStyle w:val="TableGrid"/>
        <w:tblW w:type="auto" w:w="0"/>
        <w:jc w:val="center"/>
        <w:tblLayout w:type="fixed"/>
        <w:tblLook w:firstColumn="1" w:firstRow="1" w:lastColumn="0" w:lastRow="0" w:noHBand="0" w:noVBand="1" w:val="04A0"/>
      </w:tblPr>
      <w:tblGrid>
        <w:gridCol w:w="2413"/>
        <w:gridCol w:w="3258"/>
        <w:gridCol w:w="1494"/>
        <w:gridCol w:w="2189"/>
      </w:tblGrid>
      <w:tr>
        <w:trPr>
          <w:tblHeader/>
        </w:trPr>
        <w:tc>
          <w:tcPr>
            <w:tcW w:type="dxa" w:w="2413"/>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Доля iiko и r_keeper</w:t>
            </w:r>
          </w:p>
        </w:tc>
        <w:tc>
          <w:tcPr>
            <w:tcW w:type="dxa" w:w="3258"/>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Доля с достаточным объёмом данных</w:t>
            </w:r>
          </w:p>
        </w:tc>
        <w:tc>
          <w:tcPr>
            <w:tcW w:type="dxa" w:w="1494"/>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Заведений</w:t>
            </w:r>
          </w:p>
        </w:tc>
        <w:tc>
          <w:tcPr>
            <w:tcW w:type="dxa" w:w="2189"/>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SAM, млн руб./год</w:t>
            </w:r>
          </w:p>
        </w:tc>
      </w:tr>
      <w:tr>
        <w:tc>
          <w:tcPr>
            <w:tcW w:type="dxa" w:w="241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60 %</w:t>
            </w:r>
          </w:p>
        </w:tc>
        <w:tc>
          <w:tcPr>
            <w:tcW w:type="dxa" w:w="325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50 %</w:t>
            </w:r>
          </w:p>
        </w:tc>
        <w:tc>
          <w:tcPr>
            <w:tcW w:type="dxa" w:w="149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2 160</w:t>
            </w:r>
          </w:p>
        </w:tc>
        <w:tc>
          <w:tcPr>
            <w:tcW w:type="dxa" w:w="218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259</w:t>
            </w:r>
          </w:p>
        </w:tc>
      </w:tr>
      <w:tr>
        <w:tc>
          <w:tcPr>
            <w:tcW w:type="dxa" w:w="241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60 %</w:t>
            </w:r>
          </w:p>
        </w:tc>
        <w:tc>
          <w:tcPr>
            <w:tcW w:type="dxa" w:w="325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60 %</w:t>
            </w:r>
          </w:p>
        </w:tc>
        <w:tc>
          <w:tcPr>
            <w:tcW w:type="dxa" w:w="149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2 592</w:t>
            </w:r>
          </w:p>
        </w:tc>
        <w:tc>
          <w:tcPr>
            <w:tcW w:type="dxa" w:w="218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311</w:t>
            </w:r>
          </w:p>
        </w:tc>
      </w:tr>
      <w:tr>
        <w:tc>
          <w:tcPr>
            <w:tcW w:type="dxa" w:w="241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70 %</w:t>
            </w:r>
          </w:p>
        </w:tc>
        <w:tc>
          <w:tcPr>
            <w:tcW w:type="dxa" w:w="325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50 %</w:t>
            </w:r>
          </w:p>
        </w:tc>
        <w:tc>
          <w:tcPr>
            <w:tcW w:type="dxa" w:w="149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2 520</w:t>
            </w:r>
          </w:p>
        </w:tc>
        <w:tc>
          <w:tcPr>
            <w:tcW w:type="dxa" w:w="218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302</w:t>
            </w:r>
          </w:p>
        </w:tc>
      </w:tr>
      <w:tr>
        <w:tc>
          <w:tcPr>
            <w:tcW w:type="dxa" w:w="2413"/>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70 %</w:t>
            </w:r>
          </w:p>
        </w:tc>
        <w:tc>
          <w:tcPr>
            <w:tcW w:type="dxa" w:w="3258"/>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60 %</w:t>
            </w:r>
          </w:p>
        </w:tc>
        <w:tc>
          <w:tcPr>
            <w:tcW w:type="dxa" w:w="1494"/>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3 024</w:t>
            </w:r>
          </w:p>
        </w:tc>
        <w:tc>
          <w:tcPr>
            <w:tcW w:type="dxa" w:w="2189"/>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363</w:t>
            </w:r>
          </w:p>
        </w:tc>
      </w:tr>
      <w:tr>
        <w:tc>
          <w:tcPr>
            <w:tcW w:type="dxa" w:w="241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70 %</w:t>
            </w:r>
          </w:p>
        </w:tc>
        <w:tc>
          <w:tcPr>
            <w:tcW w:type="dxa" w:w="325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70 %</w:t>
            </w:r>
          </w:p>
        </w:tc>
        <w:tc>
          <w:tcPr>
            <w:tcW w:type="dxa" w:w="149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3 528</w:t>
            </w:r>
          </w:p>
        </w:tc>
        <w:tc>
          <w:tcPr>
            <w:tcW w:type="dxa" w:w="218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423</w:t>
            </w:r>
          </w:p>
        </w:tc>
      </w:tr>
      <w:tr>
        <w:tc>
          <w:tcPr>
            <w:tcW w:type="dxa" w:w="241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80 %</w:t>
            </w:r>
          </w:p>
        </w:tc>
        <w:tc>
          <w:tcPr>
            <w:tcW w:type="dxa" w:w="325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60 %</w:t>
            </w:r>
          </w:p>
        </w:tc>
        <w:tc>
          <w:tcPr>
            <w:tcW w:type="dxa" w:w="149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3 456</w:t>
            </w:r>
          </w:p>
        </w:tc>
        <w:tc>
          <w:tcPr>
            <w:tcW w:type="dxa" w:w="218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415</w:t>
            </w:r>
          </w:p>
        </w:tc>
      </w:tr>
      <w:tr>
        <w:tc>
          <w:tcPr>
            <w:tcW w:type="dxa" w:w="241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80 %</w:t>
            </w:r>
          </w:p>
        </w:tc>
        <w:tc>
          <w:tcPr>
            <w:tcW w:type="dxa" w:w="325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70 %</w:t>
            </w:r>
          </w:p>
        </w:tc>
        <w:tc>
          <w:tcPr>
            <w:tcW w:type="dxa" w:w="149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4 032</w:t>
            </w:r>
          </w:p>
        </w:tc>
        <w:tc>
          <w:tcPr>
            <w:tcW w:type="dxa" w:w="218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484</w:t>
            </w:r>
          </w:p>
        </w:tc>
      </w:tr>
    </w:tbl>
    <w:p>
      <w:pPr>
        <w:spacing w:line="360" w:lineRule="auto" w:before="0" w:after="12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При изменении обоих допущений в рассмотренных пределах оценка находится в диапазоне 259–484 млн рублей в год. Порядок величины устойчив, и на выводы бизнес-плана выбор конкретного значения внутри диапазона не влияет: планируемый объём продаж третьего года составляет менее 7 % нижней границы.</w:t>
      </w:r>
    </w:p>
    <w:p>
      <w:pPr>
        <w:spacing w:line="360" w:lineRule="auto" w:before="0" w:after="0"/>
        <w:ind w:firstLine="709" w:left="0" w:right="0"/>
        <w:jc w:val="both"/>
      </w:pPr>
      <w:r>
        <w:rPr>
          <w:rFonts w:ascii="Times New Roman" w:hAnsi="Times New Roman" w:cs="Times New Roman" w:eastAsia="Times New Roman"/>
          <w:b w:val="0"/>
          <w:i w:val="0"/>
          <w:color w:val="000000"/>
          <w:sz w:val="28"/>
        </w:rPr>
        <w:t>Доступный рынок сокращается вместе с сегментом: за год число ресторанов в городах-миллионниках уменьшилось на 5 % [20]. При сохранении темпа сокращения SAM уменьшается примерно на 18 млн рублей в год. Одновременно растёт рынок цифровизации HoReCa – на 9–13 % ежегодно по оценке TAdviser (раздел 3), – что для сегмента означает рост расходов на цифровые сервисы в расчёте на одно сохранившееся заведение.</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Достижимый объём рынка (SOM)</w:t>
      </w:r>
    </w:p>
    <w:p>
      <w:pPr>
        <w:spacing w:line="360" w:lineRule="auto" w:before="0" w:after="0"/>
        <w:ind w:firstLine="709" w:left="0" w:right="0"/>
        <w:jc w:val="both"/>
      </w:pPr>
      <w:r>
        <w:rPr>
          <w:rFonts w:ascii="Times New Roman" w:hAnsi="Times New Roman" w:cs="Times New Roman" w:eastAsia="Times New Roman"/>
          <w:b w:val="0"/>
          <w:i w:val="0"/>
          <w:color w:val="000000"/>
          <w:sz w:val="28"/>
        </w:rPr>
        <w:t>Число подключённых заведений ограничено не ёмкостью сегмента, а трудоёмкостью подключения и сопровождения: доля даже в 1 % доступного рынка соответствует 30 заведениям, тогда как каждое из них требует индивидуальной настройки интеграции и обучения модели на его данных.</w:t>
      </w:r>
    </w:p>
    <w:p>
      <w:pPr>
        <w:spacing w:line="360" w:lineRule="auto" w:before="0" w:after="0"/>
        <w:ind w:firstLine="709" w:left="0" w:right="0"/>
        <w:jc w:val="both"/>
      </w:pPr>
      <w:r>
        <w:rPr>
          <w:rFonts w:ascii="Times New Roman" w:hAnsi="Times New Roman" w:cs="Times New Roman" w:eastAsia="Times New Roman"/>
          <w:b w:val="0"/>
          <w:i w:val="0"/>
          <w:color w:val="000000"/>
          <w:sz w:val="28"/>
        </w:rPr>
        <w:t xml:space="preserve">Трудоёмкость принята равной 16 часам на одно подключение (настройка доступа к системе учёта, выгрузка и проверка данных, обучение модели, инструктаж персонала) и 2 часам в месяц на сопровождение одного действующего заказчика. Исходя из этих величин определяется потребность в персонале внедрения, приведённая в </w:t>
      </w:r>
      <w:r>
        <w:rPr>
          <w:rFonts w:ascii="Times New Roman" w:hAnsi="Times New Roman" w:cs="Times New Roman" w:eastAsia="Times New Roman"/>
          <w:b w:val="0"/>
          <w:i w:val="0"/>
          <w:color w:val="000000"/>
          <w:sz w:val="28"/>
        </w:rPr>
        <w:t xml:space="preserve">таблице </w:t>
      </w:r>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REF _Tbl_6_2 \h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r>
        <w:rPr>
          <w:rFonts w:ascii="Times New Roman" w:hAnsi="Times New Roman" w:cs="Times New Roman" w:eastAsia="Times New Roman"/>
          <w:b w:val="0"/>
          <w:i w:val="0"/>
          <w:color w:val="000000"/>
          <w:sz w:val="28"/>
        </w:rPr>
        <w:t>.</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10" w:name="_Tbl_6_2"/>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10"/>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Потребность в персонале внедрения</w:t>
      </w:r>
    </w:p>
    <w:tbl>
      <w:tblPr>
        <w:tblStyle w:val="TableGrid"/>
        <w:tblW w:type="auto" w:w="0"/>
        <w:jc w:val="center"/>
        <w:tblLayout w:type="fixed"/>
        <w:tblLook w:firstColumn="1" w:firstRow="1" w:lastColumn="0" w:lastRow="0" w:noHBand="0" w:noVBand="1" w:val="04A0"/>
      </w:tblPr>
      <w:tblGrid>
        <w:gridCol w:w="901"/>
        <w:gridCol w:w="2619"/>
        <w:gridCol w:w="2023"/>
        <w:gridCol w:w="2540"/>
        <w:gridCol w:w="1272"/>
      </w:tblGrid>
      <w:tr>
        <w:trPr>
          <w:tblHeader/>
        </w:trPr>
        <w:tc>
          <w:tcPr>
            <w:tcW w:type="dxa" w:w="901"/>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Год</w:t>
            </w:r>
          </w:p>
        </w:tc>
        <w:tc>
          <w:tcPr>
            <w:tcW w:type="dxa" w:w="2619"/>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Подключено заведений</w:t>
            </w:r>
          </w:p>
        </w:tc>
        <w:tc>
          <w:tcPr>
            <w:tcW w:type="dxa" w:w="2023"/>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Новых в месяц</w:t>
            </w:r>
          </w:p>
        </w:tc>
        <w:tc>
          <w:tcPr>
            <w:tcW w:type="dxa" w:w="2540"/>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Трудоёмкость, ч/мес</w:t>
            </w:r>
          </w:p>
        </w:tc>
        <w:tc>
          <w:tcPr>
            <w:tcW w:type="dxa" w:w="1272"/>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Ставок</w:t>
            </w:r>
          </w:p>
        </w:tc>
      </w:tr>
      <w:tr>
        <w:tc>
          <w:tcPr>
            <w:tcW w:type="dxa" w:w="90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1-й</w:t>
            </w:r>
          </w:p>
        </w:tc>
        <w:tc>
          <w:tcPr>
            <w:tcW w:type="dxa" w:w="261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30</w:t>
            </w:r>
          </w:p>
        </w:tc>
        <w:tc>
          <w:tcPr>
            <w:tcW w:type="dxa" w:w="202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2,5</w:t>
            </w:r>
          </w:p>
        </w:tc>
        <w:tc>
          <w:tcPr>
            <w:tcW w:type="dxa" w:w="25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100</w:t>
            </w:r>
          </w:p>
        </w:tc>
        <w:tc>
          <w:tcPr>
            <w:tcW w:type="dxa" w:w="127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0,6</w:t>
            </w:r>
          </w:p>
        </w:tc>
      </w:tr>
      <w:tr>
        <w:tc>
          <w:tcPr>
            <w:tcW w:type="dxa" w:w="90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2-й</w:t>
            </w:r>
          </w:p>
        </w:tc>
        <w:tc>
          <w:tcPr>
            <w:tcW w:type="dxa" w:w="261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100</w:t>
            </w:r>
          </w:p>
        </w:tc>
        <w:tc>
          <w:tcPr>
            <w:tcW w:type="dxa" w:w="202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5,8</w:t>
            </w:r>
          </w:p>
        </w:tc>
        <w:tc>
          <w:tcPr>
            <w:tcW w:type="dxa" w:w="25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293</w:t>
            </w:r>
          </w:p>
        </w:tc>
        <w:tc>
          <w:tcPr>
            <w:tcW w:type="dxa" w:w="127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1,8</w:t>
            </w:r>
          </w:p>
        </w:tc>
      </w:tr>
      <w:tr>
        <w:tc>
          <w:tcPr>
            <w:tcW w:type="dxa" w:w="90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3-й</w:t>
            </w:r>
          </w:p>
        </w:tc>
        <w:tc>
          <w:tcPr>
            <w:tcW w:type="dxa" w:w="261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200</w:t>
            </w:r>
          </w:p>
        </w:tc>
        <w:tc>
          <w:tcPr>
            <w:tcW w:type="dxa" w:w="202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8,3</w:t>
            </w:r>
          </w:p>
        </w:tc>
        <w:tc>
          <w:tcPr>
            <w:tcW w:type="dxa" w:w="25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533</w:t>
            </w:r>
          </w:p>
        </w:tc>
        <w:tc>
          <w:tcPr>
            <w:tcW w:type="dxa" w:w="127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3,2</w:t>
            </w:r>
          </w:p>
        </w:tc>
      </w:tr>
    </w:tbl>
    <w:p>
      <w:pPr>
        <w:spacing w:line="360" w:lineRule="auto" w:before="0" w:after="12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Полученная численность согласуется со штатным расписанием (раздел 5): специалист по внедрению принимается с пятого месяца первого года, второй – с четвёртого месяца второго года, третий – на третьем году. В первый год темп подключений ограничен не внедрением, а продажами; начиная со второго года определяющей становится трудоёмкость сопровождения накопленной базы заказчиков (раздел 6).</w:t>
      </w:r>
    </w:p>
    <w:p>
      <w:pPr>
        <w:spacing w:line="360" w:lineRule="auto" w:before="0" w:after="0"/>
        <w:ind w:firstLine="709" w:left="0" w:right="0"/>
        <w:jc w:val="both"/>
      </w:pPr>
      <w:r>
        <w:rPr>
          <w:rFonts w:ascii="Times New Roman" w:hAnsi="Times New Roman" w:cs="Times New Roman" w:eastAsia="Times New Roman"/>
          <w:b w:val="0"/>
          <w:i w:val="0"/>
          <w:color w:val="000000"/>
          <w:sz w:val="28"/>
        </w:rPr>
        <w:t xml:space="preserve">Соответствующий объём продаж приведён в </w:t>
      </w:r>
      <w:r>
        <w:rPr>
          <w:rFonts w:ascii="Times New Roman" w:hAnsi="Times New Roman" w:cs="Times New Roman" w:eastAsia="Times New Roman"/>
          <w:b w:val="0"/>
          <w:i w:val="0"/>
          <w:color w:val="000000"/>
          <w:sz w:val="28"/>
        </w:rPr>
        <w:t xml:space="preserve">таблице </w:t>
      </w:r>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REF _Tbl_6_3 \h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r>
        <w:rPr>
          <w:rFonts w:ascii="Times New Roman" w:hAnsi="Times New Roman" w:cs="Times New Roman" w:eastAsia="Times New Roman"/>
          <w:b w:val="0"/>
          <w:i w:val="0"/>
          <w:color w:val="000000"/>
          <w:sz w:val="28"/>
        </w:rPr>
        <w:t>. Выручка рассчитана помесячно с учётом того, что заведение приносит оплату не с момента подключения: каждому заказчику предоставляется бесплатный период продолжительностью 30 дней (раздел 4.5). Поэтому годовая выручка существенно меньше произведения числа заведений на конец года на стоимость годовой подписки.</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11" w:name="_Tbl_6_3"/>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11"/>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Достижимый объём рынка по годам</w:t>
      </w:r>
    </w:p>
    <w:tbl>
      <w:tblPr>
        <w:tblStyle w:val="TableGrid"/>
        <w:tblW w:type="auto" w:w="0"/>
        <w:jc w:val="center"/>
        <w:tblLayout w:type="fixed"/>
        <w:tblLook w:firstColumn="1" w:firstRow="1" w:lastColumn="0" w:lastRow="0" w:noHBand="0" w:noVBand="1" w:val="04A0"/>
      </w:tblPr>
      <w:tblGrid>
        <w:gridCol w:w="985"/>
        <w:gridCol w:w="3430"/>
        <w:gridCol w:w="1774"/>
        <w:gridCol w:w="3166"/>
      </w:tblGrid>
      <w:tr>
        <w:trPr>
          <w:tblHeader/>
        </w:trPr>
        <w:tc>
          <w:tcPr>
            <w:tcW w:type="dxa" w:w="985"/>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Год</w:t>
            </w:r>
          </w:p>
        </w:tc>
        <w:tc>
          <w:tcPr>
            <w:tcW w:type="dxa" w:w="3430"/>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Подключено на конец года</w:t>
            </w:r>
          </w:p>
        </w:tc>
        <w:tc>
          <w:tcPr>
            <w:tcW w:type="dxa" w:w="1774"/>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Доля SAM</w:t>
            </w:r>
          </w:p>
        </w:tc>
        <w:tc>
          <w:tcPr>
            <w:tcW w:type="dxa" w:w="3166"/>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Выручка, млн руб./год</w:t>
            </w:r>
          </w:p>
        </w:tc>
      </w:tr>
      <w:tr>
        <w:tc>
          <w:tcPr>
            <w:tcW w:type="dxa" w:w="98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1-й</w:t>
            </w:r>
          </w:p>
        </w:tc>
        <w:tc>
          <w:tcPr>
            <w:tcW w:type="dxa" w:w="343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30</w:t>
            </w:r>
          </w:p>
        </w:tc>
        <w:tc>
          <w:tcPr>
            <w:tcW w:type="dxa" w:w="177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1,0 %</w:t>
            </w:r>
          </w:p>
        </w:tc>
        <w:tc>
          <w:tcPr>
            <w:tcW w:type="dxa" w:w="316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1,14</w:t>
            </w:r>
          </w:p>
        </w:tc>
      </w:tr>
      <w:tr>
        <w:tc>
          <w:tcPr>
            <w:tcW w:type="dxa" w:w="98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2-й</w:t>
            </w:r>
          </w:p>
        </w:tc>
        <w:tc>
          <w:tcPr>
            <w:tcW w:type="dxa" w:w="343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100</w:t>
            </w:r>
          </w:p>
        </w:tc>
        <w:tc>
          <w:tcPr>
            <w:tcW w:type="dxa" w:w="177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3,3 %</w:t>
            </w:r>
          </w:p>
        </w:tc>
        <w:tc>
          <w:tcPr>
            <w:tcW w:type="dxa" w:w="316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6,72</w:t>
            </w:r>
          </w:p>
        </w:tc>
      </w:tr>
      <w:tr>
        <w:tc>
          <w:tcPr>
            <w:tcW w:type="dxa" w:w="98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3-й</w:t>
            </w:r>
          </w:p>
        </w:tc>
        <w:tc>
          <w:tcPr>
            <w:tcW w:type="dxa" w:w="343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200</w:t>
            </w:r>
          </w:p>
        </w:tc>
        <w:tc>
          <w:tcPr>
            <w:tcW w:type="dxa" w:w="177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6,6 %</w:t>
            </w:r>
          </w:p>
        </w:tc>
        <w:tc>
          <w:tcPr>
            <w:tcW w:type="dxa" w:w="316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16,52</w:t>
            </w:r>
          </w:p>
        </w:tc>
      </w:tr>
    </w:tbl>
    <w:p>
      <w:pPr>
        <w:spacing w:line="360" w:lineRule="auto" w:before="0" w:after="12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Первые три месяца выручка отсутствует: пять пилотных заведений подключаются в течение первого квартала и переходят на подписку с четвёртого месяца. Помесячный план подключений и поступлений приведён в разделе 6.</w:t>
      </w:r>
    </w:p>
    <w:p>
      <w:pPr>
        <w:spacing w:line="360" w:lineRule="auto" w:before="0" w:after="0"/>
        <w:ind w:firstLine="709" w:left="0" w:right="0"/>
        <w:jc w:val="both"/>
      </w:pPr>
      <w:r>
        <w:rPr>
          <w:rFonts w:ascii="Times New Roman" w:hAnsi="Times New Roman" w:cs="Times New Roman" w:eastAsia="Times New Roman"/>
          <w:b w:val="0"/>
          <w:i w:val="0"/>
          <w:color w:val="000000"/>
          <w:sz w:val="28"/>
        </w:rPr>
        <w:t>Различие между числом подключённых заведений и выручкой определяет финансовый результат первого года: 30 действующих заказчиков на конец года соответствуют годовому темпу поступлений 3,60 млн рублей, но фактическая выручка за первый год составляет 1,14 млн рублей. Убыток первого года и источники его покрытия рассмотрены в разделах 7 и 8.</w:t>
      </w:r>
    </w:p>
    <w:p>
      <w:pPr>
        <w:spacing w:line="360" w:lineRule="auto" w:before="0" w:after="0"/>
        <w:ind w:firstLine="709" w:left="0" w:right="0"/>
        <w:jc w:val="both"/>
      </w:pPr>
      <w:r>
        <w:rPr>
          <w:rFonts w:ascii="Times New Roman" w:hAnsi="Times New Roman" w:cs="Times New Roman" w:eastAsia="Times New Roman"/>
          <w:b w:val="0"/>
          <w:i w:val="0"/>
          <w:color w:val="000000"/>
          <w:sz w:val="28"/>
        </w:rPr>
        <w:t>Доля 6,6 % от доступного рынка к третьему году не предполагает вытеснения конкурентов: она достигается за счёт заведений, не приобретавших ранее решений для персонализации обслуживания.</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Оценка достоверности</w:t>
      </w:r>
    </w:p>
    <w:p>
      <w:pPr>
        <w:spacing w:line="360" w:lineRule="auto" w:before="0" w:after="0"/>
        <w:ind w:firstLine="709" w:left="0" w:right="0"/>
        <w:jc w:val="both"/>
      </w:pPr>
      <w:r>
        <w:rPr>
          <w:rFonts w:ascii="Times New Roman" w:hAnsi="Times New Roman" w:cs="Times New Roman" w:eastAsia="Times New Roman"/>
          <w:b w:val="0"/>
          <w:i w:val="0"/>
          <w:color w:val="000000"/>
          <w:sz w:val="28"/>
        </w:rPr>
        <w:t>Расчёт опирается на два подтверждённых внешними источниками показателя – число ресторанов полного обслуживания в России и число ресторанов в городах-миллионниках – и на два расчётных допущения: долю iiko и r_keeper в целевом сегменте и долю заведений с достаточным объёмом данных. Публичной статистики по обоим допущениям в открытых источниках не обнаружено, поэтому приведён расчёт чувствительности.</w:t>
      </w:r>
    </w:p>
    <w:p>
      <w:pPr>
        <w:spacing w:line="360" w:lineRule="auto" w:before="0" w:after="0"/>
        <w:ind w:firstLine="709" w:left="0" w:right="0"/>
        <w:jc w:val="both"/>
      </w:pPr>
      <w:r>
        <w:rPr>
          <w:rFonts w:ascii="Times New Roman" w:hAnsi="Times New Roman" w:cs="Times New Roman" w:eastAsia="Times New Roman"/>
          <w:b w:val="0"/>
          <w:i w:val="0"/>
          <w:color w:val="000000"/>
          <w:sz w:val="28"/>
        </w:rPr>
        <w:t>Уточнение допущений производится по результатам продаж: доля систем учёта устанавливается по составу обращений, доля заведений с достаточным объёмом данных – по фактическим выгрузкам подключаемых ресторанов.</w:t>
      </w:r>
    </w:p>
    <w:p>
      <w:pPr>
        <w:pStyle w:val="Heading2"/>
        <w:keepNext/>
        <w:spacing w:line="360" w:lineRule="auto" w:before="0" w:after="0"/>
        <w:ind w:firstLine="709" w:left="0" w:right="0"/>
        <w:jc w:val="both"/>
      </w:pPr>
      <w:r>
        <w:rPr>
          <w:rFonts w:ascii="Times New Roman" w:hAnsi="Times New Roman" w:cs="Times New Roman" w:eastAsia="Times New Roman"/>
          <w:b/>
          <w:i w:val="0"/>
          <w:color w:val="000000"/>
          <w:sz w:val="28"/>
        </w:rPr>
        <w:t>4.4 План продвижения и бюджет</w:t>
      </w:r>
    </w:p>
    <w:p>
      <w:pPr>
        <w:spacing w:line="360" w:lineRule="auto" w:before="0" w:after="0"/>
        <w:ind w:firstLine="709" w:left="0" w:right="0"/>
        <w:jc w:val="both"/>
      </w:pPr>
      <w:r>
        <w:rPr>
          <w:rFonts w:ascii="Times New Roman" w:hAnsi="Times New Roman" w:cs="Times New Roman" w:eastAsia="Times New Roman"/>
          <w:b w:val="0"/>
          <w:i w:val="0"/>
          <w:color w:val="000000"/>
          <w:sz w:val="28"/>
        </w:rPr>
        <w:t>Цель продвижения на первый год – подключить 30 заведений (раздел 4.3), из них первые пять на условиях бесплатного пилота. Продвижение подчинено не охвату аудитории, а накоплению подтверждённых результатов внедрения: до появления измеренного на реальном ресторане прироста выручки основным доводом при продаже служить нечему.</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Выбор канала</w:t>
      </w:r>
    </w:p>
    <w:p>
      <w:pPr>
        <w:spacing w:line="360" w:lineRule="auto" w:before="0" w:after="0"/>
        <w:ind w:firstLine="709" w:left="0" w:right="0"/>
        <w:jc w:val="both"/>
      </w:pPr>
      <w:r>
        <w:rPr>
          <w:rFonts w:ascii="Times New Roman" w:hAnsi="Times New Roman" w:cs="Times New Roman" w:eastAsia="Times New Roman"/>
          <w:b w:val="0"/>
          <w:i w:val="0"/>
          <w:color w:val="000000"/>
          <w:sz w:val="28"/>
        </w:rPr>
        <w:t>Основной канал – прямые продажи силами основателя. Выбор определяется свойствами сегмента: он мал (около 3 тысяч заведений, раздел 4.3), решение принимается владельцем единолично, а стоимость подписки – 120 000 рублей в год – оправдывает индивидуальную работу с каждым заказчиком.</w:t>
      </w:r>
    </w:p>
    <w:p>
      <w:pPr>
        <w:spacing w:line="360" w:lineRule="auto" w:before="0" w:after="0"/>
        <w:ind w:firstLine="709" w:left="0" w:right="0"/>
        <w:jc w:val="both"/>
      </w:pPr>
      <w:r>
        <w:rPr>
          <w:rFonts w:ascii="Times New Roman" w:hAnsi="Times New Roman" w:cs="Times New Roman" w:eastAsia="Times New Roman"/>
          <w:b w:val="0"/>
          <w:i w:val="0"/>
          <w:color w:val="000000"/>
          <w:sz w:val="28"/>
        </w:rPr>
        <w:t>Массовые рекламные каналы для такого сегмента непригодны. Контекстная и таргетированная реклама рассчитаны на широкую аудиторию и неизбежный охват нецелевых заведений, тогда как здесь адресаты известны поимённо: рестораны полного обслуживания в конкретных городах устанавливаются по геосервисам. Возможность рекламных размещений не исключается, но рассматривается как проверка гипотезы, а не как основной канал.</w:t>
      </w:r>
    </w:p>
    <w:p>
      <w:pPr>
        <w:spacing w:line="360" w:lineRule="auto" w:before="0" w:after="0"/>
        <w:ind w:firstLine="709" w:left="0" w:right="0"/>
        <w:jc w:val="both"/>
      </w:pPr>
      <w:r>
        <w:rPr>
          <w:rFonts w:ascii="Times New Roman" w:hAnsi="Times New Roman" w:cs="Times New Roman" w:eastAsia="Times New Roman"/>
          <w:b w:val="0"/>
          <w:i w:val="0"/>
          <w:color w:val="000000"/>
          <w:sz w:val="28"/>
        </w:rPr>
        <w:t>Продажи ведутся в городе присутствия предприятия – Новосибирске – с последующим переходом к другим городам-миллионникам. Личный выезд к заказчику в своём городе снижает возражение о доверии: подключение выполняется на месте.</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Средства продвижения</w:t>
      </w:r>
    </w:p>
    <w:p>
      <w:pPr>
        <w:spacing w:line="360" w:lineRule="auto" w:before="0" w:after="0"/>
        <w:ind w:firstLine="709" w:left="0" w:right="0"/>
        <w:jc w:val="both"/>
      </w:pPr>
      <w:r>
        <w:rPr>
          <w:rFonts w:ascii="Times New Roman" w:hAnsi="Times New Roman" w:cs="Times New Roman" w:eastAsia="Times New Roman"/>
          <w:b/>
          <w:i w:val="0"/>
          <w:color w:val="000000"/>
          <w:sz w:val="28"/>
        </w:rPr>
        <w:t>Сайт проекта.</w:t>
      </w:r>
      <w:r>
        <w:rPr>
          <w:rFonts w:ascii="Times New Roman" w:hAnsi="Times New Roman" w:cs="Times New Roman" w:eastAsia="Times New Roman"/>
          <w:b w:val="0"/>
          <w:i w:val="0"/>
          <w:color w:val="000000"/>
          <w:sz w:val="28"/>
        </w:rPr>
        <w:t xml:space="preserve"> Одностраничный сайт https://boostaurant.tilda.ws/ разработан и опубликован. Единственное целевое действие – обращение к представителю проекта в мессенджере; формы сбора заявок не используются, поскольку на этапе набора пилотных ресторанов каждое обращение обрабатывается индивидуально. Блок «Кому подходит» выполняет функцию фильтра и отсекает нецелевые обращения по критериям раздела 4.2.</w:t>
      </w:r>
    </w:p>
    <w:p>
      <w:pPr>
        <w:spacing w:line="360" w:lineRule="auto" w:before="0" w:after="0"/>
        <w:ind w:firstLine="709" w:left="0" w:right="0"/>
        <w:jc w:val="both"/>
      </w:pPr>
      <w:r>
        <w:rPr>
          <w:rFonts w:ascii="Times New Roman" w:hAnsi="Times New Roman" w:cs="Times New Roman" w:eastAsia="Times New Roman"/>
          <w:b/>
          <w:i w:val="0"/>
          <w:color w:val="000000"/>
          <w:sz w:val="28"/>
        </w:rPr>
        <w:t>Прямое обращение к владельцам.</w:t>
      </w:r>
      <w:r>
        <w:rPr>
          <w:rFonts w:ascii="Times New Roman" w:hAnsi="Times New Roman" w:cs="Times New Roman" w:eastAsia="Times New Roman"/>
          <w:b w:val="0"/>
          <w:i w:val="0"/>
          <w:color w:val="000000"/>
          <w:sz w:val="28"/>
        </w:rPr>
        <w:t xml:space="preserve"> Список заведений формируется по геосервисам с отбором по формату и наличию признаков работы на iiko или r_keeper. Обращение происходит в мессенджере или при личном визите в заведение в непиковое время.</w:t>
      </w:r>
    </w:p>
    <w:p>
      <w:pPr>
        <w:spacing w:line="360" w:lineRule="auto" w:before="0" w:after="0"/>
        <w:ind w:firstLine="709" w:left="0" w:right="0"/>
        <w:jc w:val="both"/>
      </w:pPr>
      <w:r>
        <w:rPr>
          <w:rFonts w:ascii="Times New Roman" w:hAnsi="Times New Roman" w:cs="Times New Roman" w:eastAsia="Times New Roman"/>
          <w:b/>
          <w:i w:val="0"/>
          <w:color w:val="000000"/>
          <w:sz w:val="28"/>
        </w:rPr>
        <w:t>Отраслевые мероприятия.</w:t>
      </w:r>
      <w:r>
        <w:rPr>
          <w:rFonts w:ascii="Times New Roman" w:hAnsi="Times New Roman" w:cs="Times New Roman" w:eastAsia="Times New Roman"/>
          <w:b w:val="0"/>
          <w:i w:val="0"/>
          <w:color w:val="000000"/>
          <w:sz w:val="28"/>
        </w:rPr>
        <w:t xml:space="preserve"> Выставка PIR EXPO (Москва, октябрь) и региональные отраслевые встречи. Значение мероприятий для проекта – не в числе контактов, а в возможности показать работу продукта владельцу лично.</w:t>
      </w:r>
    </w:p>
    <w:p>
      <w:pPr>
        <w:spacing w:line="360" w:lineRule="auto" w:before="0" w:after="0"/>
        <w:ind w:firstLine="709" w:left="0" w:right="0"/>
        <w:jc w:val="both"/>
      </w:pPr>
      <w:r>
        <w:rPr>
          <w:rFonts w:ascii="Times New Roman" w:hAnsi="Times New Roman" w:cs="Times New Roman" w:eastAsia="Times New Roman"/>
          <w:b/>
          <w:i w:val="0"/>
          <w:color w:val="000000"/>
          <w:sz w:val="28"/>
        </w:rPr>
        <w:t>Публикации.</w:t>
      </w:r>
      <w:r>
        <w:rPr>
          <w:rFonts w:ascii="Times New Roman" w:hAnsi="Times New Roman" w:cs="Times New Roman" w:eastAsia="Times New Roman"/>
          <w:b w:val="0"/>
          <w:i w:val="0"/>
          <w:color w:val="000000"/>
          <w:sz w:val="28"/>
        </w:rPr>
        <w:t xml:space="preserve"> Разбор задачи персонализации в ресторане с изложением полученных результатов – точности модели, доли холодного старта – в отраслевых изданиях и на профессиональных площадках. Материал существует: результаты этапа задокументированы и пригодны к публикации после переработки под формат издания.</w:t>
      </w:r>
    </w:p>
    <w:p>
      <w:pPr>
        <w:spacing w:line="360" w:lineRule="auto" w:before="0" w:after="0"/>
        <w:ind w:firstLine="709" w:left="0" w:right="0"/>
        <w:jc w:val="both"/>
      </w:pPr>
      <w:r>
        <w:rPr>
          <w:rFonts w:ascii="Times New Roman" w:hAnsi="Times New Roman" w:cs="Times New Roman" w:eastAsia="Times New Roman"/>
          <w:b/>
          <w:i w:val="0"/>
          <w:color w:val="000000"/>
          <w:sz w:val="28"/>
        </w:rPr>
        <w:t>Рекомендации действующих заказчиков.</w:t>
      </w:r>
      <w:r>
        <w:rPr>
          <w:rFonts w:ascii="Times New Roman" w:hAnsi="Times New Roman" w:cs="Times New Roman" w:eastAsia="Times New Roman"/>
          <w:b w:val="0"/>
          <w:i w:val="0"/>
          <w:color w:val="000000"/>
          <w:sz w:val="28"/>
        </w:rPr>
        <w:t xml:space="preserve"> Основной канал начиная со второго года. Ресторанная отрасль в пределах города образует профессиональное сообщество, где владельцы знакомы между собой, и подтверждённый результат у знакомого заведения действует сильнее рекламного сообщения.</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Условия пилотного внедрения</w:t>
      </w:r>
    </w:p>
    <w:p>
      <w:pPr>
        <w:spacing w:line="360" w:lineRule="auto" w:before="0" w:after="0"/>
        <w:ind w:firstLine="709" w:left="0" w:right="0"/>
        <w:jc w:val="both"/>
      </w:pPr>
      <w:r>
        <w:rPr>
          <w:rFonts w:ascii="Times New Roman" w:hAnsi="Times New Roman" w:cs="Times New Roman" w:eastAsia="Times New Roman"/>
          <w:b w:val="0"/>
          <w:i w:val="0"/>
          <w:color w:val="000000"/>
          <w:sz w:val="28"/>
        </w:rPr>
        <w:t>Пилот – не рекламная акция, а способ получить измеренный результат, отсутствие которого составляет основное препятствие продажам.</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12" w:name="_Tbl_7_1"/>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12"/>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Условия участия в пилотном внедрении</w:t>
      </w:r>
    </w:p>
    <w:tbl>
      <w:tblPr>
        <w:tblStyle w:val="TableGrid"/>
        <w:tblW w:type="auto" w:w="0"/>
        <w:jc w:val="center"/>
        <w:tblLayout w:type="fixed"/>
        <w:tblLook w:firstColumn="1" w:firstRow="1" w:lastColumn="0" w:lastRow="0" w:noHBand="0" w:noVBand="1" w:val="04A0"/>
      </w:tblPr>
      <w:tblGrid>
        <w:gridCol w:w="3005"/>
        <w:gridCol w:w="6349"/>
      </w:tblGrid>
      <w:tr>
        <w:trPr>
          <w:tblHeader/>
        </w:trPr>
        <w:tc>
          <w:tcPr>
            <w:tcW w:type="dxa" w:w="3005"/>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Условие</w:t>
            </w:r>
          </w:p>
        </w:tc>
        <w:tc>
          <w:tcPr>
            <w:tcW w:type="dxa" w:w="6349"/>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Содержание</w:t>
            </w:r>
          </w:p>
        </w:tc>
      </w:tr>
      <w:tr>
        <w:tc>
          <w:tcPr>
            <w:tcW w:type="dxa" w:w="300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Срок</w:t>
            </w:r>
          </w:p>
        </w:tc>
        <w:tc>
          <w:tcPr>
            <w:tcW w:type="dxa" w:w="634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30 дней бесплатного использования</w:t>
            </w:r>
          </w:p>
        </w:tc>
      </w:tr>
      <w:tr>
        <w:tc>
          <w:tcPr>
            <w:tcW w:type="dxa" w:w="300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Внедрение</w:t>
            </w:r>
          </w:p>
        </w:tc>
        <w:tc>
          <w:tcPr>
            <w:tcW w:type="dxa" w:w="634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Бесплатно, силами предприятия</w:t>
            </w:r>
          </w:p>
        </w:tc>
      </w:tr>
      <w:tr>
        <w:tc>
          <w:tcPr>
            <w:tcW w:type="dxa" w:w="300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Число участников</w:t>
            </w:r>
          </w:p>
        </w:tc>
        <w:tc>
          <w:tcPr>
            <w:tcW w:type="dxa" w:w="634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5 заведений</w:t>
            </w:r>
          </w:p>
        </w:tc>
      </w:tr>
      <w:tr>
        <w:tc>
          <w:tcPr>
            <w:tcW w:type="dxa" w:w="300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Цена после пилота</w:t>
            </w:r>
          </w:p>
        </w:tc>
        <w:tc>
          <w:tcPr>
            <w:tcW w:type="dxa" w:w="634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10 000 рублей в месяц, фиксируется бессрочно</w:t>
            </w:r>
          </w:p>
        </w:tc>
      </w:tr>
      <w:tr>
        <w:tc>
          <w:tcPr>
            <w:tcW w:type="dxa" w:w="300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Обязательства заказчика</w:t>
            </w:r>
          </w:p>
        </w:tc>
        <w:tc>
          <w:tcPr>
            <w:tcW w:type="dxa" w:w="634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Доступ к программному интерфейсу системы учёта, согласие на измерение результата</w:t>
            </w:r>
          </w:p>
        </w:tc>
      </w:tr>
    </w:tbl>
    <w:p>
      <w:pPr>
        <w:spacing w:line="360" w:lineRule="auto" w:before="0" w:after="12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Фиксация цены для пилотных заведений бессрочно компенсирует заказчику риск работы с непроверенным поставщиком. Результаты пилота – изменение среднего чека и возвращаемости – измеряются на данных самого заказчика и с его согласия используются в дальнейших продажах.</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Работа с возражениями</w:t>
      </w:r>
    </w:p>
    <w:p>
      <w:pPr>
        <w:spacing w:line="360" w:lineRule="auto" w:before="0" w:after="0"/>
        <w:ind w:firstLine="709" w:left="0" w:right="0"/>
        <w:jc w:val="both"/>
      </w:pPr>
      <w:r>
        <w:rPr>
          <w:rFonts w:ascii="Times New Roman" w:hAnsi="Times New Roman" w:cs="Times New Roman" w:eastAsia="Times New Roman"/>
          <w:b w:val="0"/>
          <w:i w:val="0"/>
          <w:color w:val="000000"/>
          <w:sz w:val="28"/>
        </w:rPr>
        <w:t>Возражения целевого сегмента и предусмотренные ответы приведены ниже. Проверка и уточнение производятся по итогам пилотных внедрений.</w:t>
      </w:r>
    </w:p>
    <w:p>
      <w:pPr>
        <w:spacing w:line="360" w:lineRule="auto" w:before="0" w:after="0"/>
        <w:ind w:firstLine="709" w:left="0" w:right="0"/>
        <w:jc w:val="both"/>
      </w:pPr>
      <w:r>
        <w:rPr>
          <w:rFonts w:ascii="Times New Roman" w:hAnsi="Times New Roman" w:cs="Times New Roman" w:eastAsia="Times New Roman"/>
          <w:b/>
          <w:i w:val="0"/>
          <w:color w:val="000000"/>
          <w:sz w:val="28"/>
        </w:rPr>
        <w:t>«Персонализация уже есть в программе лояльности».</w:t>
      </w:r>
      <w:r>
        <w:rPr>
          <w:rFonts w:ascii="Times New Roman" w:hAnsi="Times New Roman" w:cs="Times New Roman" w:eastAsia="Times New Roman"/>
          <w:b w:val="0"/>
          <w:i w:val="0"/>
          <w:color w:val="000000"/>
          <w:sz w:val="28"/>
        </w:rPr>
        <w:t xml:space="preserve"> Наиболее вероятное возражение у заведений, подключивших платформу лояльности. Продукт предлагается не взамен, а как дополнение в точке обслуживания, где платформа не работает: платформа обращается к гостю вне ресторана, продукт – к официанту у столика (раздел 4.1).</w:t>
      </w:r>
    </w:p>
    <w:p>
      <w:pPr>
        <w:spacing w:line="360" w:lineRule="auto" w:before="0" w:after="0"/>
        <w:ind w:firstLine="709" w:left="0" w:right="0"/>
        <w:jc w:val="both"/>
      </w:pPr>
      <w:r>
        <w:rPr>
          <w:rFonts w:ascii="Times New Roman" w:hAnsi="Times New Roman" w:cs="Times New Roman" w:eastAsia="Times New Roman"/>
          <w:b/>
          <w:i w:val="0"/>
          <w:color w:val="000000"/>
          <w:sz w:val="28"/>
        </w:rPr>
        <w:t>«Официанты и так знают постоянных гостей».</w:t>
      </w:r>
      <w:r>
        <w:rPr>
          <w:rFonts w:ascii="Times New Roman" w:hAnsi="Times New Roman" w:cs="Times New Roman" w:eastAsia="Times New Roman"/>
          <w:b w:val="0"/>
          <w:i w:val="0"/>
          <w:color w:val="000000"/>
          <w:sz w:val="28"/>
        </w:rPr>
        <w:t xml:space="preserve"> Знание существует, пока работает конкретный сотрудник. При сменяемости персонала, характерной для отрасли (раздел 3), оно не накапливается: опытный официант уходит вместе с ним. Возражение проверяется на пилоте сопоставлением рекомендаций системы с фактическим составом заказов.</w:t>
      </w:r>
    </w:p>
    <w:p>
      <w:pPr>
        <w:spacing w:line="360" w:lineRule="auto" w:before="0" w:after="0"/>
        <w:ind w:firstLine="709" w:left="0" w:right="0"/>
        <w:jc w:val="both"/>
      </w:pPr>
      <w:r>
        <w:rPr>
          <w:rFonts w:ascii="Times New Roman" w:hAnsi="Times New Roman" w:cs="Times New Roman" w:eastAsia="Times New Roman"/>
          <w:b/>
          <w:i w:val="0"/>
          <w:color w:val="000000"/>
          <w:sz w:val="28"/>
        </w:rPr>
        <w:t>«Передача данных о гостях внешнему поставщику».</w:t>
      </w:r>
      <w:r>
        <w:rPr>
          <w:rFonts w:ascii="Times New Roman" w:hAnsi="Times New Roman" w:cs="Times New Roman" w:eastAsia="Times New Roman"/>
          <w:b w:val="0"/>
          <w:i w:val="0"/>
          <w:color w:val="000000"/>
          <w:sz w:val="28"/>
        </w:rPr>
        <w:t xml:space="preserve"> Возражение снимается организацией обработки данных: изолированная база и отдельная модель для каждого ресторана, минимальный состав персональных данных – без имени, пола, электронной почты, карт лояльности, – отсутствие в интерфейсе официанта имени и телефона гостя, работа в рамках 152-ФЗ.</w:t>
      </w:r>
    </w:p>
    <w:p>
      <w:pPr>
        <w:spacing w:line="360" w:lineRule="auto" w:before="0" w:after="0"/>
        <w:ind w:firstLine="709" w:left="0" w:right="0"/>
        <w:jc w:val="both"/>
      </w:pPr>
      <w:r>
        <w:rPr>
          <w:rFonts w:ascii="Times New Roman" w:hAnsi="Times New Roman" w:cs="Times New Roman" w:eastAsia="Times New Roman"/>
          <w:b/>
          <w:i w:val="0"/>
          <w:color w:val="000000"/>
          <w:sz w:val="28"/>
        </w:rPr>
        <w:t>«Неочевиден результат».</w:t>
      </w:r>
      <w:r>
        <w:rPr>
          <w:rFonts w:ascii="Times New Roman" w:hAnsi="Times New Roman" w:cs="Times New Roman" w:eastAsia="Times New Roman"/>
          <w:b w:val="0"/>
          <w:i w:val="0"/>
          <w:color w:val="000000"/>
          <w:sz w:val="28"/>
        </w:rPr>
        <w:t xml:space="preserve"> Снимается условиями пилота: бесплатный период, бесплатное внедрение и измерение результата на собственных гостях заказчика.</w:t>
      </w:r>
    </w:p>
    <w:p>
      <w:pPr>
        <w:spacing w:line="360" w:lineRule="auto" w:before="0" w:after="0"/>
        <w:ind w:firstLine="709" w:left="0" w:right="0"/>
        <w:jc w:val="both"/>
      </w:pPr>
      <w:r>
        <w:rPr>
          <w:rFonts w:ascii="Times New Roman" w:hAnsi="Times New Roman" w:cs="Times New Roman" w:eastAsia="Times New Roman"/>
          <w:b/>
          <w:i w:val="0"/>
          <w:color w:val="000000"/>
          <w:sz w:val="28"/>
        </w:rPr>
        <w:t>«Придётся менять настройки кассы».</w:t>
      </w:r>
      <w:r>
        <w:rPr>
          <w:rFonts w:ascii="Times New Roman" w:hAnsi="Times New Roman" w:cs="Times New Roman" w:eastAsia="Times New Roman"/>
          <w:b w:val="0"/>
          <w:i w:val="0"/>
          <w:color w:val="000000"/>
          <w:sz w:val="28"/>
        </w:rPr>
        <w:t xml:space="preserve"> Установка программ на кассы и изменение настроек системы учёта не требуются; от заказчика необходим доступ к программному интерфейсу.</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Воронка продаж</w:t>
      </w:r>
    </w:p>
    <w:p>
      <w:pPr>
        <w:spacing w:line="360" w:lineRule="auto" w:before="0" w:after="0"/>
        <w:ind w:firstLine="709" w:left="0" w:right="0"/>
        <w:jc w:val="both"/>
      </w:pPr>
      <w:r>
        <w:rPr>
          <w:rFonts w:ascii="Times New Roman" w:hAnsi="Times New Roman" w:cs="Times New Roman" w:eastAsia="Times New Roman"/>
          <w:b w:val="0"/>
          <w:i w:val="0"/>
          <w:color w:val="000000"/>
          <w:sz w:val="28"/>
        </w:rPr>
        <w:t>Плановые показатели первого года исходя из цели в 30 подключений:</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13" w:name="_Tbl_7_2"/>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13"/>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Воронка продаж первого года</w:t>
      </w:r>
    </w:p>
    <w:tbl>
      <w:tblPr>
        <w:tblStyle w:val="TableGrid"/>
        <w:tblW w:type="auto" w:w="0"/>
        <w:jc w:val="center"/>
        <w:tblLayout w:type="fixed"/>
        <w:tblLook w:firstColumn="1" w:firstRow="1" w:lastColumn="0" w:lastRow="0" w:noHBand="0" w:noVBand="1" w:val="04A0"/>
      </w:tblPr>
      <w:tblGrid>
        <w:gridCol w:w="5526"/>
        <w:gridCol w:w="1826"/>
        <w:gridCol w:w="2003"/>
      </w:tblGrid>
      <w:tr>
        <w:trPr>
          <w:tblHeader/>
        </w:trPr>
        <w:tc>
          <w:tcPr>
            <w:tcW w:type="dxa" w:w="5526"/>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Показатель</w:t>
            </w:r>
          </w:p>
        </w:tc>
        <w:tc>
          <w:tcPr>
            <w:tcW w:type="dxa" w:w="1826"/>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За год</w:t>
            </w:r>
          </w:p>
        </w:tc>
        <w:tc>
          <w:tcPr>
            <w:tcW w:type="dxa" w:w="2003"/>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В месяц</w:t>
            </w:r>
          </w:p>
        </w:tc>
      </w:tr>
      <w:tr>
        <w:tc>
          <w:tcPr>
            <w:tcW w:type="dxa" w:w="552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Результативных контактов с владельцами</w:t>
            </w:r>
          </w:p>
        </w:tc>
        <w:tc>
          <w:tcPr>
            <w:tcW w:type="dxa" w:w="182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300</w:t>
            </w:r>
          </w:p>
        </w:tc>
        <w:tc>
          <w:tcPr>
            <w:tcW w:type="dxa" w:w="200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25</w:t>
            </w:r>
          </w:p>
        </w:tc>
      </w:tr>
      <w:tr>
        <w:tc>
          <w:tcPr>
            <w:tcW w:type="dxa" w:w="552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Проведённых встреч и демонстраций</w:t>
            </w:r>
          </w:p>
        </w:tc>
        <w:tc>
          <w:tcPr>
            <w:tcW w:type="dxa" w:w="182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120</w:t>
            </w:r>
          </w:p>
        </w:tc>
        <w:tc>
          <w:tcPr>
            <w:tcW w:type="dxa" w:w="200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10</w:t>
            </w:r>
          </w:p>
        </w:tc>
      </w:tr>
      <w:tr>
        <w:tc>
          <w:tcPr>
            <w:tcW w:type="dxa" w:w="552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Подключённых заведений</w:t>
            </w:r>
          </w:p>
        </w:tc>
        <w:tc>
          <w:tcPr>
            <w:tcW w:type="dxa" w:w="182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30</w:t>
            </w:r>
          </w:p>
        </w:tc>
        <w:tc>
          <w:tcPr>
            <w:tcW w:type="dxa" w:w="200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2,5</w:t>
            </w:r>
          </w:p>
        </w:tc>
      </w:tr>
    </w:tbl>
    <w:p>
      <w:pPr>
        <w:spacing w:line="360" w:lineRule="auto" w:before="0" w:after="12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Приняты конверсии: 40 % от контакта к встрече и 25 % от встречи к подключению. Обе величины – расчётные допущения, установленные исходя из того, что продукт предлагается на условиях бесплатного пилота, а решение принимается одним лицом. Фактические значения определяются по результатам первых месяцев продаж; при их недостижении пересматривается не бюджет, а число городов присутствия.</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Бюджет продвижения</w:t>
      </w:r>
    </w:p>
    <w:p>
      <w:pPr>
        <w:spacing w:line="360" w:lineRule="auto" w:before="0" w:after="0"/>
        <w:ind w:firstLine="709" w:left="0" w:right="0"/>
        <w:jc w:val="both"/>
      </w:pPr>
      <w:r>
        <w:rPr>
          <w:rFonts w:ascii="Times New Roman" w:hAnsi="Times New Roman" w:cs="Times New Roman" w:eastAsia="Times New Roman"/>
          <w:b w:val="0"/>
          <w:i w:val="0"/>
          <w:color w:val="000000"/>
          <w:sz w:val="28"/>
        </w:rPr>
        <w:t>Бюджет сформирован от перечня задач первого года, а не как доля от выручки.</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14" w:name="_Tbl_7_3"/>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14"/>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Бюджет продвижения на первый год</w:t>
      </w:r>
    </w:p>
    <w:tbl>
      <w:tblPr>
        <w:tblStyle w:val="TableGrid"/>
        <w:tblW w:type="auto" w:w="0"/>
        <w:jc w:val="center"/>
        <w:tblLayout w:type="fixed"/>
        <w:tblLook w:firstColumn="1" w:firstRow="1" w:lastColumn="0" w:lastRow="0" w:noHBand="0" w:noVBand="1" w:val="04A0"/>
      </w:tblPr>
      <w:tblGrid>
        <w:gridCol w:w="6815"/>
        <w:gridCol w:w="2540"/>
      </w:tblGrid>
      <w:tr>
        <w:trPr>
          <w:tblHeader/>
        </w:trPr>
        <w:tc>
          <w:tcPr>
            <w:tcW w:type="dxa" w:w="6815"/>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Статья</w:t>
            </w:r>
          </w:p>
        </w:tc>
        <w:tc>
          <w:tcPr>
            <w:tcW w:type="dxa" w:w="2540"/>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Сумма, руб.</w:t>
            </w:r>
          </w:p>
        </w:tc>
      </w:tr>
      <w:tr>
        <w:tc>
          <w:tcPr>
            <w:tcW w:type="dxa" w:w="681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Сайт: домен и подписка Tilda Personal на год [21]</w:t>
            </w:r>
          </w:p>
        </w:tc>
        <w:tc>
          <w:tcPr>
            <w:tcW w:type="dxa" w:w="25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6 000</w:t>
            </w:r>
          </w:p>
        </w:tc>
      </w:tr>
      <w:tr>
        <w:tc>
          <w:tcPr>
            <w:tcW w:type="dxa" w:w="681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Билеты на отраслевые выставки (PIR EXPO, 2 участника) [22]</w:t>
            </w:r>
          </w:p>
        </w:tc>
        <w:tc>
          <w:tcPr>
            <w:tcW w:type="dxa" w:w="25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16 000</w:t>
            </w:r>
          </w:p>
        </w:tc>
      </w:tr>
      <w:tr>
        <w:tc>
          <w:tcPr>
            <w:tcW w:type="dxa" w:w="681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Поездки и представительские расходы (12 мес. × 5 000)</w:t>
            </w:r>
          </w:p>
        </w:tc>
        <w:tc>
          <w:tcPr>
            <w:tcW w:type="dxa" w:w="25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60 000</w:t>
            </w:r>
          </w:p>
        </w:tc>
      </w:tr>
      <w:tr>
        <w:tc>
          <w:tcPr>
            <w:tcW w:type="dxa" w:w="681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Полиграфия: презентации, визитки, раздаточные материалы</w:t>
            </w:r>
          </w:p>
        </w:tc>
        <w:tc>
          <w:tcPr>
            <w:tcW w:type="dxa" w:w="25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15 000</w:t>
            </w:r>
          </w:p>
        </w:tc>
      </w:tr>
      <w:tr>
        <w:tc>
          <w:tcPr>
            <w:tcW w:type="dxa" w:w="681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Видеоролик с демонстрацией работы бота</w:t>
            </w:r>
          </w:p>
        </w:tc>
        <w:tc>
          <w:tcPr>
            <w:tcW w:type="dxa" w:w="25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25 000</w:t>
            </w:r>
          </w:p>
        </w:tc>
      </w:tr>
      <w:tr>
        <w:tc>
          <w:tcPr>
            <w:tcW w:type="dxa" w:w="681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Подготовка публикаций в отраслевых изданиях</w:t>
            </w:r>
          </w:p>
        </w:tc>
        <w:tc>
          <w:tcPr>
            <w:tcW w:type="dxa" w:w="25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30 000</w:t>
            </w:r>
          </w:p>
        </w:tc>
      </w:tr>
      <w:tr>
        <w:tc>
          <w:tcPr>
            <w:tcW w:type="dxa" w:w="681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Резерв на пробные рекламные размещения</w:t>
            </w:r>
          </w:p>
        </w:tc>
        <w:tc>
          <w:tcPr>
            <w:tcW w:type="dxa" w:w="25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30 000</w:t>
            </w:r>
          </w:p>
        </w:tc>
      </w:tr>
      <w:tr>
        <w:tc>
          <w:tcPr>
            <w:tcW w:type="dxa" w:w="6815"/>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Итого</w:t>
            </w:r>
          </w:p>
        </w:tc>
        <w:tc>
          <w:tcPr>
            <w:tcW w:type="dxa" w:w="2540"/>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182 000</w:t>
            </w:r>
          </w:p>
        </w:tc>
      </w:tr>
    </w:tbl>
    <w:p>
      <w:pPr>
        <w:spacing w:line="360" w:lineRule="auto" w:before="0" w:after="12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Бюджет составляет 16 % планируемой выручки первого года – доля высока вследствие того, что выручка первого года образуется лишь за часть периода, тогда как расходы на продвижение приходятся преимущественно на его начало. Стоимость привлечения одного заказчика – 6 067 рублей при годовой подписке 120 000 рублей, то есть затраты на привлечение возмещаются менее чем за месяц подписки, а весь годовой бюджет продвижения – полутора годовыми подписками.</w:t>
      </w:r>
    </w:p>
    <w:p>
      <w:pPr>
        <w:spacing w:line="360" w:lineRule="auto" w:before="0" w:after="0"/>
        <w:ind w:firstLine="709" w:left="0" w:right="0"/>
        <w:jc w:val="both"/>
      </w:pPr>
      <w:r>
        <w:rPr>
          <w:rFonts w:ascii="Times New Roman" w:hAnsi="Times New Roman" w:cs="Times New Roman" w:eastAsia="Times New Roman"/>
          <w:b w:val="0"/>
          <w:i w:val="0"/>
          <w:color w:val="000000"/>
          <w:sz w:val="28"/>
        </w:rPr>
        <w:t>Основную статью расходов на продвижение образует не бюджет, а рабочее время основателя: 25 результативных контактов и 10 встреч в месяц соответствуют существенной доле рабочего времени, что учтено в организационном плане (раздел 5).</w:t>
      </w:r>
    </w:p>
    <w:p>
      <w:pPr>
        <w:spacing w:line="360" w:lineRule="auto" w:before="0" w:after="0"/>
        <w:ind w:firstLine="709" w:left="0" w:right="0"/>
        <w:jc w:val="both"/>
      </w:pPr>
      <w:r>
        <w:rPr>
          <w:rFonts w:ascii="Times New Roman" w:hAnsi="Times New Roman" w:cs="Times New Roman" w:eastAsia="Times New Roman"/>
          <w:b w:val="0"/>
          <w:i w:val="0"/>
          <w:color w:val="000000"/>
          <w:sz w:val="28"/>
        </w:rPr>
        <w:t>На втором и третьем годах структура расходов смещается: доля выездов сокращается по мере перехода к продажам в других городах в удалённом режиме, вводятся расходы на сопровождение партнёрских размещений. Планирование бюджета последующих лет выполняется от достигнутых значений конверсии.</w:t>
      </w:r>
    </w:p>
    <w:p>
      <w:pPr>
        <w:pStyle w:val="Heading2"/>
        <w:keepNext/>
        <w:spacing w:line="360" w:lineRule="auto" w:before="0" w:after="0"/>
        <w:ind w:firstLine="709" w:left="0" w:right="0"/>
        <w:jc w:val="both"/>
      </w:pPr>
      <w:r>
        <w:rPr>
          <w:rFonts w:ascii="Times New Roman" w:hAnsi="Times New Roman" w:cs="Times New Roman" w:eastAsia="Times New Roman"/>
          <w:b/>
          <w:i w:val="0"/>
          <w:color w:val="000000"/>
          <w:sz w:val="28"/>
        </w:rPr>
        <w:t>4.5 Организация сбыта</w:t>
      </w:r>
    </w:p>
    <w:p>
      <w:pPr>
        <w:spacing w:line="360" w:lineRule="auto" w:before="0" w:after="0"/>
        <w:ind w:firstLine="709" w:left="0" w:right="0"/>
        <w:jc w:val="both"/>
      </w:pPr>
      <w:r>
        <w:rPr>
          <w:rFonts w:ascii="Times New Roman" w:hAnsi="Times New Roman" w:cs="Times New Roman" w:eastAsia="Times New Roman"/>
          <w:b w:val="0"/>
          <w:i w:val="0"/>
          <w:color w:val="000000"/>
          <w:sz w:val="28"/>
        </w:rPr>
        <w:t>Сбыт организован по прямой схеме, без посредников: предприятие само заключает договор с рестораном, выполняет подключение и ведёт сопровождение. Продукт распространяется по подписке, поэтому сбыт не заканчивается продажей – выручка образуется помесячно и зависит от продолжительности работы заказчика с сервисом.</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Схема сбыта</w:t>
      </w:r>
    </w:p>
    <w:p>
      <w:pPr>
        <w:spacing w:line="360" w:lineRule="auto" w:before="0" w:after="0"/>
        <w:ind w:firstLine="709" w:left="0" w:right="0"/>
        <w:jc w:val="both"/>
      </w:pPr>
      <w:r>
        <w:rPr>
          <w:rFonts w:ascii="Times New Roman" w:hAnsi="Times New Roman" w:cs="Times New Roman" w:eastAsia="Times New Roman"/>
          <w:b w:val="0"/>
          <w:i w:val="0"/>
          <w:color w:val="000000"/>
          <w:sz w:val="28"/>
        </w:rPr>
        <w:t>Посредники в схеме не участвуют по двум причинам. Продукт требует подключения к системе учёта заказчика и обучения модели на его данных, то есть передача поставки третьему лицу означала бы передачу доступа к данным ресторана. Кроме того, при 30 подключениях в первый год расходы на построение партнёрской сети превысили бы выгоду от неё.</w:t>
      </w:r>
    </w:p>
    <w:p>
      <w:pPr>
        <w:spacing w:line="360" w:lineRule="auto" w:before="0" w:after="0"/>
        <w:ind w:firstLine="709" w:left="0" w:right="0"/>
        <w:jc w:val="both"/>
      </w:pPr>
      <w:r>
        <w:rPr>
          <w:rFonts w:ascii="Times New Roman" w:hAnsi="Times New Roman" w:cs="Times New Roman" w:eastAsia="Times New Roman"/>
          <w:b w:val="0"/>
          <w:i w:val="0"/>
          <w:color w:val="000000"/>
          <w:sz w:val="28"/>
        </w:rPr>
        <w:t>Возможным каналом сбыта в дальнейшем является партнёрская сеть iiko: компании, выполняющие установку и обслуживание системы учёта в ресторанах, располагают сложившимися отношениями с целевыми заказчиками. Проработка такого канала отнесена к третьему году, когда наличие подтверждённых внедрений сделает предложение партнёрам обоснованным.</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Цикл сделки</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15" w:name="_Tbl_8_1"/>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15"/>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Этапы цикла сделки</w:t>
      </w:r>
    </w:p>
    <w:tbl>
      <w:tblPr>
        <w:tblStyle w:val="TableGrid"/>
        <w:tblW w:type="auto" w:w="0"/>
        <w:jc w:val="center"/>
        <w:tblLayout w:type="fixed"/>
        <w:tblLook w:firstColumn="1" w:firstRow="1" w:lastColumn="0" w:lastRow="0" w:noHBand="0" w:noVBand="1" w:val="04A0"/>
      </w:tblPr>
      <w:tblGrid>
        <w:gridCol w:w="2777"/>
        <w:gridCol w:w="5141"/>
        <w:gridCol w:w="1436"/>
      </w:tblGrid>
      <w:tr>
        <w:trPr>
          <w:tblHeader/>
        </w:trPr>
        <w:tc>
          <w:tcPr>
            <w:tcW w:type="dxa" w:w="2777"/>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Этап</w:t>
            </w:r>
          </w:p>
        </w:tc>
        <w:tc>
          <w:tcPr>
            <w:tcW w:type="dxa" w:w="5141"/>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Содержание</w:t>
            </w:r>
          </w:p>
        </w:tc>
        <w:tc>
          <w:tcPr>
            <w:tcW w:type="dxa" w:w="1436"/>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Срок</w:t>
            </w:r>
          </w:p>
        </w:tc>
      </w:tr>
      <w:tr>
        <w:tc>
          <w:tcPr>
            <w:tcW w:type="dxa" w:w="277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 Обращение</w:t>
            </w:r>
          </w:p>
        </w:tc>
        <w:tc>
          <w:tcPr>
            <w:tcW w:type="dxa" w:w="514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Владелец обращается через сайт или отвечает на прямое обращение</w:t>
            </w:r>
          </w:p>
        </w:tc>
        <w:tc>
          <w:tcPr>
            <w:tcW w:type="dxa" w:w="143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w:t>
            </w:r>
          </w:p>
        </w:tc>
      </w:tr>
      <w:tr>
        <w:tc>
          <w:tcPr>
            <w:tcW w:type="dxa" w:w="277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 Проверка применимости</w:t>
            </w:r>
          </w:p>
        </w:tc>
        <w:tc>
          <w:tcPr>
            <w:tcW w:type="dxa" w:w="514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Формат обслуживания, система учёта, объём базы гостей (раздел 4.2)</w:t>
            </w:r>
          </w:p>
        </w:tc>
        <w:tc>
          <w:tcPr>
            <w:tcW w:type="dxa" w:w="143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 день</w:t>
            </w:r>
          </w:p>
        </w:tc>
      </w:tr>
      <w:tr>
        <w:tc>
          <w:tcPr>
            <w:tcW w:type="dxa" w:w="277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 Демонстрация</w:t>
            </w:r>
          </w:p>
        </w:tc>
        <w:tc>
          <w:tcPr>
            <w:tcW w:type="dxa" w:w="514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Показ работы бота на демонстрационных данных, расчёт окупаемости</w:t>
            </w:r>
          </w:p>
        </w:tc>
        <w:tc>
          <w:tcPr>
            <w:tcW w:type="dxa" w:w="143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 день</w:t>
            </w:r>
          </w:p>
        </w:tc>
      </w:tr>
      <w:tr>
        <w:tc>
          <w:tcPr>
            <w:tcW w:type="dxa" w:w="277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4. Договор</w:t>
            </w:r>
          </w:p>
        </w:tc>
        <w:tc>
          <w:tcPr>
            <w:tcW w:type="dxa" w:w="514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Подписание договора и соглашения об обработке данных</w:t>
            </w:r>
          </w:p>
        </w:tc>
        <w:tc>
          <w:tcPr>
            <w:tcW w:type="dxa" w:w="143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1–5 дней</w:t>
            </w:r>
          </w:p>
        </w:tc>
      </w:tr>
      <w:tr>
        <w:tc>
          <w:tcPr>
            <w:tcW w:type="dxa" w:w="277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5. Подключение</w:t>
            </w:r>
          </w:p>
        </w:tc>
        <w:tc>
          <w:tcPr>
            <w:tcW w:type="dxa" w:w="514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Настройка доступа к системе учёта, выгрузка данных, обучение модели</w:t>
            </w:r>
          </w:p>
        </w:tc>
        <w:tc>
          <w:tcPr>
            <w:tcW w:type="dxa" w:w="143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 день</w:t>
            </w:r>
          </w:p>
        </w:tc>
      </w:tr>
      <w:tr>
        <w:tc>
          <w:tcPr>
            <w:tcW w:type="dxa" w:w="277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6. Инструктаж</w:t>
            </w:r>
          </w:p>
        </w:tc>
        <w:tc>
          <w:tcPr>
            <w:tcW w:type="dxa" w:w="514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Обучение официантов и управляющего работе с ботом</w:t>
            </w:r>
          </w:p>
        </w:tc>
        <w:tc>
          <w:tcPr>
            <w:tcW w:type="dxa" w:w="143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 день</w:t>
            </w:r>
          </w:p>
        </w:tc>
      </w:tr>
      <w:tr>
        <w:tc>
          <w:tcPr>
            <w:tcW w:type="dxa" w:w="277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7. Пилотный период</w:t>
            </w:r>
          </w:p>
        </w:tc>
        <w:tc>
          <w:tcPr>
            <w:tcW w:type="dxa" w:w="514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30 дней бесплатного использования, измерение результата</w:t>
            </w:r>
          </w:p>
        </w:tc>
        <w:tc>
          <w:tcPr>
            <w:tcW w:type="dxa" w:w="143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30 дней</w:t>
            </w:r>
          </w:p>
        </w:tc>
      </w:tr>
      <w:tr>
        <w:tc>
          <w:tcPr>
            <w:tcW w:type="dxa" w:w="277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 Переход на подписку</w:t>
            </w:r>
          </w:p>
        </w:tc>
        <w:tc>
          <w:tcPr>
            <w:tcW w:type="dxa" w:w="514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Начало оплаты либо отказ заказчика</w:t>
            </w:r>
          </w:p>
        </w:tc>
        <w:tc>
          <w:tcPr>
            <w:tcW w:type="dxa" w:w="143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w:t>
            </w:r>
          </w:p>
        </w:tc>
      </w:tr>
    </w:tbl>
    <w:p>
      <w:pPr>
        <w:spacing w:line="360" w:lineRule="auto" w:before="0" w:after="12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Продолжительность цикла от обращения до начала оплаты составляет около 40 дней, из которых 30 приходится на пилотный период. Собственно продажа и подключение занимают до 10 дней, что существенно для планирования: заведения, подключённые в декабре первого года, приносят выручку только со второго года.</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Порядок подключения</w:t>
      </w:r>
    </w:p>
    <w:p>
      <w:pPr>
        <w:spacing w:line="360" w:lineRule="auto" w:before="0" w:after="0"/>
        <w:ind w:firstLine="709" w:left="0" w:right="0"/>
        <w:jc w:val="both"/>
      </w:pPr>
      <w:r>
        <w:rPr>
          <w:rFonts w:ascii="Times New Roman" w:hAnsi="Times New Roman" w:cs="Times New Roman" w:eastAsia="Times New Roman"/>
          <w:b w:val="0"/>
          <w:i w:val="0"/>
          <w:color w:val="000000"/>
          <w:sz w:val="28"/>
        </w:rPr>
        <w:t>Подключение выполняется силами предприятия и не затрагивает работу зала. Для каждого ресторана разворачивается отдельный экземпляр платформы с собственной базой данных и собственной моделью: меню и состав гостей у заведений различаются, и общая модель для нескольких ресторанов давала бы худший результат.</w:t>
      </w:r>
    </w:p>
    <w:p>
      <w:pPr>
        <w:spacing w:line="360" w:lineRule="auto" w:before="0" w:after="0"/>
        <w:ind w:firstLine="709" w:left="0" w:right="0"/>
        <w:jc w:val="both"/>
      </w:pPr>
      <w:r>
        <w:rPr>
          <w:rFonts w:ascii="Times New Roman" w:hAnsi="Times New Roman" w:cs="Times New Roman" w:eastAsia="Times New Roman"/>
          <w:b w:val="0"/>
          <w:i w:val="0"/>
          <w:color w:val="000000"/>
          <w:sz w:val="28"/>
        </w:rPr>
        <w:t>Порядок работ: получение доступа к API системы учёта, выгрузка истории заказов и справочника меню, проверка полноты данных, обучение моделей, проверка выдачи на нескольких гостях заказчика, подключение бота и инструктаж персонала. Установка программ на кассы и изменение настроек системы учёта не требуются.</w:t>
      </w:r>
    </w:p>
    <w:p>
      <w:pPr>
        <w:spacing w:line="360" w:lineRule="auto" w:before="0" w:after="0"/>
        <w:ind w:firstLine="709" w:left="0" w:right="0"/>
        <w:jc w:val="both"/>
      </w:pPr>
      <w:r>
        <w:rPr>
          <w:rFonts w:ascii="Times New Roman" w:hAnsi="Times New Roman" w:cs="Times New Roman" w:eastAsia="Times New Roman"/>
          <w:b w:val="0"/>
          <w:i w:val="0"/>
          <w:color w:val="000000"/>
          <w:sz w:val="28"/>
        </w:rPr>
        <w:t>Инструктаж проводится с управляющим и сменой официантов и занимает около часа: интерфейс бота состоит из трёх действий – запрос рекомендации, просмотр профиля гостя, внесение заметки. Отдельного обучения работе с системой не требуется.</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Удержание заказчиков</w:t>
      </w:r>
    </w:p>
    <w:p>
      <w:pPr>
        <w:spacing w:line="360" w:lineRule="auto" w:before="0" w:after="0"/>
        <w:ind w:firstLine="709" w:left="0" w:right="0"/>
        <w:jc w:val="both"/>
      </w:pPr>
      <w:r>
        <w:rPr>
          <w:rFonts w:ascii="Times New Roman" w:hAnsi="Times New Roman" w:cs="Times New Roman" w:eastAsia="Times New Roman"/>
          <w:b w:val="0"/>
          <w:i w:val="0"/>
          <w:color w:val="000000"/>
          <w:sz w:val="28"/>
        </w:rPr>
        <w:t>При подписной модели выручка определяется не только числом продаж, но и долей заказчиков, продолжающих оплату. Расчёт объёма продаж (раздел 4.3) исходит из накопительного роста числа подключённых заведений, что предполагает сохранение заказчиков.</w:t>
      </w:r>
    </w:p>
    <w:p>
      <w:pPr>
        <w:spacing w:line="360" w:lineRule="auto" w:before="0" w:after="0"/>
        <w:ind w:firstLine="709" w:left="0" w:right="0"/>
        <w:jc w:val="both"/>
      </w:pPr>
      <w:r>
        <w:rPr>
          <w:rFonts w:ascii="Times New Roman" w:hAnsi="Times New Roman" w:cs="Times New Roman" w:eastAsia="Times New Roman"/>
          <w:b w:val="0"/>
          <w:i w:val="0"/>
          <w:color w:val="000000"/>
          <w:sz w:val="28"/>
        </w:rPr>
        <w:t>Удержание обеспечивается свойствами самого продукта: модель обучается на данных конкретного ресторана и с накоплением истории заказов улучшает качество рекомендаций, а внесённые официантами заметки о предпочтениях и аллергиях гостей образуют сведения, которых нет в системе учёта и которые при отказе от сервиса теряются.</w:t>
      </w:r>
    </w:p>
    <w:p>
      <w:pPr>
        <w:spacing w:line="360" w:lineRule="auto" w:before="0" w:after="0"/>
        <w:ind w:firstLine="709" w:left="0" w:right="0"/>
        <w:jc w:val="both"/>
      </w:pPr>
      <w:r>
        <w:rPr>
          <w:rFonts w:ascii="Times New Roman" w:hAnsi="Times New Roman" w:cs="Times New Roman" w:eastAsia="Times New Roman"/>
          <w:b w:val="0"/>
          <w:i w:val="0"/>
          <w:color w:val="000000"/>
          <w:sz w:val="28"/>
        </w:rPr>
        <w:t>Дополнительно предусматриваются ежемесячный отчёт заказчику о работе сервиса – число обращений официантов, доля рекомендаций, вошедших в заказ, – и еженедельное переобучение моделей, поддерживающее актуальность выдачи при изменении меню.</w:t>
      </w:r>
    </w:p>
    <w:p>
      <w:pPr>
        <w:spacing w:line="360" w:lineRule="auto" w:before="0" w:after="0"/>
        <w:ind w:firstLine="709" w:left="0" w:right="0"/>
        <w:jc w:val="both"/>
      </w:pPr>
      <w:r>
        <w:rPr>
          <w:rFonts w:ascii="Times New Roman" w:hAnsi="Times New Roman" w:cs="Times New Roman" w:eastAsia="Times New Roman"/>
          <w:b w:val="0"/>
          <w:i w:val="0"/>
          <w:color w:val="000000"/>
          <w:sz w:val="28"/>
        </w:rPr>
        <w:t>Отток заказчиков в расчётах принят нулевым, что является допущением: фактическая величина определяется по итогам первого года эксплуатации. Риск оттока рассматривается в разделе «Анализ рисков».</w:t>
      </w:r>
    </w:p>
    <w:p>
      <w:pPr>
        <w:pStyle w:val="Heading2"/>
        <w:keepNext/>
        <w:spacing w:line="360" w:lineRule="auto" w:before="0" w:after="0"/>
        <w:ind w:firstLine="709" w:left="0" w:right="0"/>
        <w:jc w:val="both"/>
      </w:pPr>
      <w:r>
        <w:rPr>
          <w:rFonts w:ascii="Times New Roman" w:hAnsi="Times New Roman" w:cs="Times New Roman" w:eastAsia="Times New Roman"/>
          <w:b/>
          <w:i w:val="0"/>
          <w:color w:val="000000"/>
          <w:sz w:val="28"/>
        </w:rPr>
        <w:t>4.6 Ценовая политика</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Модель ценообразования</w:t>
      </w:r>
    </w:p>
    <w:p>
      <w:pPr>
        <w:spacing w:line="360" w:lineRule="auto" w:before="0" w:after="0"/>
        <w:ind w:firstLine="709" w:left="0" w:right="0"/>
        <w:jc w:val="both"/>
      </w:pPr>
      <w:r>
        <w:rPr>
          <w:rFonts w:ascii="Times New Roman" w:hAnsi="Times New Roman" w:cs="Times New Roman" w:eastAsia="Times New Roman"/>
          <w:b w:val="0"/>
          <w:i w:val="0"/>
          <w:color w:val="000000"/>
          <w:sz w:val="28"/>
        </w:rPr>
        <w:t>Цена установлена в форме фиксированной ежемесячной подписки за одно заведение – 10 000 рублей независимо от числа гостей, заказов и официантов.</w:t>
      </w:r>
    </w:p>
    <w:p>
      <w:pPr>
        <w:spacing w:line="360" w:lineRule="auto" w:before="0" w:after="0"/>
        <w:ind w:firstLine="709" w:left="0" w:right="0"/>
        <w:jc w:val="both"/>
      </w:pPr>
      <w:r>
        <w:rPr>
          <w:rFonts w:ascii="Times New Roman" w:hAnsi="Times New Roman" w:cs="Times New Roman" w:eastAsia="Times New Roman"/>
          <w:b w:val="0"/>
          <w:i w:val="0"/>
          <w:color w:val="000000"/>
          <w:sz w:val="28"/>
        </w:rPr>
        <w:t>Отвергнуты два альтернативных подхода. Оплата за результат – процент от прироста выручки – требует согласованной методики измерения прироста и раздельного учёта влияния прочих факторов: изменения меню, сезонности, рекламы самого ресторана. Спор о величине базы возникал бы ежемесячно. Оплата по числу гостей или заказов делает расход заказчика непредсказуемым и наказывает за рост, тогда как затраты предприятия на обслуживание заведения от его загрузки почти не зависят: прямая себестоимость складывается из аренды сервера и фиксированного времени сопровождения (раздел 6).</w:t>
      </w:r>
    </w:p>
    <w:p>
      <w:pPr>
        <w:spacing w:line="360" w:lineRule="auto" w:before="0" w:after="0"/>
        <w:ind w:firstLine="709" w:left="0" w:right="0"/>
        <w:jc w:val="both"/>
      </w:pPr>
      <w:r>
        <w:rPr>
          <w:rFonts w:ascii="Times New Roman" w:hAnsi="Times New Roman" w:cs="Times New Roman" w:eastAsia="Times New Roman"/>
          <w:b w:val="0"/>
          <w:i w:val="0"/>
          <w:color w:val="000000"/>
          <w:sz w:val="28"/>
        </w:rPr>
        <w:t>Фиксированная подписка понятна при продаже, соответствует принятой в отрасли форме оплаты программных сервисов и позволяет заказчику заранее внести расход в бюджет.</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Обоснование величины</w:t>
      </w:r>
    </w:p>
    <w:p>
      <w:pPr>
        <w:spacing w:line="360" w:lineRule="auto" w:before="0" w:after="0"/>
        <w:ind w:firstLine="709" w:left="0" w:right="0"/>
        <w:jc w:val="both"/>
      </w:pPr>
      <w:r>
        <w:rPr>
          <w:rFonts w:ascii="Times New Roman" w:hAnsi="Times New Roman" w:cs="Times New Roman" w:eastAsia="Times New Roman"/>
          <w:b w:val="0"/>
          <w:i w:val="0"/>
          <w:color w:val="000000"/>
          <w:sz w:val="28"/>
        </w:rPr>
        <w:t>Цена определена по трём независимым ограничениям: ценности для заказчика, сложившемуся уровню цен на смежные сервисы и собственной экономике предприятия.</w:t>
      </w:r>
    </w:p>
    <w:p>
      <w:pPr>
        <w:spacing w:line="360" w:lineRule="auto" w:before="0" w:after="0"/>
        <w:ind w:firstLine="709" w:left="0" w:right="0"/>
        <w:jc w:val="both"/>
      </w:pPr>
      <w:r>
        <w:rPr>
          <w:rFonts w:ascii="Times New Roman" w:hAnsi="Times New Roman" w:cs="Times New Roman" w:eastAsia="Times New Roman"/>
          <w:b/>
          <w:i w:val="0"/>
          <w:color w:val="000000"/>
          <w:sz w:val="28"/>
        </w:rPr>
        <w:t>Ценность для заказчика.</w:t>
      </w:r>
      <w:r>
        <w:rPr>
          <w:rFonts w:ascii="Times New Roman" w:hAnsi="Times New Roman" w:cs="Times New Roman" w:eastAsia="Times New Roman"/>
          <w:b w:val="0"/>
          <w:i w:val="0"/>
          <w:color w:val="000000"/>
          <w:sz w:val="28"/>
        </w:rPr>
        <w:t xml:space="preserve"> Минимальное заведение целевого сегмента – 1 000 заказов в месяц при среднем чеке 2 710 рублей (раздел 4.2) – имеет оборот 2,71 млн рублей в месяц. Прирост среднего чека на 2 % даёт 54 200 рублей дополнительной выручки, что при маржинальном доходе 70 % (раздел 4.2) составляет 37 900 рублей прироста прибыли. Подписка 10 000 рублей составляет 26 % этой величины: заказчику остаётся основная часть эффекта.</w:t>
      </w:r>
    </w:p>
    <w:p>
      <w:pPr>
        <w:spacing w:line="360" w:lineRule="auto" w:before="0" w:after="0"/>
        <w:ind w:firstLine="709" w:left="0" w:right="0"/>
        <w:jc w:val="both"/>
      </w:pPr>
      <w:r>
        <w:rPr>
          <w:rFonts w:ascii="Times New Roman" w:hAnsi="Times New Roman" w:cs="Times New Roman" w:eastAsia="Times New Roman"/>
          <w:b w:val="0"/>
          <w:i w:val="0"/>
          <w:color w:val="000000"/>
          <w:sz w:val="28"/>
        </w:rPr>
        <w:t>Окупаемость достигается приростом 5,3 чека в месяц – примерно один дополнительный гость в неделю. Доля подписки в обороте заведения – 0,37 %.</w:t>
      </w:r>
    </w:p>
    <w:p>
      <w:pPr>
        <w:spacing w:line="360" w:lineRule="auto" w:before="0" w:after="0"/>
        <w:ind w:firstLine="709" w:left="0" w:right="0"/>
        <w:jc w:val="both"/>
      </w:pPr>
      <w:r>
        <w:rPr>
          <w:rFonts w:ascii="Times New Roman" w:hAnsi="Times New Roman" w:cs="Times New Roman" w:eastAsia="Times New Roman"/>
          <w:b/>
          <w:i w:val="0"/>
          <w:color w:val="000000"/>
          <w:sz w:val="28"/>
        </w:rPr>
        <w:t>Уровень цен на смежные сервисы.</w:t>
      </w:r>
      <w:r>
        <w:rPr>
          <w:rFonts w:ascii="Times New Roman" w:hAnsi="Times New Roman" w:cs="Times New Roman" w:eastAsia="Times New Roman"/>
          <w:b w:val="0"/>
          <w:i w:val="0"/>
          <w:color w:val="000000"/>
          <w:sz w:val="28"/>
        </w:rPr>
        <w:t xml:space="preserve"> Ориентиром служит открытый прайс-лист iiko – системы учёта, которой пользуется целевой сегмент [23]:</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16" w:name="_Tbl_9_1"/>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16"/>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Цены смежных программных продуктов для ресторанов</w:t>
      </w:r>
    </w:p>
    <w:tbl>
      <w:tblPr>
        <w:tblStyle w:val="TableGrid"/>
        <w:tblW w:type="auto" w:w="0"/>
        <w:jc w:val="center"/>
        <w:tblLayout w:type="fixed"/>
        <w:tblLook w:firstColumn="1" w:firstRow="1" w:lastColumn="0" w:lastRow="0" w:noHBand="0" w:noVBand="1" w:val="04A0"/>
      </w:tblPr>
      <w:tblGrid>
        <w:gridCol w:w="5763"/>
        <w:gridCol w:w="3591"/>
      </w:tblGrid>
      <w:tr>
        <w:trPr>
          <w:tblHeader/>
        </w:trPr>
        <w:tc>
          <w:tcPr>
            <w:tcW w:type="dxa" w:w="5763"/>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Продукт</w:t>
            </w:r>
          </w:p>
        </w:tc>
        <w:tc>
          <w:tcPr>
            <w:tcW w:type="dxa" w:w="3591"/>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Цена, руб./мес.</w:t>
            </w:r>
          </w:p>
        </w:tc>
      </w:tr>
      <w:tr>
        <w:tc>
          <w:tcPr>
            <w:tcW w:type="dxa" w:w="576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iikoCloud «Кафе»</w:t>
            </w:r>
          </w:p>
        </w:tc>
        <w:tc>
          <w:tcPr>
            <w:tcW w:type="dxa" w:w="359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5 000</w:t>
            </w:r>
          </w:p>
        </w:tc>
      </w:tr>
      <w:tr>
        <w:tc>
          <w:tcPr>
            <w:tcW w:type="dxa" w:w="576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Модуль «Лояльность», уровень МИНИ</w:t>
            </w:r>
          </w:p>
        </w:tc>
        <w:tc>
          <w:tcPr>
            <w:tcW w:type="dxa" w:w="359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3 500</w:t>
            </w:r>
          </w:p>
        </w:tc>
      </w:tr>
      <w:tr>
        <w:tc>
          <w:tcPr>
            <w:tcW w:type="dxa" w:w="576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Модуль «Лояльность», уровень ОПТИ</w:t>
            </w:r>
          </w:p>
        </w:tc>
        <w:tc>
          <w:tcPr>
            <w:tcW w:type="dxa" w:w="359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5 000</w:t>
            </w:r>
          </w:p>
        </w:tc>
      </w:tr>
      <w:tr>
        <w:tc>
          <w:tcPr>
            <w:tcW w:type="dxa" w:w="576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iikoCloud «Профессиональный»</w:t>
            </w:r>
          </w:p>
        </w:tc>
        <w:tc>
          <w:tcPr>
            <w:tcW w:type="dxa" w:w="359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8 600</w:t>
            </w:r>
          </w:p>
        </w:tc>
      </w:tr>
      <w:tr>
        <w:tc>
          <w:tcPr>
            <w:tcW w:type="dxa" w:w="576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iikoCloud «Корпоративный»</w:t>
            </w:r>
          </w:p>
        </w:tc>
        <w:tc>
          <w:tcPr>
            <w:tcW w:type="dxa" w:w="359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10 600</w:t>
            </w:r>
          </w:p>
        </w:tc>
      </w:tr>
      <w:tr>
        <w:tc>
          <w:tcPr>
            <w:tcW w:type="dxa" w:w="5763"/>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Boostaurant</w:t>
            </w:r>
          </w:p>
        </w:tc>
        <w:tc>
          <w:tcPr>
            <w:tcW w:type="dxa" w:w="3591"/>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10 000</w:t>
            </w:r>
          </w:p>
        </w:tc>
      </w:tr>
    </w:tbl>
    <w:p>
      <w:pPr>
        <w:spacing w:line="360" w:lineRule="auto" w:before="0" w:after="12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Заведение целевого сегмента уже расходует на учётную систему 5 000–8 600 рублей и на модуль лояльности 3 500–5 000 рублей в месяц. Цена 10 000 рублей находится в пределах привычного для заказчика диапазона и не превышает стоимости основной учётной системы.</w:t>
      </w:r>
    </w:p>
    <w:p>
      <w:pPr>
        <w:spacing w:line="360" w:lineRule="auto" w:before="0" w:after="0"/>
        <w:ind w:firstLine="709" w:left="0" w:right="0"/>
        <w:jc w:val="both"/>
      </w:pPr>
      <w:r>
        <w:rPr>
          <w:rFonts w:ascii="Times New Roman" w:hAnsi="Times New Roman" w:cs="Times New Roman" w:eastAsia="Times New Roman"/>
          <w:b w:val="0"/>
          <w:i w:val="0"/>
          <w:color w:val="000000"/>
          <w:sz w:val="28"/>
        </w:rPr>
        <w:t>Цены платформ лояльности – Plazius, Loymax, «Фабрика лояльности» – публично не раскрываются и предоставляются по запросу, поэтому в сопоставление не включены.</w:t>
      </w:r>
    </w:p>
    <w:p>
      <w:pPr>
        <w:spacing w:line="360" w:lineRule="auto" w:before="0" w:after="0"/>
        <w:ind w:firstLine="709" w:left="0" w:right="0"/>
        <w:jc w:val="both"/>
      </w:pPr>
      <w:r>
        <w:rPr>
          <w:rFonts w:ascii="Times New Roman" w:hAnsi="Times New Roman" w:cs="Times New Roman" w:eastAsia="Times New Roman"/>
          <w:b/>
          <w:i w:val="0"/>
          <w:color w:val="000000"/>
          <w:sz w:val="28"/>
        </w:rPr>
        <w:t>Экономика предприятия.</w:t>
      </w:r>
      <w:r>
        <w:rPr>
          <w:rFonts w:ascii="Times New Roman" w:hAnsi="Times New Roman" w:cs="Times New Roman" w:eastAsia="Times New Roman"/>
          <w:b w:val="0"/>
          <w:i w:val="0"/>
          <w:color w:val="000000"/>
          <w:sz w:val="28"/>
        </w:rPr>
        <w:t xml:space="preserve"> Прямая себестоимость обслуживания заведения – 1 254 рубля в месяц, с третьего года 1 382 рубля (раздел 6); валовая рентабельность при цене 10 000 рублей составляет 87 и 86 % соответственно. Затраты на привлечение заказчика – 6 067 рублей (раздел 4.4) – возмещаются менее чем за месяц подписки, разовые затраты на подключение 6 829 рублей – за первый месяц оплаты.</w:t>
      </w:r>
    </w:p>
    <w:p>
      <w:pPr>
        <w:spacing w:line="360" w:lineRule="auto" w:before="0" w:after="0"/>
        <w:ind w:firstLine="709" w:left="0" w:right="0"/>
        <w:jc w:val="both"/>
      </w:pPr>
      <w:r>
        <w:rPr>
          <w:rFonts w:ascii="Times New Roman" w:hAnsi="Times New Roman" w:cs="Times New Roman" w:eastAsia="Times New Roman"/>
          <w:b w:val="0"/>
          <w:i w:val="0"/>
          <w:color w:val="000000"/>
          <w:sz w:val="28"/>
        </w:rPr>
        <w:t>Для продукта без подтверждённых внедрений (раздел 4.7) определяющим на первом году является число подключений, а не выручка с одного заказчика.</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Условия оплаты и изменения цены</w:t>
      </w:r>
    </w:p>
    <w:p>
      <w:pPr>
        <w:spacing w:line="360" w:lineRule="auto" w:before="0" w:after="0"/>
        <w:ind w:firstLine="709" w:left="0" w:right="0"/>
        <w:jc w:val="both"/>
      </w:pPr>
      <w:r>
        <w:rPr>
          <w:rFonts w:ascii="Times New Roman" w:hAnsi="Times New Roman" w:cs="Times New Roman" w:eastAsia="Times New Roman"/>
          <w:b w:val="0"/>
          <w:i w:val="0"/>
          <w:color w:val="000000"/>
          <w:sz w:val="28"/>
        </w:rPr>
        <w:t>Бесплатный период – 30 дней с момента подключения – предоставляется каждому заказчику, а не только пилотным заведениям (раздел 4.5). Внедрение выполняется без отдельной платы: взимание платы за подключение при неподтверждённом результате увеличивает долю отказов, а её величина мала относительно поступлений за срок пользования сервисом.</w:t>
      </w:r>
    </w:p>
    <w:p>
      <w:pPr>
        <w:spacing w:line="360" w:lineRule="auto" w:before="0" w:after="0"/>
        <w:ind w:firstLine="709" w:left="0" w:right="0"/>
        <w:jc w:val="both"/>
      </w:pPr>
      <w:r>
        <w:rPr>
          <w:rFonts w:ascii="Times New Roman" w:hAnsi="Times New Roman" w:cs="Times New Roman" w:eastAsia="Times New Roman"/>
          <w:b w:val="0"/>
          <w:i w:val="0"/>
          <w:color w:val="000000"/>
          <w:sz w:val="28"/>
        </w:rPr>
        <w:t>Оплата производится ежемесячно, авансом за расчётный месяц. Минимальный срок договора не устанавливается, расторжение возможно с уведомлением за 30 дней (раздел 4.5).</w:t>
      </w:r>
    </w:p>
    <w:p>
      <w:pPr>
        <w:spacing w:line="360" w:lineRule="auto" w:before="0" w:after="0"/>
        <w:ind w:firstLine="709" w:left="0" w:right="0"/>
        <w:jc w:val="both"/>
      </w:pPr>
      <w:r>
        <w:rPr>
          <w:rFonts w:ascii="Times New Roman" w:hAnsi="Times New Roman" w:cs="Times New Roman" w:eastAsia="Times New Roman"/>
          <w:b w:val="0"/>
          <w:i w:val="0"/>
          <w:color w:val="000000"/>
          <w:sz w:val="28"/>
        </w:rPr>
        <w:t>Пяти пилотным заведениям цена фиксируется бессрочно – это возмещение риска работы с поставщиком, не имеющим внедрений. Для остальных заказчиков цена, действующая на момент заключения договора, сохраняется в течение 12 месяцев.</w:t>
      </w:r>
    </w:p>
    <w:p>
      <w:pPr>
        <w:spacing w:line="360" w:lineRule="auto" w:before="0" w:after="0"/>
        <w:ind w:firstLine="709" w:left="0" w:right="0"/>
        <w:jc w:val="both"/>
      </w:pPr>
      <w:r>
        <w:rPr>
          <w:rFonts w:ascii="Times New Roman" w:hAnsi="Times New Roman" w:cs="Times New Roman" w:eastAsia="Times New Roman"/>
          <w:b w:val="0"/>
          <w:i w:val="0"/>
          <w:color w:val="000000"/>
          <w:sz w:val="28"/>
        </w:rPr>
        <w:t>Скидки за объём при подключении сети предусмотрены начиная с трёх заведений: трудоёмкость подключения второго и последующих заведений сети ниже за счёт единого согласования доступа к системе учёта и общего инструктажа. Величина скидки устанавливается по результатам первых обращений сетей и на расчёты бизнес-плана не влияет – планируемый сегмент составляют самостоятельные заведения (раздел 4.2).</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Пересмотр цены</w:t>
      </w:r>
    </w:p>
    <w:p>
      <w:pPr>
        <w:spacing w:line="360" w:lineRule="auto" w:before="0" w:after="0"/>
        <w:ind w:firstLine="709" w:left="0" w:right="0"/>
        <w:jc w:val="both"/>
      </w:pPr>
      <w:r>
        <w:rPr>
          <w:rFonts w:ascii="Times New Roman" w:hAnsi="Times New Roman" w:cs="Times New Roman" w:eastAsia="Times New Roman"/>
          <w:b w:val="0"/>
          <w:i w:val="0"/>
          <w:color w:val="000000"/>
          <w:sz w:val="28"/>
        </w:rPr>
        <w:t>Цена подлежит уточнению по итогам пилотных внедрений, когда прирост среднего чека будет измерен на данных действующих ресторанов. Расчёт настоящего раздела опирается на консервативное допущение о приросте 2 %; подтверждение большей величины образует основание для повышения цены при заключении новых договоров.</w:t>
      </w:r>
    </w:p>
    <w:p>
      <w:pPr>
        <w:pStyle w:val="Heading2"/>
        <w:keepNext/>
        <w:spacing w:line="360" w:lineRule="auto" w:before="0" w:after="0"/>
        <w:ind w:firstLine="709" w:left="0" w:right="0"/>
        <w:jc w:val="both"/>
      </w:pPr>
      <w:r>
        <w:rPr>
          <w:rFonts w:ascii="Times New Roman" w:hAnsi="Times New Roman" w:cs="Times New Roman" w:eastAsia="Times New Roman"/>
          <w:b/>
          <w:i w:val="0"/>
          <w:color w:val="000000"/>
          <w:sz w:val="28"/>
        </w:rPr>
        <w:t>4.7 SWOT-анализ</w:t>
      </w:r>
    </w:p>
    <w:p>
      <w:pPr>
        <w:spacing w:line="360" w:lineRule="auto" w:before="0" w:after="0"/>
        <w:ind w:firstLine="709" w:left="0" w:right="0"/>
        <w:jc w:val="both"/>
      </w:pPr>
      <w:r>
        <w:rPr>
          <w:rFonts w:ascii="Times New Roman" w:hAnsi="Times New Roman" w:cs="Times New Roman" w:eastAsia="Times New Roman"/>
          <w:b w:val="0"/>
          <w:i w:val="0"/>
          <w:color w:val="000000"/>
          <w:sz w:val="28"/>
        </w:rPr>
        <w:t>Сильные и слабые стороны определены по состоянию проекта на момент составления бизнес-плана: завершён этап разработки прототипа по договору с Фондом содействия инновациям, платформа работает на синтетических данных, внедрений в действующих ресторанах не выполнялось.</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Матрица SWOT</w:t>
      </w:r>
    </w:p>
    <w:tbl>
      <w:tblPr>
        <w:tblStyle w:val="TableGrid"/>
        <w:tblW w:type="auto" w:w="0"/>
        <w:jc w:val="center"/>
        <w:tblLayout w:type="fixed"/>
        <w:tblLook w:firstColumn="1" w:firstRow="1" w:lastColumn="0" w:lastRow="0" w:noHBand="0" w:noVBand="1" w:val="04A0"/>
      </w:tblPr>
      <w:tblGrid>
        <w:gridCol w:w="4677"/>
        <w:gridCol w:w="4677"/>
      </w:tblGrid>
      <w:tr>
        <w:trPr>
          <w:tblHeader/>
        </w:trPr>
        <w:tc>
          <w:tcPr>
            <w:tcW w:type="dxa" w:w="4677"/>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Сильные стороны (S)</w:t>
            </w:r>
          </w:p>
        </w:tc>
        <w:tc>
          <w:tcPr>
            <w:tcW w:type="dxa" w:w="4677"/>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Слабые стороны (W)</w:t>
            </w:r>
          </w:p>
        </w:tc>
      </w:tr>
      <w:tr>
        <w:tc>
          <w:tcPr>
            <w:tcW w:type="dxa" w:w="467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Работающий прототип: база данных, рекомендательное ядро, API, бот, интеграция с iiko</w:t>
            </w:r>
          </w:p>
        </w:tc>
        <w:tc>
          <w:tcPr>
            <w:tcW w:type="dxa" w:w="467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Отсутствие внедрений в действующих ресторанах и измеренного результата у заказчика</w:t>
            </w:r>
          </w:p>
        </w:tc>
      </w:tr>
      <w:tr>
        <w:tc>
          <w:tcPr>
            <w:tcW w:type="dxa" w:w="467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Незанятая позиция: персональные рекомендации официанту в момент обслуживания (раздел 4.1)</w:t>
            </w:r>
          </w:p>
        </w:tc>
        <w:tc>
          <w:tcPr>
            <w:tcW w:type="dxa" w:w="467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Проверка моделей выполнена на синтетических данных, поведение на реальных заказах не подтверждено</w:t>
            </w:r>
          </w:p>
        </w:tc>
      </w:tr>
      <w:tr>
        <w:tc>
          <w:tcPr>
            <w:tcW w:type="dxa" w:w="467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Проверенное качество рекомендаций: точность SVD 97,1 %, покрытие холодного старта 84,4 %</w:t>
            </w:r>
          </w:p>
        </w:tc>
        <w:tc>
          <w:tcPr>
            <w:tcW w:type="dxa" w:w="467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Зависимость от программных интерфейсов iiko и r_keeper, не контролируемых предприятием</w:t>
            </w:r>
          </w:p>
        </w:tc>
      </w:tr>
      <w:tr>
        <w:tc>
          <w:tcPr>
            <w:tcW w:type="dxa" w:w="467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Низкий барьер внедрения: не требуется установка на кассы и изменение настроек системы учёта</w:t>
            </w:r>
          </w:p>
        </w:tc>
        <w:tc>
          <w:tcPr>
            <w:tcW w:type="dxa" w:w="467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Один основатель совмещает разработку, продажи и внедрение</w:t>
            </w:r>
          </w:p>
        </w:tc>
      </w:tr>
      <w:tr>
        <w:tc>
          <w:tcPr>
            <w:tcW w:type="dxa" w:w="467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Схема обработки данных, отвечающая 152-ФЗ: минимальный состав ПДн, изолированная база на ресторан</w:t>
            </w:r>
          </w:p>
        </w:tc>
        <w:tc>
          <w:tcPr>
            <w:tcW w:type="dxa" w:w="467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Отсутствие интеграции с r_keeper: разработана только интеграция с iiko</w:t>
            </w:r>
          </w:p>
        </w:tc>
      </w:tr>
      <w:tr>
        <w:tc>
          <w:tcPr>
            <w:tcW w:type="dxa" w:w="467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Финансирование этапа разработки грантом ФСИ, отсутствие долговой нагрузки</w:t>
            </w:r>
          </w:p>
        </w:tc>
        <w:tc>
          <w:tcPr>
            <w:tcW w:type="dxa" w:w="467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Отсутствие опыта продаж в ресторанной отрасли и сложившихся отраслевых связей</w:t>
            </w:r>
          </w:p>
        </w:tc>
      </w:tr>
    </w:tbl>
    <w:p>
      <w:pPr>
        <w:spacing w:line="360" w:lineRule="auto" w:before="0" w:after="120"/>
        <w:ind w:firstLine="0" w:left="0" w:right="0"/>
        <w:jc w:val="both"/>
      </w:pP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17" w:name="_Tbl_10_1"/>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17"/>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Матрица SWOT</w:t>
      </w:r>
    </w:p>
    <w:tbl>
      <w:tblPr>
        <w:tblStyle w:val="TableGrid"/>
        <w:tblW w:type="auto" w:w="0"/>
        <w:jc w:val="center"/>
        <w:tblLayout w:type="fixed"/>
        <w:tblLook w:firstColumn="1" w:firstRow="1" w:lastColumn="0" w:lastRow="0" w:noHBand="0" w:noVBand="1" w:val="04A0"/>
      </w:tblPr>
      <w:tblGrid>
        <w:gridCol w:w="4484"/>
        <w:gridCol w:w="4870"/>
      </w:tblGrid>
      <w:tr>
        <w:trPr>
          <w:tblHeader/>
        </w:trPr>
        <w:tc>
          <w:tcPr>
            <w:tcW w:type="dxa" w:w="4484"/>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Возможности (O)</w:t>
            </w:r>
          </w:p>
        </w:tc>
        <w:tc>
          <w:tcPr>
            <w:tcW w:type="dxa" w:w="4870"/>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Угрозы (T)</w:t>
            </w:r>
          </w:p>
        </w:tc>
      </w:tr>
      <w:tr>
        <w:tc>
          <w:tcPr>
            <w:tcW w:type="dxa" w:w="448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Рост рынка цифровизации HoReCa на 9–13 % ежегодно, драйвер – SaaS (раздел 3)</w:t>
            </w:r>
          </w:p>
        </w:tc>
        <w:tc>
          <w:tcPr>
            <w:tcW w:type="dxa" w:w="487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Сокращение целевого сегмента: рестораны в городах-миллионниках −5 % за год (раздел 4.2)</w:t>
            </w:r>
          </w:p>
        </w:tc>
      </w:tr>
      <w:tr>
        <w:tc>
          <w:tcPr>
            <w:tcW w:type="dxa" w:w="448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Падение трафика в ресторанах повышает ценность выручки с одного гостя (раздел 3)</w:t>
            </w:r>
          </w:p>
        </w:tc>
        <w:tc>
          <w:tcPr>
            <w:tcW w:type="dxa" w:w="487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Выход платформ лояльности в точку обслуживания: у них есть данные и обученные модели (раздел 4.1)</w:t>
            </w:r>
          </w:p>
        </w:tc>
      </w:tr>
      <w:tr>
        <w:tc>
          <w:tcPr>
            <w:tcW w:type="dxa" w:w="448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Кадровый дефицит и сменяемость персонала усиливают довод о переносе знания в систему</w:t>
            </w:r>
          </w:p>
        </w:tc>
        <w:tc>
          <w:tcPr>
            <w:tcW w:type="dxa" w:w="487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Появление заказных разработок сходного назначения, их последующая продуктизация</w:t>
            </w:r>
          </w:p>
        </w:tc>
      </w:tr>
      <w:tr>
        <w:tc>
          <w:tcPr>
            <w:tcW w:type="dxa" w:w="448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Налоговые льготы для аккредитованных ИТ-компаний: ставка налога на прибыль 5 % до 2030 года [24]</w:t>
            </w:r>
          </w:p>
        </w:tc>
        <w:tc>
          <w:tcPr>
            <w:tcW w:type="dxa" w:w="487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Отказ владельцев от передачи данных о гостях внешнему поставщику</w:t>
            </w:r>
          </w:p>
        </w:tc>
      </w:tr>
      <w:tr>
        <w:tc>
          <w:tcPr>
            <w:tcW w:type="dxa" w:w="448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Программы поддержки ФСИ: «Старт-1» до 4 млн рублей на следующем этапе [25]</w:t>
            </w:r>
          </w:p>
        </w:tc>
        <w:tc>
          <w:tcPr>
            <w:tcW w:type="dxa" w:w="487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Изменение условий доступа к программным интерфейсам систем учёта</w:t>
            </w:r>
          </w:p>
        </w:tc>
      </w:tr>
      <w:tr>
        <w:tc>
          <w:tcPr>
            <w:tcW w:type="dxa" w:w="448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Партнёрская сеть iiko как канал сбыта начиная с третьего года (раздел 4.5)</w:t>
            </w:r>
          </w:p>
        </w:tc>
        <w:tc>
          <w:tcPr>
            <w:tcW w:type="dxa" w:w="487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Отток заказчиков после пилота при недостижении заявленного эффекта</w:t>
            </w:r>
          </w:p>
        </w:tc>
      </w:tr>
      <w:tr>
        <w:tc>
          <w:tcPr>
            <w:tcW w:type="dxa" w:w="448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Масштабирование на другие сегменты офлайн-услуг: отели, розница, услуги красоты</w:t>
            </w:r>
          </w:p>
        </w:tc>
        <w:tc>
          <w:tcPr>
            <w:tcW w:type="dxa" w:w="487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Импортозамещение и уход поставщиков не затрагивают проект, но повышают требования к реестру отечественного ПО</w:t>
            </w:r>
          </w:p>
        </w:tc>
      </w:tr>
    </w:tbl>
    <w:p>
      <w:pPr>
        <w:spacing w:line="360" w:lineRule="auto" w:before="0" w:after="120"/>
        <w:ind w:firstLine="0" w:left="0" w:right="0"/>
        <w:jc w:val="both"/>
      </w:pPr>
    </w:p>
    <w:p>
      <w:pPr>
        <w:keepNext/>
        <w:spacing w:line="360" w:lineRule="auto" w:before="0" w:after="0"/>
        <w:ind w:firstLine="709" w:left="0" w:right="0"/>
        <w:jc w:val="both"/>
      </w:pPr>
      <w:r>
        <w:rPr>
          <w:rFonts w:ascii="Times New Roman" w:hAnsi="Times New Roman" w:cs="Times New Roman" w:eastAsia="Times New Roman"/>
          <w:b/>
          <w:i w:val="0"/>
          <w:color w:val="000000"/>
          <w:sz w:val="28"/>
        </w:rPr>
        <w:t>Выводы</w:t>
      </w:r>
    </w:p>
    <w:p>
      <w:pPr>
        <w:spacing w:line="360" w:lineRule="auto" w:before="0" w:after="0"/>
        <w:ind w:firstLine="709" w:left="0" w:right="0"/>
        <w:jc w:val="both"/>
      </w:pPr>
      <w:r>
        <w:rPr>
          <w:rFonts w:ascii="Times New Roman" w:hAnsi="Times New Roman" w:cs="Times New Roman" w:eastAsia="Times New Roman"/>
          <w:b/>
          <w:i w:val="0"/>
          <w:color w:val="000000"/>
          <w:sz w:val="28"/>
        </w:rPr>
        <w:t>Ключевое противоречие проекта – между готовым продуктом и отсутствием подтверждённого результата.</w:t>
      </w:r>
      <w:r>
        <w:rPr>
          <w:rFonts w:ascii="Times New Roman" w:hAnsi="Times New Roman" w:cs="Times New Roman" w:eastAsia="Times New Roman"/>
          <w:b w:val="0"/>
          <w:i w:val="0"/>
          <w:color w:val="000000"/>
          <w:sz w:val="28"/>
        </w:rPr>
        <w:t xml:space="preserve"> Разработка завершена и проверена измерениями, однако измерения выполнены на синтетических данных, а продажа опирается на обещание прироста выручки, которое пока ничем не подкреплено. Первоочередная задача – не развитие функций, а получение измеренного результата на действующем ресторане. Этим определяется содержание плана продвижения: пилотные внедрения на бесплатных условиях (раздел 4.4).</w:t>
      </w:r>
    </w:p>
    <w:p>
      <w:pPr>
        <w:spacing w:line="360" w:lineRule="auto" w:before="0" w:after="0"/>
        <w:ind w:firstLine="709" w:left="0" w:right="0"/>
        <w:jc w:val="both"/>
      </w:pPr>
      <w:r>
        <w:rPr>
          <w:rFonts w:ascii="Times New Roman" w:hAnsi="Times New Roman" w:cs="Times New Roman" w:eastAsia="Times New Roman"/>
          <w:b/>
          <w:i w:val="0"/>
          <w:color w:val="000000"/>
          <w:sz w:val="28"/>
        </w:rPr>
        <w:t>Сильные стороны реализуемы только в связке с возможностями рынка.</w:t>
      </w:r>
      <w:r>
        <w:rPr>
          <w:rFonts w:ascii="Times New Roman" w:hAnsi="Times New Roman" w:cs="Times New Roman" w:eastAsia="Times New Roman"/>
          <w:b w:val="0"/>
          <w:i w:val="0"/>
          <w:color w:val="000000"/>
          <w:sz w:val="28"/>
        </w:rPr>
        <w:t xml:space="preserve"> Незанятая позиция и низкий барьер внедрения сами по себе продаж не создают: доводом для владельца служит экономика его заведения, а не устройство продукта. Тенденции падения трафика и кадрового дефицита переводят технические свойства платформы в довод при продаже – выручка с гостя и независимость от состава смены.</w:t>
      </w:r>
    </w:p>
    <w:p>
      <w:pPr>
        <w:spacing w:line="360" w:lineRule="auto" w:before="0" w:after="0"/>
        <w:ind w:firstLine="709" w:left="0" w:right="0"/>
        <w:jc w:val="both"/>
      </w:pPr>
      <w:r>
        <w:rPr>
          <w:rFonts w:ascii="Times New Roman" w:hAnsi="Times New Roman" w:cs="Times New Roman" w:eastAsia="Times New Roman"/>
          <w:b/>
          <w:i w:val="0"/>
          <w:color w:val="000000"/>
          <w:sz w:val="28"/>
        </w:rPr>
        <w:t>Наиболее существенная угроза – выход платформ лояльности в точку обслуживания.</w:t>
      </w:r>
      <w:r>
        <w:rPr>
          <w:rFonts w:ascii="Times New Roman" w:hAnsi="Times New Roman" w:cs="Times New Roman" w:eastAsia="Times New Roman"/>
          <w:b w:val="0"/>
          <w:i w:val="0"/>
          <w:color w:val="000000"/>
          <w:sz w:val="28"/>
        </w:rPr>
        <w:t xml:space="preserve"> Располагая данными ресторанов, обученными моделями и клиентской базой, они способны добавить интерфейс для персонала зала. Технологического препятствия этому нет, поэтому противодействие возможно только за счёт скорости: набора заказчиков и накопления издержек переключения до того, как это произойдёт.</w:t>
      </w:r>
    </w:p>
    <w:p>
      <w:pPr>
        <w:spacing w:line="360" w:lineRule="auto" w:before="0" w:after="0"/>
        <w:ind w:firstLine="709" w:left="0" w:right="0"/>
        <w:jc w:val="both"/>
      </w:pPr>
      <w:r>
        <w:rPr>
          <w:rFonts w:ascii="Times New Roman" w:hAnsi="Times New Roman" w:cs="Times New Roman" w:eastAsia="Times New Roman"/>
          <w:b/>
          <w:i w:val="0"/>
          <w:color w:val="000000"/>
          <w:sz w:val="28"/>
        </w:rPr>
        <w:t>Слабые стороны устраняются последовательно, а не одновременно.</w:t>
      </w:r>
      <w:r>
        <w:rPr>
          <w:rFonts w:ascii="Times New Roman" w:hAnsi="Times New Roman" w:cs="Times New Roman" w:eastAsia="Times New Roman"/>
          <w:b w:val="0"/>
          <w:i w:val="0"/>
          <w:color w:val="000000"/>
          <w:sz w:val="28"/>
        </w:rPr>
        <w:t xml:space="preserve"> Отсутствие интеграции с r_keeper ограничивает доступный рынок, но её разработка до появления первых заказчиков на iiko преждевременна. Совмещение основателем разработки, продаж и внедрения допустимо при 30 заведениях первого года и требует расширения штата к второму году (раздел 5).</w:t>
      </w:r>
    </w:p>
    <w:p>
      <w:pPr>
        <w:spacing w:line="360" w:lineRule="auto" w:before="0" w:after="0"/>
        <w:ind w:firstLine="709" w:left="0" w:right="0"/>
        <w:jc w:val="both"/>
      </w:pPr>
      <w:r>
        <w:rPr>
          <w:rFonts w:ascii="Times New Roman" w:hAnsi="Times New Roman" w:cs="Times New Roman" w:eastAsia="Times New Roman"/>
          <w:b/>
          <w:i w:val="0"/>
          <w:color w:val="000000"/>
          <w:sz w:val="28"/>
        </w:rPr>
        <w:t>Сокращение целевого сегмента не отменяет спроса.</w:t>
      </w:r>
      <w:r>
        <w:rPr>
          <w:rFonts w:ascii="Times New Roman" w:hAnsi="Times New Roman" w:cs="Times New Roman" w:eastAsia="Times New Roman"/>
          <w:b w:val="0"/>
          <w:i w:val="0"/>
          <w:color w:val="000000"/>
          <w:sz w:val="28"/>
        </w:rPr>
        <w:t xml:space="preserve"> Число ресторанов уменьшается, но причина сокращения – падение посещаемости – одновременно образует потребность, которую закрывает продукт. Сжатие рынка ускоряет отбор: сохраняются заведения, работающие над выручкой с гостя, то есть именно целевые заказчики.</w:t>
      </w:r>
    </w:p>
    <w:p>
      <w:pPr>
        <w:pStyle w:val="Heading1"/>
        <w:keepNext/>
        <w:pageBreakBefore/>
        <w:spacing w:line="360" w:lineRule="auto" w:before="0" w:after="0"/>
        <w:ind w:firstLine="709" w:left="0" w:right="0"/>
        <w:jc w:val="both"/>
      </w:pPr>
      <w:r>
        <w:rPr>
          <w:rFonts w:ascii="Times New Roman" w:hAnsi="Times New Roman" w:cs="Times New Roman" w:eastAsia="Times New Roman"/>
          <w:b/>
          <w:i w:val="0"/>
          <w:color w:val="000000"/>
          <w:sz w:val="28"/>
        </w:rPr>
        <w:t>5 Организационный план</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Организационная структура</w:t>
      </w:r>
    </w:p>
    <w:p>
      <w:pPr>
        <w:spacing w:line="360" w:lineRule="auto" w:before="0" w:after="0"/>
        <w:ind w:firstLine="709" w:left="0" w:right="0"/>
        <w:jc w:val="both"/>
      </w:pPr>
      <w:r>
        <w:rPr>
          <w:rFonts w:ascii="Times New Roman" w:hAnsi="Times New Roman" w:cs="Times New Roman" w:eastAsia="Times New Roman"/>
          <w:b w:val="0"/>
          <w:i w:val="0"/>
          <w:color w:val="000000"/>
          <w:sz w:val="28"/>
        </w:rPr>
        <w:t>Тип структуры – линейная. Все работники подчинены непосредственно генеральному директору, промежуточные звенья управления отсутствуют. Выбор определяется численностью предприятия: до шести человек к третьему году, что не требует разделения на подразделения.</w:t>
      </w:r>
    </w:p>
    <w:p>
      <w:pPr>
        <w:spacing w:line="360" w:lineRule="auto" w:before="0" w:after="0"/>
        <w:ind w:firstLine="709" w:left="0" w:right="0"/>
        <w:jc w:val="both"/>
      </w:pPr>
      <w:r>
        <w:rPr>
          <w:rFonts w:ascii="Times New Roman" w:hAnsi="Times New Roman" w:cs="Times New Roman" w:eastAsia="Times New Roman"/>
          <w:b w:val="0"/>
          <w:i w:val="0"/>
          <w:color w:val="000000"/>
          <w:sz w:val="28"/>
        </w:rPr>
        <w:t>По мере роста числа заказчиков к третьему году обособляется направление внедрения и сопровождения – группа из трёх специалистов с координацией силами наиболее опытного из них. Выделение отдельной должности руководителя направления на рассматриваемом горизонте не предусмотрено.</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Штатное расписание</w:t>
      </w:r>
    </w:p>
    <w:p>
      <w:pPr>
        <w:spacing w:line="360" w:lineRule="auto" w:before="0" w:after="0"/>
        <w:ind w:firstLine="709" w:left="0" w:right="0"/>
        <w:jc w:val="both"/>
      </w:pPr>
      <w:r>
        <w:rPr>
          <w:rFonts w:ascii="Times New Roman" w:hAnsi="Times New Roman" w:cs="Times New Roman" w:eastAsia="Times New Roman"/>
          <w:b w:val="0"/>
          <w:i w:val="0"/>
          <w:color w:val="000000"/>
          <w:sz w:val="28"/>
        </w:rPr>
        <w:t>Потребность в персонале определена расчётом нагрузки: трудоёмкость подключения и сопровождения заказчиков (раздел 4.3) и трудоёмкость продаж (раздел 4.4).</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18" w:name="_Tbl_11_1"/>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18"/>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Штатное расписание</w:t>
      </w:r>
    </w:p>
    <w:tbl>
      <w:tblPr>
        <w:tblStyle w:val="TableGrid"/>
        <w:tblW w:type="auto" w:w="0"/>
        <w:jc w:val="center"/>
        <w:tblLayout w:type="fixed"/>
        <w:tblLook w:firstColumn="1" w:firstRow="1" w:lastColumn="0" w:lastRow="0" w:noHBand="0" w:noVBand="1" w:val="04A0"/>
      </w:tblPr>
      <w:tblGrid>
        <w:gridCol w:w="3493"/>
        <w:gridCol w:w="1246"/>
        <w:gridCol w:w="1246"/>
        <w:gridCol w:w="1246"/>
        <w:gridCol w:w="2122"/>
      </w:tblGrid>
      <w:tr>
        <w:trPr>
          <w:tblHeader/>
        </w:trPr>
        <w:tc>
          <w:tcPr>
            <w:tcW w:type="dxa" w:w="3493"/>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Должность</w:t>
            </w:r>
          </w:p>
        </w:tc>
        <w:tc>
          <w:tcPr>
            <w:tcW w:type="dxa" w:w="1246"/>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1-й год</w:t>
            </w:r>
          </w:p>
        </w:tc>
        <w:tc>
          <w:tcPr>
            <w:tcW w:type="dxa" w:w="1246"/>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2-й год</w:t>
            </w:r>
          </w:p>
        </w:tc>
        <w:tc>
          <w:tcPr>
            <w:tcW w:type="dxa" w:w="1246"/>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3-й год</w:t>
            </w:r>
          </w:p>
        </w:tc>
        <w:tc>
          <w:tcPr>
            <w:tcW w:type="dxa" w:w="2122"/>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Оклад, руб./мес.</w:t>
            </w:r>
          </w:p>
        </w:tc>
      </w:tr>
      <w:tr>
        <w:tc>
          <w:tcPr>
            <w:tcW w:type="dxa" w:w="349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Генеральный директор</w:t>
            </w:r>
          </w:p>
        </w:tc>
        <w:tc>
          <w:tcPr>
            <w:tcW w:type="dxa" w:w="124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w:t>
            </w:r>
          </w:p>
        </w:tc>
        <w:tc>
          <w:tcPr>
            <w:tcW w:type="dxa" w:w="124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w:t>
            </w:r>
          </w:p>
        </w:tc>
        <w:tc>
          <w:tcPr>
            <w:tcW w:type="dxa" w:w="124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w:t>
            </w:r>
          </w:p>
        </w:tc>
        <w:tc>
          <w:tcPr>
            <w:tcW w:type="dxa" w:w="212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33 866</w:t>
            </w:r>
          </w:p>
        </w:tc>
      </w:tr>
      <w:tr>
        <w:tc>
          <w:tcPr>
            <w:tcW w:type="dxa" w:w="349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Специалист по рекомендательным системам</w:t>
            </w:r>
          </w:p>
        </w:tc>
        <w:tc>
          <w:tcPr>
            <w:tcW w:type="dxa" w:w="124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w:t>
            </w:r>
          </w:p>
        </w:tc>
        <w:tc>
          <w:tcPr>
            <w:tcW w:type="dxa" w:w="124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w:t>
            </w:r>
          </w:p>
        </w:tc>
        <w:tc>
          <w:tcPr>
            <w:tcW w:type="dxa" w:w="124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w:t>
            </w:r>
          </w:p>
        </w:tc>
        <w:tc>
          <w:tcPr>
            <w:tcW w:type="dxa" w:w="212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100 000 → 140 000</w:t>
            </w:r>
          </w:p>
        </w:tc>
      </w:tr>
      <w:tr>
        <w:tc>
          <w:tcPr>
            <w:tcW w:type="dxa" w:w="349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Специалист по внедрению</w:t>
            </w:r>
          </w:p>
        </w:tc>
        <w:tc>
          <w:tcPr>
            <w:tcW w:type="dxa" w:w="124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w:t>
            </w:r>
          </w:p>
        </w:tc>
        <w:tc>
          <w:tcPr>
            <w:tcW w:type="dxa" w:w="124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w:t>
            </w:r>
          </w:p>
        </w:tc>
        <w:tc>
          <w:tcPr>
            <w:tcW w:type="dxa" w:w="124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w:t>
            </w:r>
          </w:p>
        </w:tc>
        <w:tc>
          <w:tcPr>
            <w:tcW w:type="dxa" w:w="212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70 000 → 75 000</w:t>
            </w:r>
          </w:p>
        </w:tc>
      </w:tr>
      <w:tr>
        <w:tc>
          <w:tcPr>
            <w:tcW w:type="dxa" w:w="3493"/>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Численность</w:t>
            </w:r>
          </w:p>
        </w:tc>
        <w:tc>
          <w:tcPr>
            <w:tcW w:type="dxa" w:w="1246"/>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3</w:t>
            </w:r>
          </w:p>
        </w:tc>
        <w:tc>
          <w:tcPr>
            <w:tcW w:type="dxa" w:w="1246"/>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4</w:t>
            </w:r>
          </w:p>
        </w:tc>
        <w:tc>
          <w:tcPr>
            <w:tcW w:type="dxa" w:w="1246"/>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6</w:t>
            </w:r>
          </w:p>
        </w:tc>
        <w:tc>
          <w:tcPr>
            <w:tcW w:type="dxa" w:w="2122"/>
          </w:tcPr>
          <w:p>
            <w:pPr>
              <w:spacing w:line="240" w:lineRule="auto" w:before="0" w:after="0"/>
              <w:ind w:firstLine="0" w:left="0" w:right="0"/>
              <w:jc w:val="left"/>
            </w:pPr>
            <w:r>
              <w:rPr>
                <w:sz w:val="24"/>
              </w:rPr>
            </w:r>
          </w:p>
        </w:tc>
      </w:tr>
    </w:tbl>
    <w:p>
      <w:pPr>
        <w:spacing w:line="360" w:lineRule="auto" w:before="0" w:after="12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Оклад генерального директора установлен на уровне минимального размера оплаты труда по Новосибирской области с учётом районного коэффициента 1,25 – 33 866 рублей [26]. Основатель является единственным учредителем, и на этапе, когда предприятие не приносит прибыли, вознаграждение за труд ограничено законодательно установленным минимумом; доход учредителя образуется распределением прибыли начиная со второго года.</w:t>
      </w:r>
    </w:p>
    <w:p>
      <w:pPr>
        <w:spacing w:line="360" w:lineRule="auto" w:before="0" w:after="0"/>
        <w:ind w:firstLine="709" w:left="0" w:right="0"/>
        <w:jc w:val="both"/>
      </w:pPr>
      <w:r>
        <w:rPr>
          <w:rFonts w:ascii="Times New Roman" w:hAnsi="Times New Roman" w:cs="Times New Roman" w:eastAsia="Times New Roman"/>
          <w:b w:val="0"/>
          <w:i w:val="0"/>
          <w:color w:val="000000"/>
          <w:sz w:val="28"/>
        </w:rPr>
        <w:t>Оклады специалистов установлены по нижней границе рынка труда Новосибирска для соответствующих должностей с последующим доведением до среднерыночного уровня: для специалистов по обработке данных рынок составляет 130–160 тысяч рублей [27], для специалистов внедрения и технической поддержки – 60–80 тысяч рублей [28].</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Порядок найма</w:t>
      </w:r>
    </w:p>
    <w:p>
      <w:pPr>
        <w:spacing w:line="360" w:lineRule="auto" w:before="0" w:after="0"/>
        <w:ind w:firstLine="709" w:left="0" w:right="0"/>
        <w:jc w:val="both"/>
      </w:pPr>
      <w:r>
        <w:rPr>
          <w:rFonts w:ascii="Times New Roman" w:hAnsi="Times New Roman" w:cs="Times New Roman" w:eastAsia="Times New Roman"/>
          <w:b w:val="0"/>
          <w:i w:val="0"/>
          <w:color w:val="000000"/>
          <w:sz w:val="28"/>
        </w:rPr>
        <w:t>Наём привязан не к календарю, а к достижению результатов, что позволяет не расходовать средства до появления подтверждённого спроса.</w:t>
      </w:r>
    </w:p>
    <w:p>
      <w:pPr>
        <w:spacing w:line="360" w:lineRule="auto" w:before="0" w:after="0"/>
        <w:ind w:firstLine="709" w:left="0" w:right="0"/>
        <w:jc w:val="both"/>
      </w:pPr>
      <w:r>
        <w:rPr>
          <w:rFonts w:ascii="Times New Roman" w:hAnsi="Times New Roman" w:cs="Times New Roman" w:eastAsia="Times New Roman"/>
          <w:b/>
          <w:i w:val="0"/>
          <w:color w:val="000000"/>
          <w:sz w:val="28"/>
        </w:rPr>
        <w:t>Специалист по рекомендательным системам</w:t>
      </w:r>
      <w:r>
        <w:rPr>
          <w:rFonts w:ascii="Times New Roman" w:hAnsi="Times New Roman" w:cs="Times New Roman" w:eastAsia="Times New Roman"/>
          <w:b w:val="0"/>
          <w:i w:val="0"/>
          <w:color w:val="000000"/>
          <w:sz w:val="28"/>
        </w:rPr>
        <w:t xml:space="preserve"> принимается после перевода пилотных заведений на подписку – по плану с четвёртого месяца. До этого момента разработка и обучение моделей выполняются основателем. Начальный оклад – 100 000 рублей; повышение до среднерыночного уровня производится по мере роста числа заказчиков. Требования: владение методами машинного обучения применительно к рекомендательным системам, Python, SQL. Квалификация уровня middle или выпускник высшего учебного заведения соответствующего направления: задача не предполагает разработки новых алгоритмов – применяемые методы отобраны и проверены на этапе прототипа, – и состоит в обучении моделей на данных заказчиков, контроле качества выдачи и развитии платформы.</w:t>
      </w:r>
    </w:p>
    <w:p>
      <w:pPr>
        <w:spacing w:line="360" w:lineRule="auto" w:before="0" w:after="0"/>
        <w:ind w:firstLine="709" w:left="0" w:right="0"/>
        <w:jc w:val="both"/>
      </w:pPr>
      <w:r>
        <w:rPr>
          <w:rFonts w:ascii="Times New Roman" w:hAnsi="Times New Roman" w:cs="Times New Roman" w:eastAsia="Times New Roman"/>
          <w:b/>
          <w:i w:val="0"/>
          <w:color w:val="000000"/>
          <w:sz w:val="28"/>
        </w:rPr>
        <w:t>Специалист по внедрению</w:t>
      </w:r>
      <w:r>
        <w:rPr>
          <w:rFonts w:ascii="Times New Roman" w:hAnsi="Times New Roman" w:cs="Times New Roman" w:eastAsia="Times New Roman"/>
          <w:b w:val="0"/>
          <w:i w:val="0"/>
          <w:color w:val="000000"/>
          <w:sz w:val="28"/>
        </w:rPr>
        <w:t xml:space="preserve"> принимается после перевода пяти пилотных заведений на подписку, с пятого месяца, и проходит обучение силами основателя. Требования к квалификации умеренные: подключение выполняется по установленному порядку (раздел 4.5), инструктаж персонала ресторана занимает около часа. Должность предполагает работу с заказчиком, поэтому существенны навыки общения, а не только техническая подготовка.</w:t>
      </w:r>
    </w:p>
    <w:p>
      <w:pPr>
        <w:spacing w:line="360" w:lineRule="auto" w:before="0" w:after="0"/>
        <w:ind w:firstLine="709" w:left="0" w:right="0"/>
        <w:jc w:val="both"/>
      </w:pPr>
      <w:r>
        <w:rPr>
          <w:rFonts w:ascii="Times New Roman" w:hAnsi="Times New Roman" w:cs="Times New Roman" w:eastAsia="Times New Roman"/>
          <w:b/>
          <w:i w:val="0"/>
          <w:color w:val="000000"/>
          <w:sz w:val="28"/>
        </w:rPr>
        <w:t>Второй специалист по внедрению</w:t>
      </w:r>
      <w:r>
        <w:rPr>
          <w:rFonts w:ascii="Times New Roman" w:hAnsi="Times New Roman" w:cs="Times New Roman" w:eastAsia="Times New Roman"/>
          <w:b w:val="0"/>
          <w:i w:val="0"/>
          <w:color w:val="000000"/>
          <w:sz w:val="28"/>
        </w:rPr>
        <w:t xml:space="preserve"> принимается с четвёртого месяца второго года. Срок определён расчётом пропускной способности (раздел 6): к этому моменту сопровождение накопленной базы заказчиков поглощает такую долю рабочего времени первого специалиста, что плановый темп подключений становится недостижимым. Более ранний наём привёл бы к кассовому разрыву, поскольку поступления от подключений, выполненных новым работником, возникают с задержкой в два месяца: бесплатный период и месяц накопления оплаты.</w:t>
      </w:r>
    </w:p>
    <w:p>
      <w:pPr>
        <w:spacing w:line="360" w:lineRule="auto" w:before="0" w:after="0"/>
        <w:ind w:firstLine="709" w:left="0" w:right="0"/>
        <w:jc w:val="both"/>
      </w:pPr>
      <w:r>
        <w:rPr>
          <w:rFonts w:ascii="Times New Roman" w:hAnsi="Times New Roman" w:cs="Times New Roman" w:eastAsia="Times New Roman"/>
          <w:b w:val="0"/>
          <w:i w:val="0"/>
          <w:color w:val="000000"/>
          <w:sz w:val="28"/>
        </w:rPr>
        <w:t>Расширение штата на третьем году – второй специалист по рекомендательным системам и третий специалист по внедрению – определяется ростом числа заказчиков до 200 и подтверждается расчётом нагрузки (раздел 4.3).</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Распределение обязанностей</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19" w:name="_Tbl_11_2"/>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19"/>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Распределение обязанностей</w:t>
      </w:r>
    </w:p>
    <w:tbl>
      <w:tblPr>
        <w:tblStyle w:val="TableGrid"/>
        <w:tblW w:type="auto" w:w="0"/>
        <w:jc w:val="center"/>
        <w:tblLayout w:type="fixed"/>
        <w:tblLook w:firstColumn="1" w:firstRow="1" w:lastColumn="0" w:lastRow="0" w:noHBand="0" w:noVBand="1" w:val="04A0"/>
      </w:tblPr>
      <w:tblGrid>
        <w:gridCol w:w="2676"/>
        <w:gridCol w:w="6678"/>
      </w:tblGrid>
      <w:tr>
        <w:trPr>
          <w:tblHeader/>
        </w:trPr>
        <w:tc>
          <w:tcPr>
            <w:tcW w:type="dxa" w:w="2676"/>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Должность</w:t>
            </w:r>
          </w:p>
        </w:tc>
        <w:tc>
          <w:tcPr>
            <w:tcW w:type="dxa" w:w="6678"/>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Обязанности</w:t>
            </w:r>
          </w:p>
        </w:tc>
      </w:tr>
      <w:tr>
        <w:tc>
          <w:tcPr>
            <w:tcW w:type="dxa" w:w="267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Генеральный директор</w:t>
            </w:r>
          </w:p>
        </w:tc>
        <w:tc>
          <w:tcPr>
            <w:tcW w:type="dxa" w:w="667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Продажи: прямые обращения, встречи, демонстрации, заключение договоров. Общее руководство, отчётность, взаимодействие с Фондом. В первый год – разработка и подключение заказчиков</w:t>
            </w:r>
          </w:p>
        </w:tc>
      </w:tr>
      <w:tr>
        <w:tc>
          <w:tcPr>
            <w:tcW w:type="dxa" w:w="267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Специалист по рекомендательным системам</w:t>
            </w:r>
          </w:p>
        </w:tc>
        <w:tc>
          <w:tcPr>
            <w:tcW w:type="dxa" w:w="667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Обучение и переобучение моделей на данных заказчиков, контроль качества рекомендаций, развитие платформы, разработка интеграции с r_keeper, поддержание работоспособности сервиса</w:t>
            </w:r>
          </w:p>
        </w:tc>
      </w:tr>
      <w:tr>
        <w:tc>
          <w:tcPr>
            <w:tcW w:type="dxa" w:w="267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Специалист по внедрению</w:t>
            </w:r>
          </w:p>
        </w:tc>
        <w:tc>
          <w:tcPr>
            <w:tcW w:type="dxa" w:w="667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Подключение заказчиков: настройка доступа к системе учёта, выгрузка и проверка данных, инструктаж персонала. Сопровождение действующих заказчиков, ежемесячная отчётность заказчику</w:t>
            </w:r>
          </w:p>
        </w:tc>
      </w:tr>
    </w:tbl>
    <w:p>
      <w:pPr>
        <w:spacing w:line="360" w:lineRule="auto" w:before="0" w:after="12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Продажи закреплены за генеральным директором на всём рассматриваемом горизонте. Продукт новый для отрасли, возражения заказчика касаются как экономики заведения, так и обработки данных о гостях, поэтому передача продаж наёмному сотруднику потребовала бы подготовки, сопоставимой по трудоёмкости с самими продажами. При достигаемом объёме – до 83 контактов и 33 встреч в месяц к третьему году (раздел 4.4) – нагрузка остаётся выполнимой.</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Фонд оплаты труда</w:t>
      </w:r>
    </w:p>
    <w:p>
      <w:pPr>
        <w:spacing w:line="360" w:lineRule="auto" w:before="0" w:after="0"/>
        <w:ind w:firstLine="709" w:left="0" w:right="0"/>
        <w:jc w:val="both"/>
      </w:pPr>
      <w:r>
        <w:rPr>
          <w:rFonts w:ascii="Times New Roman" w:hAnsi="Times New Roman" w:cs="Times New Roman" w:eastAsia="Times New Roman"/>
          <w:b w:val="0"/>
          <w:i w:val="0"/>
          <w:color w:val="000000"/>
          <w:sz w:val="28"/>
        </w:rPr>
        <w:t>В первые два года страховые взносы не уплачиваются: предприятие применяет автоматизированную упрощённую систему налогообложения, предусматривающую нулевой тариф взносов (раздел 7). Вместо них уплачивается страхование от несчастных случаев – 2 959 рублей в год.</w:t>
      </w:r>
    </w:p>
    <w:p>
      <w:pPr>
        <w:spacing w:line="360" w:lineRule="auto" w:before="0" w:after="0"/>
        <w:ind w:firstLine="709" w:left="0" w:right="0"/>
        <w:jc w:val="both"/>
      </w:pPr>
      <w:r>
        <w:rPr>
          <w:rFonts w:ascii="Times New Roman" w:hAnsi="Times New Roman" w:cs="Times New Roman" w:eastAsia="Times New Roman"/>
          <w:b w:val="0"/>
          <w:i w:val="0"/>
          <w:color w:val="000000"/>
          <w:sz w:val="28"/>
        </w:rPr>
        <w:t>С третьего года численность работников превышает установленный для АУСН предел в пять человек, режим заменяется общей системой налогообложения, и взносы исчисляются по льготному тарифу для аккредитованных организаций, осуществляющих деятельность в области информационных технологий: 15 % с выплат в пределах базы 2 979 000 рублей и 7,6 % с выплат сверх неё [29].</w:t>
      </w:r>
    </w:p>
    <w:p>
      <w:pPr>
        <w:spacing w:line="360" w:lineRule="auto" w:before="0" w:after="0"/>
        <w:ind w:firstLine="709" w:left="0" w:right="0"/>
        <w:jc w:val="both"/>
      </w:pPr>
      <w:r>
        <w:rPr>
          <w:rFonts w:ascii="Times New Roman" w:hAnsi="Times New Roman" w:cs="Times New Roman" w:eastAsia="Times New Roman"/>
          <w:b w:val="0"/>
          <w:i w:val="0"/>
          <w:color w:val="000000"/>
          <w:sz w:val="28"/>
        </w:rPr>
        <w:t>Государственная аккредитация в Министерстве цифрового развития требуется независимо от применяемого режима: она является условием включения в реестр малых технологических компаний и учитывается при рассмотрении заявок на гранты (раздел 8), а с третьего года даёт право на пониженный тариф взносов. Условия аккредитации в редакции, действующей с 1 января 2026 года [30]:</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20" w:name="_Tbl_11_3"/>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20"/>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Условия государственной аккредитации</w:t>
      </w:r>
    </w:p>
    <w:tbl>
      <w:tblPr>
        <w:tblStyle w:val="TableGrid"/>
        <w:tblW w:type="auto" w:w="0"/>
        <w:jc w:val="center"/>
        <w:tblLayout w:type="fixed"/>
        <w:tblLook w:firstColumn="1" w:firstRow="1" w:lastColumn="0" w:lastRow="0" w:noHBand="0" w:noVBand="1" w:val="04A0"/>
      </w:tblPr>
      <w:tblGrid>
        <w:gridCol w:w="5435"/>
        <w:gridCol w:w="3919"/>
      </w:tblGrid>
      <w:tr>
        <w:trPr>
          <w:tblHeader/>
        </w:trPr>
        <w:tc>
          <w:tcPr>
            <w:tcW w:type="dxa" w:w="5435"/>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Условие</w:t>
            </w:r>
          </w:p>
        </w:tc>
        <w:tc>
          <w:tcPr>
            <w:tcW w:type="dxa" w:w="3919"/>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Состояние</w:t>
            </w:r>
          </w:p>
        </w:tc>
      </w:tr>
      <w:tr>
        <w:tc>
          <w:tcPr>
            <w:tcW w:type="dxa" w:w="543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Основной ОКВЭД из утверждённого перечня (62.01, 62.02, 63.11.1 и др.)</w:t>
            </w:r>
          </w:p>
        </w:tc>
        <w:tc>
          <w:tcPr>
            <w:tcW w:type="dxa" w:w="391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Выполняется</w:t>
            </w:r>
          </w:p>
        </w:tc>
      </w:tr>
      <w:tr>
        <w:tc>
          <w:tcPr>
            <w:tcW w:type="dxa" w:w="543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Доля профильной выручки свыше 30 %</w:t>
            </w:r>
          </w:p>
        </w:tc>
        <w:tc>
          <w:tcPr>
            <w:tcW w:type="dxa" w:w="391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Выполняется: иных источников выручки нет</w:t>
            </w:r>
          </w:p>
        </w:tc>
      </w:tr>
      <w:tr>
        <w:tc>
          <w:tcPr>
            <w:tcW w:type="dxa" w:w="543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Доля участия граждан РФ свыше 50 %</w:t>
            </w:r>
          </w:p>
        </w:tc>
        <w:tc>
          <w:tcPr>
            <w:tcW w:type="dxa" w:w="391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Выполняется</w:t>
            </w:r>
          </w:p>
        </w:tc>
      </w:tr>
      <w:tr>
        <w:tc>
          <w:tcPr>
            <w:tcW w:type="dxa" w:w="543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Постоянно работающий сайт с описанием деятельности и стоимости услуг</w:t>
            </w:r>
          </w:p>
        </w:tc>
        <w:tc>
          <w:tcPr>
            <w:tcW w:type="dxa" w:w="391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Выполняется</w:t>
            </w:r>
          </w:p>
        </w:tc>
      </w:tr>
      <w:tr>
        <w:tc>
          <w:tcPr>
            <w:tcW w:type="dxa" w:w="543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Средняя заработная плата не ниже средней по региону</w:t>
            </w:r>
          </w:p>
        </w:tc>
        <w:tc>
          <w:tcPr>
            <w:tcW w:type="dxa" w:w="391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Не выполняется в первый год</w:t>
            </w:r>
          </w:p>
        </w:tc>
      </w:tr>
      <w:tr>
        <w:tc>
          <w:tcPr>
            <w:tcW w:type="dxa" w:w="543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Задолженность по налогам не более 3 000 рублей</w:t>
            </w:r>
          </w:p>
        </w:tc>
        <w:tc>
          <w:tcPr>
            <w:tcW w:type="dxa" w:w="391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Выполняется</w:t>
            </w:r>
          </w:p>
        </w:tc>
      </w:tr>
    </w:tbl>
    <w:p>
      <w:pPr>
        <w:spacing w:line="360" w:lineRule="auto" w:before="0" w:after="12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Требование к уровню средней заработной платы в первый год не выполняется: вознаграждение генерального директора установлено на уровне минимального размера оплаты труда, что снижает средний показатель по предприятию. Требование не применяется к организациям, включённым в реестр малых технологических компаний, поэтому включение в реестр предшествует подаче заявления об аккредитации.</w:t>
      </w:r>
    </w:p>
    <w:p>
      <w:pPr>
        <w:spacing w:line="360" w:lineRule="auto" w:before="0" w:after="0"/>
        <w:ind w:firstLine="709" w:left="0" w:right="0"/>
        <w:jc w:val="both"/>
      </w:pPr>
      <w:r>
        <w:rPr>
          <w:rFonts w:ascii="Times New Roman" w:hAnsi="Times New Roman" w:cs="Times New Roman" w:eastAsia="Times New Roman"/>
          <w:b w:val="0"/>
          <w:i w:val="0"/>
          <w:color w:val="000000"/>
          <w:sz w:val="28"/>
        </w:rPr>
        <w:t>Основанием для включения служит полученная государственная поддержка инновационной деятельности: для организаций, получивших её не ранее трёх лет назад, предусмотрен заявительный порядок без прохождения независимой экспертизы [31]. Предприятие отвечает этому условию – грант Фонда содействия инновациям по договору 1105ГССС27/106900 получен в 2025 году, – вследствие чего включение в реестр не требует расходов на экспертизу, оцениваемых в 60 тысяч рублей.</w:t>
      </w:r>
    </w:p>
    <w:p>
      <w:pPr>
        <w:spacing w:line="360" w:lineRule="auto" w:before="0" w:after="0"/>
        <w:ind w:firstLine="709" w:left="0" w:right="0"/>
        <w:jc w:val="both"/>
      </w:pPr>
      <w:r>
        <w:rPr>
          <w:rFonts w:ascii="Times New Roman" w:hAnsi="Times New Roman" w:cs="Times New Roman" w:eastAsia="Times New Roman"/>
          <w:b w:val="0"/>
          <w:i w:val="0"/>
          <w:color w:val="000000"/>
          <w:sz w:val="28"/>
        </w:rPr>
        <w:t>Использование регионального реестра стартапов, дающего то же освобождение, для предприятия недоступно: в Новосибирской области такой реестр не утверждён, а с 1 января 2026 года упрощённый порядок для организаций из регионов без реестра отменён.</w:t>
      </w:r>
    </w:p>
    <w:p>
      <w:pPr>
        <w:spacing w:line="360" w:lineRule="auto" w:before="0" w:after="0"/>
        <w:ind w:firstLine="709" w:left="0" w:right="0"/>
        <w:jc w:val="both"/>
      </w:pPr>
      <w:r>
        <w:rPr>
          <w:rFonts w:ascii="Times New Roman" w:hAnsi="Times New Roman" w:cs="Times New Roman" w:eastAsia="Times New Roman"/>
          <w:b w:val="0"/>
          <w:i w:val="0"/>
          <w:color w:val="000000"/>
          <w:sz w:val="28"/>
        </w:rPr>
        <w:t>Помимо освобождения от требования к заработной плате статус малой технологической компании даёт пониженную ставку налога на прибыль, преимущество при рассмотрении заявок на гранты и доступ к льготному кредитованию, что учитывается в инвестиционном плане (раздел 8).</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21" w:name="_Tbl_11_4"/>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21"/>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Расходы на оплату труда</w:t>
      </w:r>
    </w:p>
    <w:tbl>
      <w:tblPr>
        <w:tblStyle w:val="TableGrid"/>
        <w:tblW w:type="auto" w:w="0"/>
        <w:jc w:val="center"/>
        <w:tblLayout w:type="fixed"/>
        <w:tblLook w:firstColumn="1" w:firstRow="1" w:lastColumn="0" w:lastRow="0" w:noHBand="0" w:noVBand="1" w:val="04A0"/>
      </w:tblPr>
      <w:tblGrid>
        <w:gridCol w:w="4468"/>
        <w:gridCol w:w="1629"/>
        <w:gridCol w:w="1629"/>
        <w:gridCol w:w="1629"/>
      </w:tblGrid>
      <w:tr>
        <w:trPr>
          <w:tblHeader/>
        </w:trPr>
        <w:tc>
          <w:tcPr>
            <w:tcW w:type="dxa" w:w="4468"/>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Показатель</w:t>
            </w:r>
          </w:p>
        </w:tc>
        <w:tc>
          <w:tcPr>
            <w:tcW w:type="dxa" w:w="1629"/>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1-й год</w:t>
            </w:r>
          </w:p>
        </w:tc>
        <w:tc>
          <w:tcPr>
            <w:tcW w:type="dxa" w:w="1629"/>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2-й год</w:t>
            </w:r>
          </w:p>
        </w:tc>
        <w:tc>
          <w:tcPr>
            <w:tcW w:type="dxa" w:w="1629"/>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3-й год</w:t>
            </w:r>
          </w:p>
        </w:tc>
      </w:tr>
      <w:tr>
        <w:tc>
          <w:tcPr>
            <w:tcW w:type="dxa" w:w="44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Фонд оплаты труда, млн руб.</w:t>
            </w:r>
          </w:p>
        </w:tc>
        <w:tc>
          <w:tcPr>
            <w:tcW w:type="dxa" w:w="162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1,87</w:t>
            </w:r>
          </w:p>
        </w:tc>
        <w:tc>
          <w:tcPr>
            <w:tcW w:type="dxa" w:w="162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3,56</w:t>
            </w:r>
          </w:p>
        </w:tc>
        <w:tc>
          <w:tcPr>
            <w:tcW w:type="dxa" w:w="162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6,47</w:t>
            </w:r>
          </w:p>
        </w:tc>
      </w:tr>
      <w:tr>
        <w:tc>
          <w:tcPr>
            <w:tcW w:type="dxa" w:w="44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Страховые взносы, млн руб.</w:t>
            </w:r>
          </w:p>
        </w:tc>
        <w:tc>
          <w:tcPr>
            <w:tcW w:type="dxa" w:w="162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w:t>
            </w:r>
          </w:p>
        </w:tc>
        <w:tc>
          <w:tcPr>
            <w:tcW w:type="dxa" w:w="162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w:t>
            </w:r>
          </w:p>
        </w:tc>
        <w:tc>
          <w:tcPr>
            <w:tcW w:type="dxa" w:w="162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0,97</w:t>
            </w:r>
          </w:p>
        </w:tc>
      </w:tr>
      <w:tr>
        <w:tc>
          <w:tcPr>
            <w:tcW w:type="dxa" w:w="44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Страхование от несчастных случаев, млн руб.</w:t>
            </w:r>
          </w:p>
        </w:tc>
        <w:tc>
          <w:tcPr>
            <w:tcW w:type="dxa" w:w="162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0,003</w:t>
            </w:r>
          </w:p>
        </w:tc>
        <w:tc>
          <w:tcPr>
            <w:tcW w:type="dxa" w:w="162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0,003</w:t>
            </w:r>
          </w:p>
        </w:tc>
        <w:tc>
          <w:tcPr>
            <w:tcW w:type="dxa" w:w="162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w:t>
            </w:r>
          </w:p>
        </w:tc>
      </w:tr>
      <w:tr>
        <w:tc>
          <w:tcPr>
            <w:tcW w:type="dxa" w:w="4468"/>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Итого расходы на персонал, млн руб.</w:t>
            </w:r>
          </w:p>
        </w:tc>
        <w:tc>
          <w:tcPr>
            <w:tcW w:type="dxa" w:w="1629"/>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1,87</w:t>
            </w:r>
          </w:p>
        </w:tc>
        <w:tc>
          <w:tcPr>
            <w:tcW w:type="dxa" w:w="1629"/>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3,56</w:t>
            </w:r>
          </w:p>
        </w:tc>
        <w:tc>
          <w:tcPr>
            <w:tcW w:type="dxa" w:w="1629"/>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7,44</w:t>
            </w:r>
          </w:p>
        </w:tc>
      </w:tr>
    </w:tbl>
    <w:p>
      <w:pPr>
        <w:spacing w:line="360" w:lineRule="auto" w:before="0" w:after="12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Фонд оплаты труда рассчитан помесячно с учётом порядка найма: в первый год генеральный директор получает вознаграждение с первого месяца, специалист по рекомендательным системам – с четвёртого, специалист по внедрению – с пятого; во второй год второй специалист по внедрению – с четвёртого месяца.</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План-график первого года</w:t>
      </w:r>
    </w:p>
    <w:p>
      <w:pPr>
        <w:spacing w:line="360" w:lineRule="auto" w:before="0" w:after="0"/>
        <w:ind w:firstLine="709" w:left="0" w:right="0"/>
        <w:jc w:val="both"/>
      </w:pPr>
      <w:r>
        <w:rPr>
          <w:rFonts w:ascii="Times New Roman" w:hAnsi="Times New Roman" w:cs="Times New Roman" w:eastAsia="Times New Roman"/>
          <w:b w:val="0"/>
          <w:i w:val="0"/>
          <w:color w:val="000000"/>
          <w:sz w:val="28"/>
        </w:rPr>
        <w:t xml:space="preserve">Последовательность работ первого года приведена на </w:t>
      </w:r>
      <w:r>
        <w:rPr>
          <w:rFonts w:ascii="Times New Roman" w:hAnsi="Times New Roman" w:cs="Times New Roman" w:eastAsia="Times New Roman"/>
          <w:b w:val="0"/>
          <w:i w:val="0"/>
          <w:color w:val="000000"/>
          <w:sz w:val="28"/>
        </w:rPr>
        <w:t xml:space="preserve">рисунке </w:t>
      </w:r>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REF _Fig_11_1 \h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r>
        <w:rPr>
          <w:rFonts w:ascii="Times New Roman" w:hAnsi="Times New Roman" w:cs="Times New Roman" w:eastAsia="Times New Roman"/>
          <w:b w:val="0"/>
          <w:i w:val="0"/>
          <w:color w:val="000000"/>
          <w:sz w:val="28"/>
        </w:rPr>
        <w:t>.</w:t>
      </w:r>
    </w:p>
    <w:p>
      <w:pPr>
        <w:keepNext/>
        <w:spacing w:line="360" w:lineRule="auto" w:before="0" w:after="0"/>
        <w:ind w:firstLine="0" w:left="0" w:right="0"/>
        <w:jc w:val="center"/>
      </w:pPr>
      <w:r>
        <w:drawing>
          <wp:inline xmlns:a="http://schemas.openxmlformats.org/drawingml/2006/main" xmlns:pic="http://schemas.openxmlformats.org/drawingml/2006/picture">
            <wp:extent cx="5400000" cy="2454545"/>
            <wp:docPr id="2" name="Picture 2"/>
            <wp:cNvGraphicFramePr>
              <a:graphicFrameLocks noChangeAspect="1"/>
            </wp:cNvGraphicFramePr>
            <a:graphic>
              <a:graphicData uri="http://schemas.openxmlformats.org/drawingml/2006/picture">
                <pic:pic>
                  <pic:nvPicPr>
                    <pic:cNvPr id="0" name="gantt.png"/>
                    <pic:cNvPicPr/>
                  </pic:nvPicPr>
                  <pic:blipFill>
                    <a:blip r:embed="rId11"/>
                    <a:stretch>
                      <a:fillRect/>
                    </a:stretch>
                  </pic:blipFill>
                  <pic:spPr>
                    <a:xfrm>
                      <a:off x="0" y="0"/>
                      <a:ext cx="5400000" cy="2454545"/>
                    </a:xfrm>
                    <a:prstGeom prst="rect"/>
                  </pic:spPr>
                </pic:pic>
              </a:graphicData>
            </a:graphic>
          </wp:inline>
        </w:drawing>
      </w:r>
    </w:p>
    <w:p>
      <w:pPr>
        <w:pStyle w:val="Caption"/>
        <w:keepNext w:val="0"/>
        <w:spacing w:line="240" w:lineRule="auto" w:before="120" w:after="0"/>
        <w:ind w:firstLine="0" w:left="0" w:right="0"/>
        <w:jc w:val="center"/>
      </w:pPr>
      <w:r>
        <w:rPr>
          <w:rFonts w:ascii="Times New Roman" w:hAnsi="Times New Roman" w:cs="Times New Roman" w:eastAsia="Times New Roman"/>
          <w:b w:val="0"/>
          <w:i w:val="0"/>
          <w:color w:val="000000"/>
          <w:sz w:val="28"/>
        </w:rPr>
        <w:t xml:space="preserve">Рисунок </w:t>
      </w:r>
      <w:bookmarkStart w:id="22" w:name="_Fig_11_1"/>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Рисунок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22"/>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План-график работ первого года</w:t>
      </w:r>
    </w:p>
    <w:p>
      <w:pPr>
        <w:spacing w:line="360" w:lineRule="auto" w:before="0" w:after="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Первые три месяца поступления отсутствуют: пилотные заведения пользуются сервисом безвозмездно. Этот период определяет потребность в финансировании и является наиболее уязвимым: при недостижении договорённостей с пятью заведениями сдвигаются все последующие этапы, включая наём.</w:t>
      </w:r>
    </w:p>
    <w:p>
      <w:pPr>
        <w:spacing w:line="360" w:lineRule="auto" w:before="0" w:after="0"/>
        <w:ind w:firstLine="709" w:left="0" w:right="0"/>
        <w:jc w:val="both"/>
      </w:pPr>
      <w:r>
        <w:rPr>
          <w:rFonts w:ascii="Times New Roman" w:hAnsi="Times New Roman" w:cs="Times New Roman" w:eastAsia="Times New Roman"/>
          <w:b w:val="0"/>
          <w:i w:val="0"/>
          <w:color w:val="000000"/>
          <w:sz w:val="28"/>
        </w:rPr>
        <w:t>Контрольные точки первого года:</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23" w:name="_Tbl_11_5"/>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23"/>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Контрольные точки первого года</w:t>
      </w:r>
    </w:p>
    <w:tbl>
      <w:tblPr>
        <w:tblStyle w:val="TableGrid"/>
        <w:tblW w:type="auto" w:w="0"/>
        <w:jc w:val="center"/>
        <w:tblLayout w:type="fixed"/>
        <w:tblLook w:firstColumn="1" w:firstRow="1" w:lastColumn="0" w:lastRow="0" w:noHBand="0" w:noVBand="1" w:val="04A0"/>
      </w:tblPr>
      <w:tblGrid>
        <w:gridCol w:w="1412"/>
        <w:gridCol w:w="7943"/>
      </w:tblGrid>
      <w:tr>
        <w:trPr>
          <w:tblHeader/>
        </w:trPr>
        <w:tc>
          <w:tcPr>
            <w:tcW w:type="dxa" w:w="1412"/>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Месяц</w:t>
            </w:r>
          </w:p>
        </w:tc>
        <w:tc>
          <w:tcPr>
            <w:tcW w:type="dxa" w:w="7943"/>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Контрольная точка</w:t>
            </w:r>
          </w:p>
        </w:tc>
      </w:tr>
      <w:tr>
        <w:tc>
          <w:tcPr>
            <w:tcW w:type="dxa" w:w="141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w:t>
            </w:r>
          </w:p>
        </w:tc>
        <w:tc>
          <w:tcPr>
            <w:tcW w:type="dxa" w:w="794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Пять пилотных заведений подключены, результат измерен</w:t>
            </w:r>
          </w:p>
        </w:tc>
      </w:tr>
      <w:tr>
        <w:tc>
          <w:tcPr>
            <w:tcW w:type="dxa" w:w="141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4</w:t>
            </w:r>
          </w:p>
        </w:tc>
        <w:tc>
          <w:tcPr>
            <w:tcW w:type="dxa" w:w="794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Пилотные заведения переведены на подписку, принят специалист по рекомендательным системам</w:t>
            </w:r>
          </w:p>
        </w:tc>
      </w:tr>
      <w:tr>
        <w:tc>
          <w:tcPr>
            <w:tcW w:type="dxa" w:w="141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5</w:t>
            </w:r>
          </w:p>
        </w:tc>
        <w:tc>
          <w:tcPr>
            <w:tcW w:type="dxa" w:w="794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Принят специалист по внедрению</w:t>
            </w:r>
          </w:p>
        </w:tc>
      </w:tr>
      <w:tr>
        <w:tc>
          <w:tcPr>
            <w:tcW w:type="dxa" w:w="141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10</w:t>
            </w:r>
          </w:p>
        </w:tc>
        <w:tc>
          <w:tcPr>
            <w:tcW w:type="dxa" w:w="794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Завершена разработка интеграции с r_keeper, доступен сегмент заведений на этой системе</w:t>
            </w:r>
          </w:p>
        </w:tc>
      </w:tr>
      <w:tr>
        <w:tc>
          <w:tcPr>
            <w:tcW w:type="dxa" w:w="141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12</w:t>
            </w:r>
          </w:p>
        </w:tc>
        <w:tc>
          <w:tcPr>
            <w:tcW w:type="dxa" w:w="794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30 действующих заказчиков, подана заявка на грант «Старт-1»</w:t>
            </w:r>
          </w:p>
        </w:tc>
      </w:tr>
    </w:tbl>
    <w:p>
      <w:pPr>
        <w:spacing w:line="360" w:lineRule="auto" w:before="0" w:after="12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Разработка интеграции с r_keeper отнесена ко второму полугодию: до накопления заказчиков на iiko расширение перечня поддерживаемых систем учёта не увеличивает продаж, тогда как отвлечение единственного специалиста на эту работу замедлило бы подключение действующих заказчиков.</w:t>
      </w:r>
    </w:p>
    <w:p>
      <w:pPr>
        <w:spacing w:line="360" w:lineRule="auto" w:before="0" w:after="0"/>
        <w:ind w:firstLine="709" w:left="0" w:right="0"/>
        <w:jc w:val="both"/>
      </w:pPr>
      <w:r>
        <w:rPr>
          <w:rFonts w:ascii="Times New Roman" w:hAnsi="Times New Roman" w:cs="Times New Roman" w:eastAsia="Times New Roman"/>
          <w:b w:val="0"/>
          <w:i w:val="0"/>
          <w:color w:val="000000"/>
          <w:sz w:val="28"/>
        </w:rPr>
        <w:t>Подготовка заявки на грант «Старт-1» начинается с десятого месяца. Подача возможна только после завершения действующего договора с Фондом содействия инновациям и закрытия отчётности по нему; поступление средств ожидается в течение второго года и учитывается в инвестиционном плане (раздел 8).</w:t>
      </w:r>
    </w:p>
    <w:p>
      <w:pPr>
        <w:pStyle w:val="Heading1"/>
        <w:keepNext/>
        <w:pageBreakBefore/>
        <w:spacing w:line="360" w:lineRule="auto" w:before="0" w:after="0"/>
        <w:ind w:firstLine="709" w:left="0" w:right="0"/>
        <w:jc w:val="both"/>
      </w:pPr>
      <w:r>
        <w:rPr>
          <w:rFonts w:ascii="Times New Roman" w:hAnsi="Times New Roman" w:cs="Times New Roman" w:eastAsia="Times New Roman"/>
          <w:b/>
          <w:i w:val="0"/>
          <w:color w:val="000000"/>
          <w:sz w:val="28"/>
        </w:rPr>
        <w:t>6 Производственный план</w:t>
      </w:r>
    </w:p>
    <w:p>
      <w:pPr>
        <w:spacing w:line="360" w:lineRule="auto" w:before="0" w:after="0"/>
        <w:ind w:firstLine="709" w:left="0" w:right="0"/>
        <w:jc w:val="both"/>
      </w:pPr>
      <w:r>
        <w:rPr>
          <w:rFonts w:ascii="Times New Roman" w:hAnsi="Times New Roman" w:cs="Times New Roman" w:eastAsia="Times New Roman"/>
          <w:b w:val="0"/>
          <w:i w:val="0"/>
          <w:color w:val="000000"/>
          <w:sz w:val="28"/>
        </w:rPr>
        <w:t>Предприятие оказывает услугу по подписке: заказчик получает доступ к работающему сервису, а не экземпляр программы. Производственный процесс состоит из двух несовпадающих по характеру частей – разового подключения заведения и постоянной эксплуатации сервиса. Первая определяет темп роста числа заказчиков, вторая – себестоимость обслуживания.</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Технологический процесс</w:t>
      </w:r>
    </w:p>
    <w:p>
      <w:pPr>
        <w:spacing w:line="360" w:lineRule="auto" w:before="0" w:after="0"/>
        <w:ind w:firstLine="709" w:left="0" w:right="0"/>
        <w:jc w:val="both"/>
      </w:pPr>
      <w:r>
        <w:rPr>
          <w:rFonts w:ascii="Times New Roman" w:hAnsi="Times New Roman" w:cs="Times New Roman" w:eastAsia="Times New Roman"/>
          <w:b w:val="0"/>
          <w:i w:val="0"/>
          <w:color w:val="000000"/>
          <w:sz w:val="28"/>
        </w:rPr>
        <w:t xml:space="preserve">Производственный цикл одного заказчика приведён в </w:t>
      </w:r>
      <w:r>
        <w:rPr>
          <w:rFonts w:ascii="Times New Roman" w:hAnsi="Times New Roman" w:cs="Times New Roman" w:eastAsia="Times New Roman"/>
          <w:b w:val="0"/>
          <w:i w:val="0"/>
          <w:color w:val="000000"/>
          <w:sz w:val="28"/>
        </w:rPr>
        <w:t xml:space="preserve">таблице </w:t>
      </w:r>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REF _Tbl_12_1 \h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r>
        <w:rPr>
          <w:rFonts w:ascii="Times New Roman" w:hAnsi="Times New Roman" w:cs="Times New Roman" w:eastAsia="Times New Roman"/>
          <w:b w:val="0"/>
          <w:i w:val="0"/>
          <w:color w:val="000000"/>
          <w:sz w:val="28"/>
        </w:rPr>
        <w:t>. Трудоёмкость указана в человеко-часах.</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24" w:name="_Tbl_12_1"/>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24"/>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Трудоёмкость подключения заведения</w:t>
      </w:r>
    </w:p>
    <w:tbl>
      <w:tblPr>
        <w:tblStyle w:val="TableGrid"/>
        <w:tblW w:type="auto" w:w="0"/>
        <w:jc w:val="center"/>
        <w:tblLayout w:type="fixed"/>
        <w:tblLook w:firstColumn="1" w:firstRow="1" w:lastColumn="0" w:lastRow="0" w:noHBand="0" w:noVBand="1" w:val="04A0"/>
      </w:tblPr>
      <w:tblGrid>
        <w:gridCol w:w="2547"/>
        <w:gridCol w:w="5127"/>
        <w:gridCol w:w="1681"/>
      </w:tblGrid>
      <w:tr>
        <w:trPr>
          <w:tblHeader/>
        </w:trPr>
        <w:tc>
          <w:tcPr>
            <w:tcW w:type="dxa" w:w="2547"/>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Этап</w:t>
            </w:r>
          </w:p>
        </w:tc>
        <w:tc>
          <w:tcPr>
            <w:tcW w:type="dxa" w:w="5127"/>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Содержание</w:t>
            </w:r>
          </w:p>
        </w:tc>
        <w:tc>
          <w:tcPr>
            <w:tcW w:type="dxa" w:w="1681"/>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Трудоёмкость</w:t>
            </w:r>
          </w:p>
        </w:tc>
      </w:tr>
      <w:tr>
        <w:tc>
          <w:tcPr>
            <w:tcW w:type="dxa" w:w="254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Подготовка доступа</w:t>
            </w:r>
          </w:p>
        </w:tc>
        <w:tc>
          <w:tcPr>
            <w:tcW w:type="dxa" w:w="512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Получение ключа API системы учёта, согласование состава выгружаемых данных</w:t>
            </w:r>
          </w:p>
        </w:tc>
        <w:tc>
          <w:tcPr>
            <w:tcW w:type="dxa" w:w="168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 ч</w:t>
            </w:r>
          </w:p>
        </w:tc>
      </w:tr>
      <w:tr>
        <w:tc>
          <w:tcPr>
            <w:tcW w:type="dxa" w:w="254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Развёртывание экземпляра</w:t>
            </w:r>
          </w:p>
        </w:tc>
        <w:tc>
          <w:tcPr>
            <w:tcW w:type="dxa" w:w="512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Создание виртуального сервера, запуск контейнеров, инициализация базы данных</w:t>
            </w:r>
          </w:p>
        </w:tc>
        <w:tc>
          <w:tcPr>
            <w:tcW w:type="dxa" w:w="168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 ч</w:t>
            </w:r>
          </w:p>
        </w:tc>
      </w:tr>
      <w:tr>
        <w:tc>
          <w:tcPr>
            <w:tcW w:type="dxa" w:w="254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Первичная выгрузка</w:t>
            </w:r>
          </w:p>
        </w:tc>
        <w:tc>
          <w:tcPr>
            <w:tcW w:type="dxa" w:w="512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Загрузка истории заказов, справочника меню, профилей гостей; проверка полноты</w:t>
            </w:r>
          </w:p>
        </w:tc>
        <w:tc>
          <w:tcPr>
            <w:tcW w:type="dxa" w:w="168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4 ч</w:t>
            </w:r>
          </w:p>
        </w:tc>
      </w:tr>
      <w:tr>
        <w:tc>
          <w:tcPr>
            <w:tcW w:type="dxa" w:w="254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Обучение моделей</w:t>
            </w:r>
          </w:p>
        </w:tc>
        <w:tc>
          <w:tcPr>
            <w:tcW w:type="dxa" w:w="512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Формирование обучающей выборки, обучение SVD и k-means, проверка выдачи</w:t>
            </w:r>
          </w:p>
        </w:tc>
        <w:tc>
          <w:tcPr>
            <w:tcW w:type="dxa" w:w="168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4 ч</w:t>
            </w:r>
          </w:p>
        </w:tc>
      </w:tr>
      <w:tr>
        <w:tc>
          <w:tcPr>
            <w:tcW w:type="dxa" w:w="254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Подключение бота</w:t>
            </w:r>
          </w:p>
        </w:tc>
        <w:tc>
          <w:tcPr>
            <w:tcW w:type="dxa" w:w="512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Регистрация бота, настройка доступа персонала заведения</w:t>
            </w:r>
          </w:p>
        </w:tc>
        <w:tc>
          <w:tcPr>
            <w:tcW w:type="dxa" w:w="168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 ч</w:t>
            </w:r>
          </w:p>
        </w:tc>
      </w:tr>
      <w:tr>
        <w:tc>
          <w:tcPr>
            <w:tcW w:type="dxa" w:w="254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Инструктаж</w:t>
            </w:r>
          </w:p>
        </w:tc>
        <w:tc>
          <w:tcPr>
            <w:tcW w:type="dxa" w:w="512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Обучение управляющего и смены официантов</w:t>
            </w:r>
          </w:p>
        </w:tc>
        <w:tc>
          <w:tcPr>
            <w:tcW w:type="dxa" w:w="168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 ч</w:t>
            </w:r>
          </w:p>
        </w:tc>
      </w:tr>
      <w:tr>
        <w:tc>
          <w:tcPr>
            <w:tcW w:type="dxa" w:w="254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Сопровождение пуска</w:t>
            </w:r>
          </w:p>
        </w:tc>
        <w:tc>
          <w:tcPr>
            <w:tcW w:type="dxa" w:w="512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Контроль работы в первые дни, исправление замечаний</w:t>
            </w:r>
          </w:p>
        </w:tc>
        <w:tc>
          <w:tcPr>
            <w:tcW w:type="dxa" w:w="168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 ч</w:t>
            </w:r>
          </w:p>
        </w:tc>
      </w:tr>
      <w:tr>
        <w:tc>
          <w:tcPr>
            <w:tcW w:type="dxa" w:w="2547"/>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Итого на подключение</w:t>
            </w:r>
          </w:p>
        </w:tc>
        <w:tc>
          <w:tcPr>
            <w:tcW w:type="dxa" w:w="5127"/>
          </w:tcPr>
          <w:p>
            <w:pPr>
              <w:spacing w:line="240" w:lineRule="auto" w:before="0" w:after="0"/>
              <w:ind w:firstLine="0" w:left="0" w:right="0"/>
              <w:jc w:val="left"/>
            </w:pPr>
            <w:r>
              <w:rPr>
                <w:sz w:val="24"/>
              </w:rPr>
            </w:r>
          </w:p>
        </w:tc>
        <w:tc>
          <w:tcPr>
            <w:tcW w:type="dxa" w:w="1681"/>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16 ч</w:t>
            </w:r>
          </w:p>
        </w:tc>
      </w:tr>
    </w:tbl>
    <w:p>
      <w:pPr>
        <w:spacing w:line="360" w:lineRule="auto" w:before="0" w:after="12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Величина 16 часов принята в расчёте ёмкости рынка (раздел 4.3) и определяет потребность в персонале внедрения. Установка программного обеспечения на кассы и изменение настроек системы учёта заказчика не выполняются: обмен ведётся через программный интерфейс, что и позволяет уложить подключение в два рабочих дня.</w:t>
      </w:r>
    </w:p>
    <w:p>
      <w:pPr>
        <w:spacing w:line="360" w:lineRule="auto" w:before="0" w:after="0"/>
        <w:ind w:firstLine="709" w:left="0" w:right="0"/>
        <w:jc w:val="both"/>
      </w:pPr>
      <w:r>
        <w:rPr>
          <w:rFonts w:ascii="Times New Roman" w:hAnsi="Times New Roman" w:cs="Times New Roman" w:eastAsia="Times New Roman"/>
          <w:b w:val="0"/>
          <w:i w:val="0"/>
          <w:color w:val="000000"/>
          <w:sz w:val="28"/>
        </w:rPr>
        <w:t>Эксплуатация действующего заказчика не требует постоянного присутствия персонала. Регулярные операции выполняются автоматически: ежесуточная выгрузка новых заказов из системы учёта и еженедельное переобучение моделей.</w:t>
      </w:r>
    </w:p>
    <w:p>
      <w:pPr>
        <w:spacing w:line="360" w:lineRule="auto" w:before="0" w:after="0"/>
        <w:ind w:firstLine="709" w:left="0" w:right="0"/>
        <w:jc w:val="both"/>
      </w:pPr>
      <w:r>
        <w:rPr>
          <w:rFonts w:ascii="Times New Roman" w:hAnsi="Times New Roman" w:cs="Times New Roman" w:eastAsia="Times New Roman"/>
          <w:b w:val="0"/>
          <w:i w:val="0"/>
          <w:color w:val="000000"/>
          <w:sz w:val="28"/>
        </w:rPr>
        <w:t>Ручные операции сводятся к разбору обращений заказчика, контролю качества выдачи после изменения меню и подготовке ежемесячного отчёта. Трудоёмкость принята равной 2 часам в месяц на одно заведение.</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Производственные мощности</w:t>
      </w:r>
    </w:p>
    <w:p>
      <w:pPr>
        <w:spacing w:line="360" w:lineRule="auto" w:before="0" w:after="0"/>
        <w:ind w:firstLine="709" w:left="0" w:right="0"/>
        <w:jc w:val="both"/>
      </w:pPr>
      <w:r>
        <w:rPr>
          <w:rFonts w:ascii="Times New Roman" w:hAnsi="Times New Roman" w:cs="Times New Roman" w:eastAsia="Times New Roman"/>
          <w:b w:val="0"/>
          <w:i w:val="0"/>
          <w:color w:val="000000"/>
          <w:sz w:val="28"/>
        </w:rPr>
        <w:t>Ограничением объёма продаж является не спрос и не вычислительные ресурсы, а трудоёмкость подключения. Расчёт численности персонала внедрения выполнен в разделе 4.3, потребность в ставках составляет 0,6 / 1,8 / 3,2 по годам.</w:t>
      </w:r>
    </w:p>
    <w:p>
      <w:pPr>
        <w:spacing w:line="360" w:lineRule="auto" w:before="0" w:after="0"/>
        <w:ind w:firstLine="709" w:left="0" w:right="0"/>
        <w:jc w:val="both"/>
      </w:pPr>
      <w:r>
        <w:rPr>
          <w:rFonts w:ascii="Times New Roman" w:hAnsi="Times New Roman" w:cs="Times New Roman" w:eastAsia="Times New Roman"/>
          <w:b w:val="0"/>
          <w:i w:val="0"/>
          <w:color w:val="000000"/>
          <w:sz w:val="28"/>
        </w:rPr>
        <w:t xml:space="preserve">Пропускная способность при штатном расписании раздела 5 приведена в </w:t>
      </w:r>
      <w:r>
        <w:rPr>
          <w:rFonts w:ascii="Times New Roman" w:hAnsi="Times New Roman" w:cs="Times New Roman" w:eastAsia="Times New Roman"/>
          <w:b w:val="0"/>
          <w:i w:val="0"/>
          <w:color w:val="000000"/>
          <w:sz w:val="28"/>
        </w:rPr>
        <w:t xml:space="preserve">таблице </w:t>
      </w:r>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REF _Tbl_12_2 \h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r>
        <w:rPr>
          <w:rFonts w:ascii="Times New Roman" w:hAnsi="Times New Roman" w:cs="Times New Roman" w:eastAsia="Times New Roman"/>
          <w:b w:val="0"/>
          <w:i w:val="0"/>
          <w:color w:val="000000"/>
          <w:sz w:val="28"/>
        </w:rPr>
        <w:t>. Месячный фонд рабочего времени принят равным 164 часам.</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25" w:name="_Tbl_12_2"/>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25"/>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Пропускная способность внедрения</w:t>
      </w:r>
    </w:p>
    <w:tbl>
      <w:tblPr>
        <w:tblStyle w:val="TableGrid"/>
        <w:tblW w:type="auto" w:w="0"/>
        <w:jc w:val="center"/>
        <w:tblLayout w:type="fixed"/>
        <w:tblLook w:firstColumn="1" w:firstRow="1" w:lastColumn="0" w:lastRow="0" w:noHBand="0" w:noVBand="1" w:val="04A0"/>
      </w:tblPr>
      <w:tblGrid>
        <w:gridCol w:w="4242"/>
        <w:gridCol w:w="1704"/>
        <w:gridCol w:w="1704"/>
        <w:gridCol w:w="1704"/>
      </w:tblGrid>
      <w:tr>
        <w:trPr>
          <w:tblHeader/>
        </w:trPr>
        <w:tc>
          <w:tcPr>
            <w:tcW w:type="dxa" w:w="4242"/>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Показатель</w:t>
            </w:r>
          </w:p>
        </w:tc>
        <w:tc>
          <w:tcPr>
            <w:tcW w:type="dxa" w:w="1704"/>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1-й год</w:t>
            </w:r>
          </w:p>
        </w:tc>
        <w:tc>
          <w:tcPr>
            <w:tcW w:type="dxa" w:w="1704"/>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2-й год</w:t>
            </w:r>
          </w:p>
        </w:tc>
        <w:tc>
          <w:tcPr>
            <w:tcW w:type="dxa" w:w="1704"/>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3-й год</w:t>
            </w:r>
          </w:p>
        </w:tc>
      </w:tr>
      <w:tr>
        <w:tc>
          <w:tcPr>
            <w:tcW w:type="dxa" w:w="424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Ставок внедрения (среднегодовая)</w:t>
            </w:r>
          </w:p>
        </w:tc>
        <w:tc>
          <w:tcPr>
            <w:tcW w:type="dxa" w:w="170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0,7</w:t>
            </w:r>
          </w:p>
        </w:tc>
        <w:tc>
          <w:tcPr>
            <w:tcW w:type="dxa" w:w="170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1,8</w:t>
            </w:r>
          </w:p>
        </w:tc>
        <w:tc>
          <w:tcPr>
            <w:tcW w:type="dxa" w:w="170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3,0</w:t>
            </w:r>
          </w:p>
        </w:tc>
      </w:tr>
      <w:tr>
        <w:tc>
          <w:tcPr>
            <w:tcW w:type="dxa" w:w="424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Фонд времени, ч/мес</w:t>
            </w:r>
          </w:p>
        </w:tc>
        <w:tc>
          <w:tcPr>
            <w:tcW w:type="dxa" w:w="170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109</w:t>
            </w:r>
          </w:p>
        </w:tc>
        <w:tc>
          <w:tcPr>
            <w:tcW w:type="dxa" w:w="170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287</w:t>
            </w:r>
          </w:p>
        </w:tc>
        <w:tc>
          <w:tcPr>
            <w:tcW w:type="dxa" w:w="170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492</w:t>
            </w:r>
          </w:p>
        </w:tc>
      </w:tr>
      <w:tr>
        <w:tc>
          <w:tcPr>
            <w:tcW w:type="dxa" w:w="424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Затраты на сопровождение, ч/мес</w:t>
            </w:r>
          </w:p>
        </w:tc>
        <w:tc>
          <w:tcPr>
            <w:tcW w:type="dxa" w:w="170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30</w:t>
            </w:r>
          </w:p>
        </w:tc>
        <w:tc>
          <w:tcPr>
            <w:tcW w:type="dxa" w:w="170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130</w:t>
            </w:r>
          </w:p>
        </w:tc>
        <w:tc>
          <w:tcPr>
            <w:tcW w:type="dxa" w:w="170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300</w:t>
            </w:r>
          </w:p>
        </w:tc>
      </w:tr>
      <w:tr>
        <w:tc>
          <w:tcPr>
            <w:tcW w:type="dxa" w:w="424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Остаток на подключения, ч/мес</w:t>
            </w:r>
          </w:p>
        </w:tc>
        <w:tc>
          <w:tcPr>
            <w:tcW w:type="dxa" w:w="170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79</w:t>
            </w:r>
          </w:p>
        </w:tc>
        <w:tc>
          <w:tcPr>
            <w:tcW w:type="dxa" w:w="170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157</w:t>
            </w:r>
          </w:p>
        </w:tc>
        <w:tc>
          <w:tcPr>
            <w:tcW w:type="dxa" w:w="170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192</w:t>
            </w:r>
          </w:p>
        </w:tc>
      </w:tr>
      <w:tr>
        <w:tc>
          <w:tcPr>
            <w:tcW w:type="dxa" w:w="424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Возможных подключений, шт./мес</w:t>
            </w:r>
          </w:p>
        </w:tc>
        <w:tc>
          <w:tcPr>
            <w:tcW w:type="dxa" w:w="170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5,0</w:t>
            </w:r>
          </w:p>
        </w:tc>
        <w:tc>
          <w:tcPr>
            <w:tcW w:type="dxa" w:w="170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9,8</w:t>
            </w:r>
          </w:p>
        </w:tc>
        <w:tc>
          <w:tcPr>
            <w:tcW w:type="dxa" w:w="170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12,0</w:t>
            </w:r>
          </w:p>
        </w:tc>
      </w:tr>
      <w:tr>
        <w:tc>
          <w:tcPr>
            <w:tcW w:type="dxa" w:w="424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Плановых подключений, шт./мес</w:t>
            </w:r>
          </w:p>
        </w:tc>
        <w:tc>
          <w:tcPr>
            <w:tcW w:type="dxa" w:w="170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2,5</w:t>
            </w:r>
          </w:p>
        </w:tc>
        <w:tc>
          <w:tcPr>
            <w:tcW w:type="dxa" w:w="170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5,8</w:t>
            </w:r>
          </w:p>
        </w:tc>
        <w:tc>
          <w:tcPr>
            <w:tcW w:type="dxa" w:w="170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8,3</w:t>
            </w:r>
          </w:p>
        </w:tc>
      </w:tr>
    </w:tbl>
    <w:p>
      <w:pPr>
        <w:spacing w:line="360" w:lineRule="auto" w:before="0" w:after="12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Определяющей величиной является не число подключений, а трудоёмкость сопровождения: она растёт вместе с накопленной базой заказчиков и поглощает фонд рабочего времени независимо от темпа продаж. Расчёт по месяцам показывает, что один специалист по внедрению исчерпывает мощность к седьмому месяцу второго года, а к десятому сопровождение ста заведений поглощает весь его фонд времени, и подключение новых заказчиков прекращается. Поэтому второй специалист по внедрению принимается с четвёртого месяца второго года (раздел 5); при таком порядке найма запас мощности сохраняется в течение всего года.</w:t>
      </w:r>
    </w:p>
    <w:p>
      <w:pPr>
        <w:spacing w:line="360" w:lineRule="auto" w:before="0" w:after="0"/>
        <w:ind w:firstLine="709" w:left="0" w:right="0"/>
        <w:jc w:val="both"/>
      </w:pPr>
      <w:r>
        <w:rPr>
          <w:rFonts w:ascii="Times New Roman" w:hAnsi="Times New Roman" w:cs="Times New Roman" w:eastAsia="Times New Roman"/>
          <w:b w:val="0"/>
          <w:i w:val="0"/>
          <w:color w:val="000000"/>
          <w:sz w:val="28"/>
        </w:rPr>
        <w:t>В первый год мощность избыточна: плановый темп подключений ограничен не внедрением, а продажами – числом заведений, которые удаётся довести до договора силами единственного продавца (раздел 4.4).</w:t>
      </w:r>
    </w:p>
    <w:p>
      <w:pPr>
        <w:spacing w:line="360" w:lineRule="auto" w:before="0" w:after="0"/>
        <w:ind w:firstLine="709" w:left="0" w:right="0"/>
        <w:jc w:val="both"/>
      </w:pPr>
      <w:r>
        <w:rPr>
          <w:rFonts w:ascii="Times New Roman" w:hAnsi="Times New Roman" w:cs="Times New Roman" w:eastAsia="Times New Roman"/>
          <w:b w:val="0"/>
          <w:i w:val="0"/>
          <w:color w:val="000000"/>
          <w:sz w:val="28"/>
        </w:rPr>
        <w:t>Вычислительных ограничений процесс не создаёт. Экземпляр платформы занимает около 180 МБ оперативной памяти, обучение моделей на базе одного ресторана выполняется за единицы минут и приходится на ночные часы.</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Материально-техническое обеспечение</w:t>
      </w:r>
    </w:p>
    <w:p>
      <w:pPr>
        <w:spacing w:line="360" w:lineRule="auto" w:before="0" w:after="0"/>
        <w:ind w:firstLine="709" w:left="0" w:right="0"/>
        <w:jc w:val="both"/>
      </w:pPr>
      <w:r>
        <w:rPr>
          <w:rFonts w:ascii="Times New Roman" w:hAnsi="Times New Roman" w:cs="Times New Roman" w:eastAsia="Times New Roman"/>
          <w:b/>
          <w:i w:val="0"/>
          <w:color w:val="000000"/>
          <w:sz w:val="28"/>
        </w:rPr>
        <w:t>Серверные мощности.</w:t>
      </w:r>
      <w:r>
        <w:rPr>
          <w:rFonts w:ascii="Times New Roman" w:hAnsi="Times New Roman" w:cs="Times New Roman" w:eastAsia="Times New Roman"/>
          <w:b w:val="0"/>
          <w:i w:val="0"/>
          <w:color w:val="000000"/>
          <w:sz w:val="28"/>
        </w:rPr>
        <w:t xml:space="preserve"> Для каждого заказчика разворачивается отдельный экземпляр платформы с собственной базой данных и собственными моделями: меню и состав гостей у заведений различаются, и общая модель давала бы худший результат. Изоляция одновременно отвечает требованиям к обработке персональных данных – сведения о гостях одного ресторана недоступны из экземпляра другого.</w:t>
      </w:r>
    </w:p>
    <w:p>
      <w:pPr>
        <w:spacing w:line="360" w:lineRule="auto" w:before="0" w:after="0"/>
        <w:ind w:firstLine="709" w:left="0" w:right="0"/>
        <w:jc w:val="both"/>
      </w:pPr>
      <w:r>
        <w:rPr>
          <w:rFonts w:ascii="Times New Roman" w:hAnsi="Times New Roman" w:cs="Times New Roman" w:eastAsia="Times New Roman"/>
          <w:b w:val="0"/>
          <w:i w:val="0"/>
          <w:color w:val="000000"/>
          <w:sz w:val="28"/>
        </w:rPr>
        <w:t>Конфигурация – 2 vCPU, 2 ГБ оперативной памяти, 40 ГБ дискового пространства, стоимость 400 рублей в месяц [32]. Размещение на территории Российской Федерации обязательно в силу требований законодательства о персональных данных.</w:t>
      </w:r>
    </w:p>
    <w:p>
      <w:pPr>
        <w:spacing w:line="360" w:lineRule="auto" w:before="0" w:after="0"/>
        <w:ind w:firstLine="709" w:left="0" w:right="0"/>
        <w:jc w:val="both"/>
      </w:pPr>
      <w:r>
        <w:rPr>
          <w:rFonts w:ascii="Times New Roman" w:hAnsi="Times New Roman" w:cs="Times New Roman" w:eastAsia="Times New Roman"/>
          <w:b w:val="0"/>
          <w:i w:val="0"/>
          <w:color w:val="000000"/>
          <w:sz w:val="28"/>
        </w:rPr>
        <w:t>Отдельно арендуется сервер сборки образов и хранения резервных копий: 2 vCPU, 4 ГБ, 50 ГБ, 650 рублей в месяц [32]. Повышенный объём памяти требуется исключительно для сборки библиотеки scikit-surprise из исходного кода; готовый образ разворачивается на серверах заказчиков без пересборки, что и позволяет использовать для них минимальную конфигурацию.</w:t>
      </w:r>
    </w:p>
    <w:p>
      <w:pPr>
        <w:spacing w:line="360" w:lineRule="auto" w:before="0" w:after="0"/>
        <w:ind w:firstLine="709" w:left="0" w:right="0"/>
        <w:jc w:val="both"/>
      </w:pPr>
      <w:r>
        <w:rPr>
          <w:rFonts w:ascii="Times New Roman" w:hAnsi="Times New Roman" w:cs="Times New Roman" w:eastAsia="Times New Roman"/>
          <w:b/>
          <w:i w:val="0"/>
          <w:color w:val="000000"/>
          <w:sz w:val="28"/>
        </w:rPr>
        <w:t>Программное обеспечение.</w:t>
      </w:r>
      <w:r>
        <w:rPr>
          <w:rFonts w:ascii="Times New Roman" w:hAnsi="Times New Roman" w:cs="Times New Roman" w:eastAsia="Times New Roman"/>
          <w:b w:val="0"/>
          <w:i w:val="0"/>
          <w:color w:val="000000"/>
          <w:sz w:val="28"/>
        </w:rPr>
        <w:t xml:space="preserve"> Платформа построена на программном обеспечении с открытым исходным кодом: PostgreSQL, Python, FastAPI, scikit-learn, scikit-surprise, Docker. Обмен с мессенджером ведётся запросами к его программному интерфейсу. Лицензионных отчислений не предусмотрено, ограничений на коммерческое использование лицензии не содержат. Заимствование зарубежных проприетарных компонентов отсутствует, что устраняет риск отзыва лицензий.</w:t>
      </w:r>
    </w:p>
    <w:p>
      <w:pPr>
        <w:spacing w:line="360" w:lineRule="auto" w:before="0" w:after="0"/>
        <w:ind w:firstLine="709" w:left="0" w:right="0"/>
        <w:jc w:val="both"/>
      </w:pPr>
      <w:r>
        <w:rPr>
          <w:rFonts w:ascii="Times New Roman" w:hAnsi="Times New Roman" w:cs="Times New Roman" w:eastAsia="Times New Roman"/>
          <w:b/>
          <w:i w:val="0"/>
          <w:color w:val="000000"/>
          <w:sz w:val="28"/>
        </w:rPr>
        <w:t>Рабочие места.</w:t>
      </w:r>
      <w:r>
        <w:rPr>
          <w:rFonts w:ascii="Times New Roman" w:hAnsi="Times New Roman" w:cs="Times New Roman" w:eastAsia="Times New Roman"/>
          <w:b w:val="0"/>
          <w:i w:val="0"/>
          <w:color w:val="000000"/>
          <w:sz w:val="28"/>
        </w:rPr>
        <w:t xml:space="preserve"> Отдельное помещение не арендуется: работа ведётся удалённо, встречи с заказчиками проходят на их территории. Работники используют собственные вычислительные средства, поэтому затрат на оборудование рабочих мест смета не содержит. Такой порядок применим потому, что вычисления выполняются на арендованных серверах, а не на машине работника: локально ведётся только разработка и подключение по защищённому соединению.</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План подключений и выручки первого года</w:t>
      </w:r>
    </w:p>
    <w:p>
      <w:pPr>
        <w:spacing w:line="360" w:lineRule="auto" w:before="0" w:after="0"/>
        <w:ind w:firstLine="709" w:left="0" w:right="0"/>
        <w:jc w:val="both"/>
      </w:pPr>
      <w:r>
        <w:rPr>
          <w:rFonts w:ascii="Times New Roman" w:hAnsi="Times New Roman" w:cs="Times New Roman" w:eastAsia="Times New Roman"/>
          <w:b w:val="0"/>
          <w:i w:val="0"/>
          <w:color w:val="000000"/>
          <w:sz w:val="28"/>
        </w:rPr>
        <w:t xml:space="preserve">Помесячный план приведён в </w:t>
      </w:r>
      <w:r>
        <w:rPr>
          <w:rFonts w:ascii="Times New Roman" w:hAnsi="Times New Roman" w:cs="Times New Roman" w:eastAsia="Times New Roman"/>
          <w:b w:val="0"/>
          <w:i w:val="0"/>
          <w:color w:val="000000"/>
          <w:sz w:val="28"/>
        </w:rPr>
        <w:t xml:space="preserve">таблице </w:t>
      </w:r>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REF _Tbl_12_3 \h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r>
        <w:rPr>
          <w:rFonts w:ascii="Times New Roman" w:hAnsi="Times New Roman" w:cs="Times New Roman" w:eastAsia="Times New Roman"/>
          <w:b w:val="0"/>
          <w:i w:val="0"/>
          <w:color w:val="000000"/>
          <w:sz w:val="28"/>
        </w:rPr>
        <w:t>. Бесплатный период продолжительностью 30 дней предоставляется каждому заказчику, а не только пилотным заведениям (раздел 4.5), поэтому оплата поступает начиная со второго месяца после подключения.</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26" w:name="_Tbl_12_3"/>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26"/>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План подключений и выручки первого года</w:t>
      </w:r>
    </w:p>
    <w:tbl>
      <w:tblPr>
        <w:tblStyle w:val="TableGrid"/>
        <w:tblW w:type="auto" w:w="0"/>
        <w:jc w:val="center"/>
        <w:tblLayout w:type="fixed"/>
        <w:tblLook w:firstColumn="1" w:firstRow="1" w:lastColumn="0" w:lastRow="0" w:noHBand="0" w:noVBand="1" w:val="04A0"/>
      </w:tblPr>
      <w:tblGrid>
        <w:gridCol w:w="1468"/>
        <w:gridCol w:w="2299"/>
        <w:gridCol w:w="1995"/>
        <w:gridCol w:w="1368"/>
        <w:gridCol w:w="2225"/>
      </w:tblGrid>
      <w:tr>
        <w:trPr>
          <w:tblHeader/>
        </w:trPr>
        <w:tc>
          <w:tcPr>
            <w:tcW w:type="dxa" w:w="1468"/>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Месяц</w:t>
            </w:r>
          </w:p>
        </w:tc>
        <w:tc>
          <w:tcPr>
            <w:tcW w:type="dxa" w:w="2299"/>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Подключено за месяц</w:t>
            </w:r>
          </w:p>
        </w:tc>
        <w:tc>
          <w:tcPr>
            <w:tcW w:type="dxa" w:w="1995"/>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Всего заведений</w:t>
            </w:r>
          </w:p>
        </w:tc>
        <w:tc>
          <w:tcPr>
            <w:tcW w:type="dxa" w:w="1368"/>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Платящих</w:t>
            </w:r>
          </w:p>
        </w:tc>
        <w:tc>
          <w:tcPr>
            <w:tcW w:type="dxa" w:w="2225"/>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Выручка, тыс. руб.</w:t>
            </w:r>
          </w:p>
        </w:tc>
      </w:tr>
      <w:tr>
        <w:tc>
          <w:tcPr>
            <w:tcW w:type="dxa" w:w="14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w:t>
            </w:r>
          </w:p>
        </w:tc>
        <w:tc>
          <w:tcPr>
            <w:tcW w:type="dxa" w:w="229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w:t>
            </w:r>
          </w:p>
        </w:tc>
        <w:tc>
          <w:tcPr>
            <w:tcW w:type="dxa" w:w="199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w:t>
            </w:r>
          </w:p>
        </w:tc>
        <w:tc>
          <w:tcPr>
            <w:tcW w:type="dxa" w:w="13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w:t>
            </w:r>
          </w:p>
        </w:tc>
        <w:tc>
          <w:tcPr>
            <w:tcW w:type="dxa" w:w="222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w:t>
            </w:r>
          </w:p>
        </w:tc>
      </w:tr>
      <w:tr>
        <w:tc>
          <w:tcPr>
            <w:tcW w:type="dxa" w:w="14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w:t>
            </w:r>
          </w:p>
        </w:tc>
        <w:tc>
          <w:tcPr>
            <w:tcW w:type="dxa" w:w="229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w:t>
            </w:r>
          </w:p>
        </w:tc>
        <w:tc>
          <w:tcPr>
            <w:tcW w:type="dxa" w:w="199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w:t>
            </w:r>
          </w:p>
        </w:tc>
        <w:tc>
          <w:tcPr>
            <w:tcW w:type="dxa" w:w="13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w:t>
            </w:r>
          </w:p>
        </w:tc>
        <w:tc>
          <w:tcPr>
            <w:tcW w:type="dxa" w:w="222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w:t>
            </w:r>
          </w:p>
        </w:tc>
      </w:tr>
      <w:tr>
        <w:tc>
          <w:tcPr>
            <w:tcW w:type="dxa" w:w="14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w:t>
            </w:r>
          </w:p>
        </w:tc>
        <w:tc>
          <w:tcPr>
            <w:tcW w:type="dxa" w:w="229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w:t>
            </w:r>
          </w:p>
        </w:tc>
        <w:tc>
          <w:tcPr>
            <w:tcW w:type="dxa" w:w="199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5</w:t>
            </w:r>
          </w:p>
        </w:tc>
        <w:tc>
          <w:tcPr>
            <w:tcW w:type="dxa" w:w="13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w:t>
            </w:r>
          </w:p>
        </w:tc>
        <w:tc>
          <w:tcPr>
            <w:tcW w:type="dxa" w:w="222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w:t>
            </w:r>
          </w:p>
        </w:tc>
      </w:tr>
      <w:tr>
        <w:tc>
          <w:tcPr>
            <w:tcW w:type="dxa" w:w="14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4</w:t>
            </w:r>
          </w:p>
        </w:tc>
        <w:tc>
          <w:tcPr>
            <w:tcW w:type="dxa" w:w="229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w:t>
            </w:r>
          </w:p>
        </w:tc>
        <w:tc>
          <w:tcPr>
            <w:tcW w:type="dxa" w:w="199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7</w:t>
            </w:r>
          </w:p>
        </w:tc>
        <w:tc>
          <w:tcPr>
            <w:tcW w:type="dxa" w:w="13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w:t>
            </w:r>
          </w:p>
        </w:tc>
        <w:tc>
          <w:tcPr>
            <w:tcW w:type="dxa" w:w="222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30</w:t>
            </w:r>
          </w:p>
        </w:tc>
      </w:tr>
      <w:tr>
        <w:tc>
          <w:tcPr>
            <w:tcW w:type="dxa" w:w="14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5</w:t>
            </w:r>
          </w:p>
        </w:tc>
        <w:tc>
          <w:tcPr>
            <w:tcW w:type="dxa" w:w="229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w:t>
            </w:r>
          </w:p>
        </w:tc>
        <w:tc>
          <w:tcPr>
            <w:tcW w:type="dxa" w:w="199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9</w:t>
            </w:r>
          </w:p>
        </w:tc>
        <w:tc>
          <w:tcPr>
            <w:tcW w:type="dxa" w:w="13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5</w:t>
            </w:r>
          </w:p>
        </w:tc>
        <w:tc>
          <w:tcPr>
            <w:tcW w:type="dxa" w:w="222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50</w:t>
            </w:r>
          </w:p>
        </w:tc>
      </w:tr>
      <w:tr>
        <w:tc>
          <w:tcPr>
            <w:tcW w:type="dxa" w:w="14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6</w:t>
            </w:r>
          </w:p>
        </w:tc>
        <w:tc>
          <w:tcPr>
            <w:tcW w:type="dxa" w:w="229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w:t>
            </w:r>
          </w:p>
        </w:tc>
        <w:tc>
          <w:tcPr>
            <w:tcW w:type="dxa" w:w="199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12</w:t>
            </w:r>
          </w:p>
        </w:tc>
        <w:tc>
          <w:tcPr>
            <w:tcW w:type="dxa" w:w="13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7</w:t>
            </w:r>
          </w:p>
        </w:tc>
        <w:tc>
          <w:tcPr>
            <w:tcW w:type="dxa" w:w="222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70</w:t>
            </w:r>
          </w:p>
        </w:tc>
      </w:tr>
      <w:tr>
        <w:tc>
          <w:tcPr>
            <w:tcW w:type="dxa" w:w="14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7</w:t>
            </w:r>
          </w:p>
        </w:tc>
        <w:tc>
          <w:tcPr>
            <w:tcW w:type="dxa" w:w="229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w:t>
            </w:r>
          </w:p>
        </w:tc>
        <w:tc>
          <w:tcPr>
            <w:tcW w:type="dxa" w:w="199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15</w:t>
            </w:r>
          </w:p>
        </w:tc>
        <w:tc>
          <w:tcPr>
            <w:tcW w:type="dxa" w:w="13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9</w:t>
            </w:r>
          </w:p>
        </w:tc>
        <w:tc>
          <w:tcPr>
            <w:tcW w:type="dxa" w:w="222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90</w:t>
            </w:r>
          </w:p>
        </w:tc>
      </w:tr>
      <w:tr>
        <w:tc>
          <w:tcPr>
            <w:tcW w:type="dxa" w:w="14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w:t>
            </w:r>
          </w:p>
        </w:tc>
        <w:tc>
          <w:tcPr>
            <w:tcW w:type="dxa" w:w="229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w:t>
            </w:r>
          </w:p>
        </w:tc>
        <w:tc>
          <w:tcPr>
            <w:tcW w:type="dxa" w:w="199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18</w:t>
            </w:r>
          </w:p>
        </w:tc>
        <w:tc>
          <w:tcPr>
            <w:tcW w:type="dxa" w:w="13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12</w:t>
            </w:r>
          </w:p>
        </w:tc>
        <w:tc>
          <w:tcPr>
            <w:tcW w:type="dxa" w:w="222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120</w:t>
            </w:r>
          </w:p>
        </w:tc>
      </w:tr>
      <w:tr>
        <w:tc>
          <w:tcPr>
            <w:tcW w:type="dxa" w:w="14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9</w:t>
            </w:r>
          </w:p>
        </w:tc>
        <w:tc>
          <w:tcPr>
            <w:tcW w:type="dxa" w:w="229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w:t>
            </w:r>
          </w:p>
        </w:tc>
        <w:tc>
          <w:tcPr>
            <w:tcW w:type="dxa" w:w="199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21</w:t>
            </w:r>
          </w:p>
        </w:tc>
        <w:tc>
          <w:tcPr>
            <w:tcW w:type="dxa" w:w="13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15</w:t>
            </w:r>
          </w:p>
        </w:tc>
        <w:tc>
          <w:tcPr>
            <w:tcW w:type="dxa" w:w="222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150</w:t>
            </w:r>
          </w:p>
        </w:tc>
      </w:tr>
      <w:tr>
        <w:tc>
          <w:tcPr>
            <w:tcW w:type="dxa" w:w="14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10</w:t>
            </w:r>
          </w:p>
        </w:tc>
        <w:tc>
          <w:tcPr>
            <w:tcW w:type="dxa" w:w="229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w:t>
            </w:r>
          </w:p>
        </w:tc>
        <w:tc>
          <w:tcPr>
            <w:tcW w:type="dxa" w:w="199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24</w:t>
            </w:r>
          </w:p>
        </w:tc>
        <w:tc>
          <w:tcPr>
            <w:tcW w:type="dxa" w:w="13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18</w:t>
            </w:r>
          </w:p>
        </w:tc>
        <w:tc>
          <w:tcPr>
            <w:tcW w:type="dxa" w:w="222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180</w:t>
            </w:r>
          </w:p>
        </w:tc>
      </w:tr>
      <w:tr>
        <w:tc>
          <w:tcPr>
            <w:tcW w:type="dxa" w:w="14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11</w:t>
            </w:r>
          </w:p>
        </w:tc>
        <w:tc>
          <w:tcPr>
            <w:tcW w:type="dxa" w:w="229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w:t>
            </w:r>
          </w:p>
        </w:tc>
        <w:tc>
          <w:tcPr>
            <w:tcW w:type="dxa" w:w="199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27</w:t>
            </w:r>
          </w:p>
        </w:tc>
        <w:tc>
          <w:tcPr>
            <w:tcW w:type="dxa" w:w="13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21</w:t>
            </w:r>
          </w:p>
        </w:tc>
        <w:tc>
          <w:tcPr>
            <w:tcW w:type="dxa" w:w="222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210</w:t>
            </w:r>
          </w:p>
        </w:tc>
      </w:tr>
      <w:tr>
        <w:tc>
          <w:tcPr>
            <w:tcW w:type="dxa" w:w="14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12</w:t>
            </w:r>
          </w:p>
        </w:tc>
        <w:tc>
          <w:tcPr>
            <w:tcW w:type="dxa" w:w="229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w:t>
            </w:r>
          </w:p>
        </w:tc>
        <w:tc>
          <w:tcPr>
            <w:tcW w:type="dxa" w:w="199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30</w:t>
            </w:r>
          </w:p>
        </w:tc>
        <w:tc>
          <w:tcPr>
            <w:tcW w:type="dxa" w:w="13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24</w:t>
            </w:r>
          </w:p>
        </w:tc>
        <w:tc>
          <w:tcPr>
            <w:tcW w:type="dxa" w:w="222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240</w:t>
            </w:r>
          </w:p>
        </w:tc>
      </w:tr>
      <w:tr>
        <w:tc>
          <w:tcPr>
            <w:tcW w:type="dxa" w:w="1468"/>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Итого</w:t>
            </w:r>
          </w:p>
        </w:tc>
        <w:tc>
          <w:tcPr>
            <w:tcW w:type="dxa" w:w="2299"/>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30</w:t>
            </w:r>
          </w:p>
        </w:tc>
        <w:tc>
          <w:tcPr>
            <w:tcW w:type="dxa" w:w="1995"/>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30</w:t>
            </w:r>
          </w:p>
        </w:tc>
        <w:tc>
          <w:tcPr>
            <w:tcW w:type="dxa" w:w="1368"/>
          </w:tcPr>
          <w:p>
            <w:pPr>
              <w:spacing w:line="240" w:lineRule="auto" w:before="0" w:after="0"/>
              <w:ind w:firstLine="0" w:left="0" w:right="0"/>
              <w:jc w:val="left"/>
            </w:pPr>
            <w:r>
              <w:rPr>
                <w:sz w:val="24"/>
              </w:rPr>
            </w:r>
          </w:p>
        </w:tc>
        <w:tc>
          <w:tcPr>
            <w:tcW w:type="dxa" w:w="2225"/>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1 140</w:t>
            </w:r>
          </w:p>
        </w:tc>
      </w:tr>
    </w:tbl>
    <w:p>
      <w:pPr>
        <w:spacing w:line="360" w:lineRule="auto" w:before="0" w:after="12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Выручка первого года составляет 1,14 млн рублей при годовом темпе поступлений 3,60 млн рублей на конец года. Различие определяется двумя причинами: накопительным характером подписки и бесплатным месяцем, который получает каждый заказчик. Второе обстоятельство равносильно отсрочке поступлений на месяц и обходится в первый год примерно в 0,24 млн рублей – это цена снятия возражения «неочевиден результат» (раздел 4.4).</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Калькуляция себестоимости</w:t>
      </w:r>
    </w:p>
    <w:p>
      <w:pPr>
        <w:spacing w:line="360" w:lineRule="auto" w:before="0" w:after="0"/>
        <w:ind w:firstLine="709" w:left="0" w:right="0"/>
        <w:jc w:val="both"/>
      </w:pPr>
      <w:r>
        <w:rPr>
          <w:rFonts w:ascii="Times New Roman" w:hAnsi="Times New Roman" w:cs="Times New Roman" w:eastAsia="Times New Roman"/>
          <w:b w:val="0"/>
          <w:i w:val="0"/>
          <w:color w:val="000000"/>
          <w:sz w:val="28"/>
        </w:rPr>
        <w:t xml:space="preserve">Прямые затраты на обслуживание одного заведения в месяц приведены в </w:t>
      </w:r>
      <w:r>
        <w:rPr>
          <w:rFonts w:ascii="Times New Roman" w:hAnsi="Times New Roman" w:cs="Times New Roman" w:eastAsia="Times New Roman"/>
          <w:b w:val="0"/>
          <w:i w:val="0"/>
          <w:color w:val="000000"/>
          <w:sz w:val="28"/>
        </w:rPr>
        <w:t xml:space="preserve">таблице </w:t>
      </w:r>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REF _Tbl_12_4 \h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r>
        <w:rPr>
          <w:rFonts w:ascii="Times New Roman" w:hAnsi="Times New Roman" w:cs="Times New Roman" w:eastAsia="Times New Roman"/>
          <w:b w:val="0"/>
          <w:i w:val="0"/>
          <w:color w:val="000000"/>
          <w:sz w:val="28"/>
        </w:rPr>
        <w:t>.</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27" w:name="_Tbl_12_4"/>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27"/>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Себестоимость обслуживания одного заведения, руб./мес.</w:t>
      </w:r>
    </w:p>
    <w:tbl>
      <w:tblPr>
        <w:tblStyle w:val="TableGrid"/>
        <w:tblW w:type="auto" w:w="0"/>
        <w:jc w:val="center"/>
        <w:tblLayout w:type="fixed"/>
        <w:tblLook w:firstColumn="1" w:firstRow="1" w:lastColumn="0" w:lastRow="0" w:noHBand="0" w:noVBand="1" w:val="04A0"/>
      </w:tblPr>
      <w:tblGrid>
        <w:gridCol w:w="4472"/>
        <w:gridCol w:w="2637"/>
        <w:gridCol w:w="2245"/>
      </w:tblGrid>
      <w:tr>
        <w:trPr>
          <w:tblHeader/>
        </w:trPr>
        <w:tc>
          <w:tcPr>
            <w:tcW w:type="dxa" w:w="4472"/>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Статья</w:t>
            </w:r>
          </w:p>
        </w:tc>
        <w:tc>
          <w:tcPr>
            <w:tcW w:type="dxa" w:w="2637"/>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1–2-й годы (АУСН)</w:t>
            </w:r>
          </w:p>
        </w:tc>
        <w:tc>
          <w:tcPr>
            <w:tcW w:type="dxa" w:w="2245"/>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3-й год (ОСН)</w:t>
            </w:r>
          </w:p>
        </w:tc>
      </w:tr>
      <w:tr>
        <w:tc>
          <w:tcPr>
            <w:tcW w:type="dxa" w:w="447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Аренда сервера</w:t>
            </w:r>
          </w:p>
        </w:tc>
        <w:tc>
          <w:tcPr>
            <w:tcW w:type="dxa" w:w="263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400</w:t>
            </w:r>
          </w:p>
        </w:tc>
        <w:tc>
          <w:tcPr>
            <w:tcW w:type="dxa" w:w="224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400</w:t>
            </w:r>
          </w:p>
        </w:tc>
      </w:tr>
      <w:tr>
        <w:tc>
          <w:tcPr>
            <w:tcW w:type="dxa" w:w="447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Оплата труда внедрения (2 ч × 427 руб./ч)</w:t>
            </w:r>
          </w:p>
        </w:tc>
        <w:tc>
          <w:tcPr>
            <w:tcW w:type="dxa" w:w="263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854</w:t>
            </w:r>
          </w:p>
        </w:tc>
        <w:tc>
          <w:tcPr>
            <w:tcW w:type="dxa" w:w="224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854</w:t>
            </w:r>
          </w:p>
        </w:tc>
      </w:tr>
      <w:tr>
        <w:tc>
          <w:tcPr>
            <w:tcW w:type="dxa" w:w="447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Страховые взносы (15 %)</w:t>
            </w:r>
          </w:p>
        </w:tc>
        <w:tc>
          <w:tcPr>
            <w:tcW w:type="dxa" w:w="263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w:t>
            </w:r>
          </w:p>
        </w:tc>
        <w:tc>
          <w:tcPr>
            <w:tcW w:type="dxa" w:w="224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128</w:t>
            </w:r>
          </w:p>
        </w:tc>
      </w:tr>
      <w:tr>
        <w:tc>
          <w:tcPr>
            <w:tcW w:type="dxa" w:w="4472"/>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Прямая себестоимость</w:t>
            </w:r>
          </w:p>
        </w:tc>
        <w:tc>
          <w:tcPr>
            <w:tcW w:type="dxa" w:w="2637"/>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1 254</w:t>
            </w:r>
          </w:p>
        </w:tc>
        <w:tc>
          <w:tcPr>
            <w:tcW w:type="dxa" w:w="2245"/>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1 382</w:t>
            </w:r>
          </w:p>
        </w:tc>
      </w:tr>
    </w:tbl>
    <w:p>
      <w:pPr>
        <w:spacing w:line="360" w:lineRule="auto" w:before="0" w:after="12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Часовая ставка специалиста по внедрению получена делением оклада 70 000 рублей на месячный фонд 164 часа. Оклад принят по нижней границе рынка труда (раздел 5) и уточняется по результатам найма; от него зависят себестоимость обслуживания и затраты на привлечение заказчика, но не структура расчёта.</w:t>
      </w:r>
    </w:p>
    <w:p>
      <w:pPr>
        <w:spacing w:line="360" w:lineRule="auto" w:before="0" w:after="0"/>
        <w:ind w:firstLine="709" w:left="0" w:right="0"/>
        <w:jc w:val="both"/>
      </w:pPr>
      <w:r>
        <w:rPr>
          <w:rFonts w:ascii="Times New Roman" w:hAnsi="Times New Roman" w:cs="Times New Roman" w:eastAsia="Times New Roman"/>
          <w:b w:val="0"/>
          <w:i w:val="0"/>
          <w:color w:val="000000"/>
          <w:sz w:val="28"/>
        </w:rPr>
        <w:t>Различие между периодами вызвано налоговым режимом: в первые два года применяется АУСН с нулевым тарифом страховых взносов, с третьего года – общая система налогообложения (раздел 7). Прямая себестоимость составляет 13 % выручки с заведения (10 000 рублей в месяц) и 14 % с третьего года; валовая рентабельность – 87 и 86 % соответственно, что характерно для подписных программных сервисов и объясняется отсутствием переменных затрат, растущих пропорционально числу гостей.</w:t>
      </w:r>
    </w:p>
    <w:p>
      <w:pPr>
        <w:spacing w:line="360" w:lineRule="auto" w:before="0" w:after="0"/>
        <w:ind w:firstLine="709" w:left="0" w:right="0"/>
        <w:jc w:val="both"/>
      </w:pPr>
      <w:r>
        <w:rPr>
          <w:rFonts w:ascii="Times New Roman" w:hAnsi="Times New Roman" w:cs="Times New Roman" w:eastAsia="Times New Roman"/>
          <w:b w:val="0"/>
          <w:i w:val="0"/>
          <w:color w:val="000000"/>
          <w:sz w:val="28"/>
        </w:rPr>
        <w:t>Разовые затраты на подключение – 16 часов, или 6 829 рублей, – относятся к затратам на привлечение заказчика и вместе с расходами на продвижение (раздел 4.4) учитываются в расчёте окупаемости привлечения в разделе 7.</w:t>
      </w:r>
    </w:p>
    <w:p>
      <w:pPr>
        <w:spacing w:line="360" w:lineRule="auto" w:before="0" w:after="0"/>
        <w:ind w:firstLine="709" w:left="0" w:right="0"/>
        <w:jc w:val="both"/>
      </w:pPr>
      <w:r>
        <w:rPr>
          <w:rFonts w:ascii="Times New Roman" w:hAnsi="Times New Roman" w:cs="Times New Roman" w:eastAsia="Times New Roman"/>
          <w:b w:val="0"/>
          <w:i w:val="0"/>
          <w:color w:val="000000"/>
          <w:sz w:val="28"/>
        </w:rPr>
        <w:t>Приведённая калькуляция не включает оплату труда генерального директора, специалиста по рекомендательным системам и расходы на продвижение: эти затраты не зависят от числа обслуживаемых заведений и отнесены к постоянным.</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Смета текущих расходов</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28" w:name="_Tbl_12_5"/>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28"/>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Смета текущих расходов по годам</w:t>
      </w:r>
    </w:p>
    <w:tbl>
      <w:tblPr>
        <w:tblStyle w:val="TableGrid"/>
        <w:tblW w:type="auto" w:w="0"/>
        <w:jc w:val="center"/>
        <w:tblLayout w:type="fixed"/>
        <w:tblLook w:firstColumn="1" w:firstRow="1" w:lastColumn="0" w:lastRow="0" w:noHBand="0" w:noVBand="1" w:val="04A0"/>
      </w:tblPr>
      <w:tblGrid>
        <w:gridCol w:w="4596"/>
        <w:gridCol w:w="1586"/>
        <w:gridCol w:w="1586"/>
        <w:gridCol w:w="1586"/>
      </w:tblGrid>
      <w:tr>
        <w:trPr>
          <w:tblHeader/>
        </w:trPr>
        <w:tc>
          <w:tcPr>
            <w:tcW w:type="dxa" w:w="4596"/>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Статья</w:t>
            </w:r>
          </w:p>
        </w:tc>
        <w:tc>
          <w:tcPr>
            <w:tcW w:type="dxa" w:w="1586"/>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1-й год</w:t>
            </w:r>
          </w:p>
        </w:tc>
        <w:tc>
          <w:tcPr>
            <w:tcW w:type="dxa" w:w="1586"/>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2-й год</w:t>
            </w:r>
          </w:p>
        </w:tc>
        <w:tc>
          <w:tcPr>
            <w:tcW w:type="dxa" w:w="1586"/>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3-й год</w:t>
            </w:r>
          </w:p>
        </w:tc>
      </w:tr>
      <w:tr>
        <w:tc>
          <w:tcPr>
            <w:tcW w:type="dxa" w:w="459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Оплата труда (раздел 5)</w:t>
            </w:r>
          </w:p>
        </w:tc>
        <w:tc>
          <w:tcPr>
            <w:tcW w:type="dxa" w:w="158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1 866</w:t>
            </w:r>
          </w:p>
        </w:tc>
        <w:tc>
          <w:tcPr>
            <w:tcW w:type="dxa" w:w="158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3 556</w:t>
            </w:r>
          </w:p>
        </w:tc>
        <w:tc>
          <w:tcPr>
            <w:tcW w:type="dxa" w:w="158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6 466</w:t>
            </w:r>
          </w:p>
        </w:tc>
      </w:tr>
      <w:tr>
        <w:tc>
          <w:tcPr>
            <w:tcW w:type="dxa" w:w="459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Страховые взносы</w:t>
            </w:r>
          </w:p>
        </w:tc>
        <w:tc>
          <w:tcPr>
            <w:tcW w:type="dxa" w:w="158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w:t>
            </w:r>
          </w:p>
        </w:tc>
        <w:tc>
          <w:tcPr>
            <w:tcW w:type="dxa" w:w="158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w:t>
            </w:r>
          </w:p>
        </w:tc>
        <w:tc>
          <w:tcPr>
            <w:tcW w:type="dxa" w:w="158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970</w:t>
            </w:r>
          </w:p>
        </w:tc>
      </w:tr>
      <w:tr>
        <w:tc>
          <w:tcPr>
            <w:tcW w:type="dxa" w:w="459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Аренда серверов заказчиков</w:t>
            </w:r>
          </w:p>
        </w:tc>
        <w:tc>
          <w:tcPr>
            <w:tcW w:type="dxa" w:w="158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68</w:t>
            </w:r>
          </w:p>
        </w:tc>
        <w:tc>
          <w:tcPr>
            <w:tcW w:type="dxa" w:w="158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298</w:t>
            </w:r>
          </w:p>
        </w:tc>
        <w:tc>
          <w:tcPr>
            <w:tcW w:type="dxa" w:w="158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700</w:t>
            </w:r>
          </w:p>
        </w:tc>
      </w:tr>
      <w:tr>
        <w:tc>
          <w:tcPr>
            <w:tcW w:type="dxa" w:w="459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Сервер сборки и резервных копий</w:t>
            </w:r>
          </w:p>
        </w:tc>
        <w:tc>
          <w:tcPr>
            <w:tcW w:type="dxa" w:w="158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w:t>
            </w:r>
          </w:p>
        </w:tc>
        <w:tc>
          <w:tcPr>
            <w:tcW w:type="dxa" w:w="158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w:t>
            </w:r>
          </w:p>
        </w:tc>
        <w:tc>
          <w:tcPr>
            <w:tcW w:type="dxa" w:w="158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w:t>
            </w:r>
          </w:p>
        </w:tc>
      </w:tr>
      <w:tr>
        <w:tc>
          <w:tcPr>
            <w:tcW w:type="dxa" w:w="459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Продвижение (раздел 4.4)</w:t>
            </w:r>
          </w:p>
        </w:tc>
        <w:tc>
          <w:tcPr>
            <w:tcW w:type="dxa" w:w="158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182</w:t>
            </w:r>
          </w:p>
        </w:tc>
        <w:tc>
          <w:tcPr>
            <w:tcW w:type="dxa" w:w="158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250</w:t>
            </w:r>
          </w:p>
        </w:tc>
        <w:tc>
          <w:tcPr>
            <w:tcW w:type="dxa" w:w="158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350</w:t>
            </w:r>
          </w:p>
        </w:tc>
      </w:tr>
      <w:tr>
        <w:tc>
          <w:tcPr>
            <w:tcW w:type="dxa" w:w="459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Бухгалтерское обслуживание, домен, связь, страхование</w:t>
            </w:r>
          </w:p>
        </w:tc>
        <w:tc>
          <w:tcPr>
            <w:tcW w:type="dxa" w:w="158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85</w:t>
            </w:r>
          </w:p>
        </w:tc>
        <w:tc>
          <w:tcPr>
            <w:tcW w:type="dxa" w:w="158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85</w:t>
            </w:r>
          </w:p>
        </w:tc>
        <w:tc>
          <w:tcPr>
            <w:tcW w:type="dxa" w:w="158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82</w:t>
            </w:r>
          </w:p>
        </w:tc>
      </w:tr>
      <w:tr>
        <w:tc>
          <w:tcPr>
            <w:tcW w:type="dxa" w:w="4596"/>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Итого, тыс. руб.</w:t>
            </w:r>
          </w:p>
        </w:tc>
        <w:tc>
          <w:tcPr>
            <w:tcW w:type="dxa" w:w="1586"/>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2 210</w:t>
            </w:r>
          </w:p>
        </w:tc>
        <w:tc>
          <w:tcPr>
            <w:tcW w:type="dxa" w:w="1586"/>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4 197</w:t>
            </w:r>
          </w:p>
        </w:tc>
        <w:tc>
          <w:tcPr>
            <w:tcW w:type="dxa" w:w="1586"/>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8 576</w:t>
            </w:r>
          </w:p>
        </w:tc>
      </w:tr>
    </w:tbl>
    <w:p>
      <w:pPr>
        <w:spacing w:line="360" w:lineRule="auto" w:before="0" w:after="12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Расходы на аренду серверов рассчитаны помесячно по числу действующих заказчиков. Бухгалтерское обслуживание передано на аутсорс, стоимость – 6 тысяч рублей в месяц, или 72 тысячи в год. Регистрация домена в зоне .RU обходится в 199 рублей в год при первичной регистрации и 399 рублей при продлении [33].</w:t>
      </w:r>
    </w:p>
    <w:p>
      <w:pPr>
        <w:spacing w:line="360" w:lineRule="auto" w:before="0" w:after="0"/>
        <w:ind w:firstLine="709" w:left="0" w:right="0"/>
        <w:jc w:val="both"/>
      </w:pPr>
      <w:r>
        <w:rPr>
          <w:rFonts w:ascii="Times New Roman" w:hAnsi="Times New Roman" w:cs="Times New Roman" w:eastAsia="Times New Roman"/>
          <w:b w:val="0"/>
          <w:i w:val="0"/>
          <w:color w:val="000000"/>
          <w:sz w:val="28"/>
        </w:rPr>
        <w:t>Страховые взносы возникают только с третьего года: в первые два года применяется АУСН с нулевым тарифом взносов, вместо которых уплачивается страхование от несчастных случаев – 2 959 рублей в год (раздел 7).</w:t>
      </w:r>
    </w:p>
    <w:p>
      <w:pPr>
        <w:spacing w:line="360" w:lineRule="auto" w:before="0" w:after="0"/>
        <w:ind w:firstLine="709" w:left="0" w:right="0"/>
        <w:jc w:val="both"/>
      </w:pPr>
      <w:r>
        <w:rPr>
          <w:rFonts w:ascii="Times New Roman" w:hAnsi="Times New Roman" w:cs="Times New Roman" w:eastAsia="Times New Roman"/>
          <w:b w:val="0"/>
          <w:i w:val="0"/>
          <w:color w:val="000000"/>
          <w:sz w:val="28"/>
        </w:rPr>
        <w:t>Сопоставление сметы с выручкой (раздел 4.3) даёт убыток первого года около 1,07 млн рублей, прибыль второго года – 2,52 млн, третьего – 7,94 млн рублей до налогообложения. Убыток первого года покрывается взносом учредителя в размере 1,5 млн рублей; расчёт движения денежных средств и обоснование величины взноса приведены в разделе 8.</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Обеспечение требований к обработке персональных данных</w:t>
      </w:r>
    </w:p>
    <w:p>
      <w:pPr>
        <w:spacing w:line="360" w:lineRule="auto" w:before="0" w:after="0"/>
        <w:ind w:firstLine="709" w:left="0" w:right="0"/>
        <w:jc w:val="both"/>
      </w:pPr>
      <w:r>
        <w:rPr>
          <w:rFonts w:ascii="Times New Roman" w:hAnsi="Times New Roman" w:cs="Times New Roman" w:eastAsia="Times New Roman"/>
          <w:b w:val="0"/>
          <w:i w:val="0"/>
          <w:color w:val="000000"/>
          <w:sz w:val="28"/>
        </w:rPr>
        <w:t>Предприятие выступает обработчиком персональных данных гостей по поручению ресторана и до получения доступа к системе учёта заключает с заказчиком отдельное соглашение об обработке (раздел 4.5). Уведомление в Роскомнадзор подаётся до начала обработки, государственная пошлина за подачу не взимается [34].</w:t>
      </w:r>
    </w:p>
    <w:p>
      <w:pPr>
        <w:spacing w:line="360" w:lineRule="auto" w:before="0" w:after="0"/>
        <w:ind w:firstLine="709" w:left="0" w:right="0"/>
        <w:jc w:val="both"/>
      </w:pPr>
      <w:r>
        <w:rPr>
          <w:rFonts w:ascii="Times New Roman" w:hAnsi="Times New Roman" w:cs="Times New Roman" w:eastAsia="Times New Roman"/>
          <w:b w:val="0"/>
          <w:i w:val="0"/>
          <w:color w:val="000000"/>
          <w:sz w:val="28"/>
        </w:rPr>
        <w:t>Технические меры заложены в архитектуру: состав обрабатываемых сведений ограничен минимально необходимым – идентификатор гостя, история заказов, пометки о предпочтениях и аллергиях; имя, пол, адрес электронной почты, сведения о картах лояльности не обрабатываются. Данные каждого заказчика размещены в отдельной базе, серверы расположены на территории Российской Федерации, ни один порт наружу не открыт: бот работает исходящими соединениями к серверам мессенджера, программный интерфейс доступен только изнутри сети контейнеров.</w:t>
      </w:r>
    </w:p>
    <w:p>
      <w:pPr>
        <w:pStyle w:val="Heading1"/>
        <w:keepNext/>
        <w:pageBreakBefore/>
        <w:spacing w:line="360" w:lineRule="auto" w:before="0" w:after="0"/>
        <w:ind w:firstLine="709" w:left="0" w:right="0"/>
        <w:jc w:val="both"/>
      </w:pPr>
      <w:r>
        <w:rPr>
          <w:rFonts w:ascii="Times New Roman" w:hAnsi="Times New Roman" w:cs="Times New Roman" w:eastAsia="Times New Roman"/>
          <w:b/>
          <w:i w:val="0"/>
          <w:color w:val="000000"/>
          <w:sz w:val="28"/>
        </w:rPr>
        <w:t>7 Финансовый план</w:t>
      </w:r>
    </w:p>
    <w:p>
      <w:pPr>
        <w:spacing w:line="360" w:lineRule="auto" w:before="0" w:after="0"/>
        <w:ind w:firstLine="709" w:left="0" w:right="0"/>
        <w:jc w:val="both"/>
      </w:pPr>
      <w:r>
        <w:rPr>
          <w:rFonts w:ascii="Times New Roman" w:hAnsi="Times New Roman" w:cs="Times New Roman" w:eastAsia="Times New Roman"/>
          <w:b w:val="0"/>
          <w:i w:val="0"/>
          <w:color w:val="000000"/>
          <w:sz w:val="28"/>
        </w:rPr>
        <w:t>Расчёты выполнены на трёхлетний горизонт в текущих ценах, без индексации на инфляцию. Объём продаж принят по разделу 4.3, расходы – по смете раздела 6, численность и оплата труда – по разделу 5.</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Налоговый режим</w:t>
      </w:r>
    </w:p>
    <w:p>
      <w:pPr>
        <w:spacing w:line="360" w:lineRule="auto" w:before="0" w:after="0"/>
        <w:ind w:firstLine="709" w:left="0" w:right="0"/>
        <w:jc w:val="both"/>
      </w:pPr>
      <w:r>
        <w:rPr>
          <w:rFonts w:ascii="Times New Roman" w:hAnsi="Times New Roman" w:cs="Times New Roman" w:eastAsia="Times New Roman"/>
          <w:b w:val="0"/>
          <w:i w:val="0"/>
          <w:color w:val="000000"/>
          <w:sz w:val="28"/>
        </w:rPr>
        <w:t>Предприятие применяет автоматизированную упрощённую систему налогообложения (АУСН) с объектом «доходы, уменьшенные на величину расходов». С третьего года режим заменяется общей системой налогообложения с льготами для аккредитованных ИТ-организаций.</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29" w:name="_Tbl_13_1"/>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29"/>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Применяемые ставки</w:t>
      </w:r>
    </w:p>
    <w:tbl>
      <w:tblPr>
        <w:tblStyle w:val="TableGrid"/>
        <w:tblW w:type="auto" w:w="0"/>
        <w:jc w:val="center"/>
        <w:tblLayout w:type="fixed"/>
        <w:tblLook w:firstColumn="1" w:firstRow="1" w:lastColumn="0" w:lastRow="0" w:noHBand="0" w:noVBand="1" w:val="04A0"/>
      </w:tblPr>
      <w:tblGrid>
        <w:gridCol w:w="2497"/>
        <w:gridCol w:w="3429"/>
        <w:gridCol w:w="3429"/>
      </w:tblGrid>
      <w:tr>
        <w:trPr>
          <w:tblHeader/>
        </w:trPr>
        <w:tc>
          <w:tcPr>
            <w:tcW w:type="dxa" w:w="2497"/>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Платёж</w:t>
            </w:r>
          </w:p>
        </w:tc>
        <w:tc>
          <w:tcPr>
            <w:tcW w:type="dxa" w:w="3429"/>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1–2-й годы (АУСН)</w:t>
            </w:r>
          </w:p>
        </w:tc>
        <w:tc>
          <w:tcPr>
            <w:tcW w:type="dxa" w:w="3429"/>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3-й год (ОСН с ИТ-льготами)</w:t>
            </w:r>
          </w:p>
        </w:tc>
      </w:tr>
      <w:tr>
        <w:tc>
          <w:tcPr>
            <w:tcW w:type="dxa" w:w="249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Налог с деятельности</w:t>
            </w:r>
          </w:p>
        </w:tc>
        <w:tc>
          <w:tcPr>
            <w:tcW w:type="dxa" w:w="342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20 % с разности доходов и расходов, не менее 3 % доходов</w:t>
            </w:r>
          </w:p>
        </w:tc>
        <w:tc>
          <w:tcPr>
            <w:tcW w:type="dxa" w:w="342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налог на прибыль 5 %</w:t>
            </w:r>
          </w:p>
        </w:tc>
      </w:tr>
      <w:tr>
        <w:tc>
          <w:tcPr>
            <w:tcW w:type="dxa" w:w="249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Страховые взносы</w:t>
            </w:r>
          </w:p>
        </w:tc>
        <w:tc>
          <w:tcPr>
            <w:tcW w:type="dxa" w:w="342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не уплачиваются</w:t>
            </w:r>
          </w:p>
        </w:tc>
        <w:tc>
          <w:tcPr>
            <w:tcW w:type="dxa" w:w="342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15 % в пределах базы 2 979 000 руб., 7,6 % сверх неё</w:t>
            </w:r>
          </w:p>
        </w:tc>
      </w:tr>
      <w:tr>
        <w:tc>
          <w:tcPr>
            <w:tcW w:type="dxa" w:w="249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Страхование от несчастных случаев</w:t>
            </w:r>
          </w:p>
        </w:tc>
        <w:tc>
          <w:tcPr>
            <w:tcW w:type="dxa" w:w="342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2 959 руб. в год</w:t>
            </w:r>
          </w:p>
        </w:tc>
        <w:tc>
          <w:tcPr>
            <w:tcW w:type="dxa" w:w="342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по установленному тарифу</w:t>
            </w:r>
          </w:p>
        </w:tc>
      </w:tr>
      <w:tr>
        <w:tc>
          <w:tcPr>
            <w:tcW w:type="dxa" w:w="249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НДС</w:t>
            </w:r>
          </w:p>
        </w:tc>
        <w:tc>
          <w:tcPr>
            <w:tcW w:type="dxa" w:w="342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не уплачивается</w:t>
            </w:r>
          </w:p>
        </w:tc>
        <w:tc>
          <w:tcPr>
            <w:tcW w:type="dxa" w:w="342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не уплачивается при реализации прав на программы для ЭВМ</w:t>
            </w:r>
          </w:p>
        </w:tc>
      </w:tr>
    </w:tbl>
    <w:p>
      <w:pPr>
        <w:spacing w:line="360" w:lineRule="auto" w:before="0" w:after="12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Определяющее преимущество АУСН – нулевой тариф страховых взносов. При доле оплаты труда 86 % расходов (</w:t>
      </w:r>
      <w:r>
        <w:rPr>
          <w:rFonts w:ascii="Times New Roman" w:hAnsi="Times New Roman" w:cs="Times New Roman" w:eastAsia="Times New Roman"/>
          <w:b w:val="0"/>
          <w:i w:val="0"/>
          <w:color w:val="000000"/>
          <w:sz w:val="28"/>
        </w:rPr>
        <w:t xml:space="preserve">таблица </w:t>
      </w:r>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REF _Tbl_13_6 \h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r>
        <w:rPr>
          <w:rFonts w:ascii="Times New Roman" w:hAnsi="Times New Roman" w:cs="Times New Roman" w:eastAsia="Times New Roman"/>
          <w:b w:val="0"/>
          <w:i w:val="0"/>
          <w:color w:val="000000"/>
          <w:sz w:val="28"/>
        </w:rPr>
        <w:t>) освобождение от взносов экономит 280 тыс. рублей в первый год и 533 тыс. во второй.</w:t>
      </w:r>
    </w:p>
    <w:p>
      <w:pPr>
        <w:spacing w:line="360" w:lineRule="auto" w:before="0" w:after="0"/>
        <w:ind w:firstLine="709" w:left="0" w:right="0"/>
        <w:jc w:val="both"/>
      </w:pPr>
      <w:r>
        <w:rPr>
          <w:rFonts w:ascii="Times New Roman" w:hAnsi="Times New Roman" w:cs="Times New Roman" w:eastAsia="Times New Roman"/>
          <w:b w:val="0"/>
          <w:i w:val="0"/>
          <w:color w:val="000000"/>
          <w:sz w:val="28"/>
        </w:rPr>
        <w:t>Объект «доходы, уменьшенные на величину расходов» выбран вследствие той же структуры расходов: при объекте «доходы» налог 8 % исчисляется с выручки независимо от расходов и во втором году составил бы 538 тыс. рублей против 400 тыс. при избранном объекте.</w:t>
      </w:r>
    </w:p>
    <w:p>
      <w:pPr>
        <w:spacing w:line="360" w:lineRule="auto" w:before="0" w:after="0"/>
        <w:ind w:firstLine="709" w:left="0" w:right="0"/>
        <w:jc w:val="both"/>
      </w:pPr>
      <w:r>
        <w:rPr>
          <w:rFonts w:ascii="Times New Roman" w:hAnsi="Times New Roman" w:cs="Times New Roman" w:eastAsia="Times New Roman"/>
          <w:b w:val="0"/>
          <w:i w:val="0"/>
          <w:color w:val="000000"/>
          <w:sz w:val="28"/>
        </w:rPr>
        <w:t>Налоговым периодом на АУСН является месяц. Убыток, полученный в отдельном месяце, переносится на последующие месяцы до полного использования, при этом уплачивается минимальный налог 3 % доходов. Убыток первого года – 1 062 тыс. рублей – уменьшает налоговую базу второго года и полностью погашается к его окончанию.</w:t>
      </w:r>
    </w:p>
    <w:p>
      <w:pPr>
        <w:spacing w:line="360" w:lineRule="auto" w:before="0" w:after="0"/>
        <w:ind w:firstLine="709" w:left="0" w:right="0"/>
        <w:jc w:val="both"/>
      </w:pPr>
      <w:r>
        <w:rPr>
          <w:rFonts w:ascii="Times New Roman" w:hAnsi="Times New Roman" w:cs="Times New Roman" w:eastAsia="Times New Roman"/>
          <w:b/>
          <w:i w:val="0"/>
          <w:color w:val="000000"/>
          <w:sz w:val="28"/>
        </w:rPr>
        <w:t>Смена режима с третьего года.</w:t>
      </w:r>
      <w:r>
        <w:rPr>
          <w:rFonts w:ascii="Times New Roman" w:hAnsi="Times New Roman" w:cs="Times New Roman" w:eastAsia="Times New Roman"/>
          <w:b w:val="0"/>
          <w:i w:val="0"/>
          <w:color w:val="000000"/>
          <w:sz w:val="28"/>
        </w:rPr>
        <w:t xml:space="preserve"> АУСН применяется при средней численности работников не более пяти человек; превышение влечёт утрату права на режим с начала месяца, в котором оно допущено. Штатное расписание предусматривает третьего специалиста по внедрению и второго специалиста по рекомендательным системам на третьем году, что доводит численность до шести человек (раздел 5). Переход на общую систему налогообложения является поэтому не выбором, а следствием расширения штата, и учтён в расчётах заблаговременно.</w:t>
      </w:r>
    </w:p>
    <w:p>
      <w:pPr>
        <w:spacing w:line="360" w:lineRule="auto" w:before="0" w:after="0"/>
        <w:ind w:firstLine="709" w:left="0" w:right="0"/>
        <w:jc w:val="both"/>
      </w:pPr>
      <w:r>
        <w:rPr>
          <w:rFonts w:ascii="Times New Roman" w:hAnsi="Times New Roman" w:cs="Times New Roman" w:eastAsia="Times New Roman"/>
          <w:b w:val="0"/>
          <w:i w:val="0"/>
          <w:color w:val="000000"/>
          <w:sz w:val="28"/>
        </w:rPr>
        <w:t>Прочие ограничения АУСН предприятие соблюдает: доход не превышает 60 млн рублей, обособленные подразделения отсутствуют, доля участия других организаций в уставном капитале равна нулю, разработка программного обеспечения не входит в перечень запрещённых видов деятельности.</w:t>
      </w:r>
    </w:p>
    <w:p>
      <w:pPr>
        <w:spacing w:line="360" w:lineRule="auto" w:before="0" w:after="0"/>
        <w:ind w:firstLine="709" w:left="0" w:right="0"/>
        <w:jc w:val="both"/>
      </w:pPr>
      <w:r>
        <w:rPr>
          <w:rFonts w:ascii="Times New Roman" w:hAnsi="Times New Roman" w:cs="Times New Roman" w:eastAsia="Times New Roman"/>
          <w:b w:val="0"/>
          <w:i w:val="0"/>
          <w:color w:val="000000"/>
          <w:sz w:val="28"/>
        </w:rPr>
        <w:t>Государственная аккредитация Минцифры сохраняет значение и в период применения АУСН: она является условием включения в реестр малых технологических компаний и учитывается при рассмотрении заявок на гранты (раздел 8), а с третьего года даёт право на пониженные ставки налога на прибыль и страховых взносов.</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План доходов и расходов</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30" w:name="_Tbl_13_2"/>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30"/>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План доходов и расходов, тыс. руб.</w:t>
      </w:r>
    </w:p>
    <w:tbl>
      <w:tblPr>
        <w:tblStyle w:val="TableGrid"/>
        <w:tblW w:type="auto" w:w="0"/>
        <w:jc w:val="center"/>
        <w:tblLayout w:type="fixed"/>
        <w:tblLook w:firstColumn="1" w:firstRow="1" w:lastColumn="0" w:lastRow="0" w:noHBand="0" w:noVBand="1" w:val="04A0"/>
      </w:tblPr>
      <w:tblGrid>
        <w:gridCol w:w="4546"/>
        <w:gridCol w:w="1671"/>
        <w:gridCol w:w="1569"/>
        <w:gridCol w:w="1569"/>
      </w:tblGrid>
      <w:tr>
        <w:trPr>
          <w:tblHeader/>
        </w:trPr>
        <w:tc>
          <w:tcPr>
            <w:tcW w:type="dxa" w:w="4546"/>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Показатель</w:t>
            </w:r>
          </w:p>
        </w:tc>
        <w:tc>
          <w:tcPr>
            <w:tcW w:type="dxa" w:w="1671"/>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1-й год</w:t>
            </w:r>
          </w:p>
        </w:tc>
        <w:tc>
          <w:tcPr>
            <w:tcW w:type="dxa" w:w="1569"/>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2-й год</w:t>
            </w:r>
          </w:p>
        </w:tc>
        <w:tc>
          <w:tcPr>
            <w:tcW w:type="dxa" w:w="1569"/>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3-й год</w:t>
            </w:r>
          </w:p>
        </w:tc>
      </w:tr>
      <w:tr>
        <w:tc>
          <w:tcPr>
            <w:tcW w:type="dxa" w:w="454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Выручка</w:t>
            </w:r>
          </w:p>
        </w:tc>
        <w:tc>
          <w:tcPr>
            <w:tcW w:type="dxa" w:w="167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1 140</w:t>
            </w:r>
          </w:p>
        </w:tc>
        <w:tc>
          <w:tcPr>
            <w:tcW w:type="dxa" w:w="156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6 720</w:t>
            </w:r>
          </w:p>
        </w:tc>
        <w:tc>
          <w:tcPr>
            <w:tcW w:type="dxa" w:w="156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16 520</w:t>
            </w:r>
          </w:p>
        </w:tc>
      </w:tr>
      <w:tr>
        <w:tc>
          <w:tcPr>
            <w:tcW w:type="dxa" w:w="454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Оплата труда</w:t>
            </w:r>
          </w:p>
        </w:tc>
        <w:tc>
          <w:tcPr>
            <w:tcW w:type="dxa" w:w="167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1 866</w:t>
            </w:r>
          </w:p>
        </w:tc>
        <w:tc>
          <w:tcPr>
            <w:tcW w:type="dxa" w:w="156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3 556</w:t>
            </w:r>
          </w:p>
        </w:tc>
        <w:tc>
          <w:tcPr>
            <w:tcW w:type="dxa" w:w="156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6 466</w:t>
            </w:r>
          </w:p>
        </w:tc>
      </w:tr>
      <w:tr>
        <w:tc>
          <w:tcPr>
            <w:tcW w:type="dxa" w:w="454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Страховые взносы</w:t>
            </w:r>
          </w:p>
        </w:tc>
        <w:tc>
          <w:tcPr>
            <w:tcW w:type="dxa" w:w="167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w:t>
            </w:r>
          </w:p>
        </w:tc>
        <w:tc>
          <w:tcPr>
            <w:tcW w:type="dxa" w:w="156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w:t>
            </w:r>
          </w:p>
        </w:tc>
        <w:tc>
          <w:tcPr>
            <w:tcW w:type="dxa" w:w="156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970</w:t>
            </w:r>
          </w:p>
        </w:tc>
      </w:tr>
      <w:tr>
        <w:tc>
          <w:tcPr>
            <w:tcW w:type="dxa" w:w="454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Аренда серверов</w:t>
            </w:r>
          </w:p>
        </w:tc>
        <w:tc>
          <w:tcPr>
            <w:tcW w:type="dxa" w:w="167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76</w:t>
            </w:r>
          </w:p>
        </w:tc>
        <w:tc>
          <w:tcPr>
            <w:tcW w:type="dxa" w:w="156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306</w:t>
            </w:r>
          </w:p>
        </w:tc>
        <w:tc>
          <w:tcPr>
            <w:tcW w:type="dxa" w:w="156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708</w:t>
            </w:r>
          </w:p>
        </w:tc>
      </w:tr>
      <w:tr>
        <w:tc>
          <w:tcPr>
            <w:tcW w:type="dxa" w:w="454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Продвижение</w:t>
            </w:r>
          </w:p>
        </w:tc>
        <w:tc>
          <w:tcPr>
            <w:tcW w:type="dxa" w:w="167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182</w:t>
            </w:r>
          </w:p>
        </w:tc>
        <w:tc>
          <w:tcPr>
            <w:tcW w:type="dxa" w:w="156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250</w:t>
            </w:r>
          </w:p>
        </w:tc>
        <w:tc>
          <w:tcPr>
            <w:tcW w:type="dxa" w:w="156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350</w:t>
            </w:r>
          </w:p>
        </w:tc>
      </w:tr>
      <w:tr>
        <w:tc>
          <w:tcPr>
            <w:tcW w:type="dxa" w:w="454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Бухгалтерское обслуживание, домен, связь, страхование</w:t>
            </w:r>
          </w:p>
        </w:tc>
        <w:tc>
          <w:tcPr>
            <w:tcW w:type="dxa" w:w="167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85</w:t>
            </w:r>
          </w:p>
        </w:tc>
        <w:tc>
          <w:tcPr>
            <w:tcW w:type="dxa" w:w="156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85</w:t>
            </w:r>
          </w:p>
        </w:tc>
        <w:tc>
          <w:tcPr>
            <w:tcW w:type="dxa" w:w="156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82</w:t>
            </w:r>
          </w:p>
        </w:tc>
      </w:tr>
      <w:tr>
        <w:tc>
          <w:tcPr>
            <w:tcW w:type="dxa" w:w="4546"/>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Итого расходы</w:t>
            </w:r>
          </w:p>
        </w:tc>
        <w:tc>
          <w:tcPr>
            <w:tcW w:type="dxa" w:w="1671"/>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2 210</w:t>
            </w:r>
          </w:p>
        </w:tc>
        <w:tc>
          <w:tcPr>
            <w:tcW w:type="dxa" w:w="1569"/>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4 197</w:t>
            </w:r>
          </w:p>
        </w:tc>
        <w:tc>
          <w:tcPr>
            <w:tcW w:type="dxa" w:w="1569"/>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8 576</w:t>
            </w:r>
          </w:p>
        </w:tc>
      </w:tr>
      <w:tr>
        <w:tc>
          <w:tcPr>
            <w:tcW w:type="dxa" w:w="4546"/>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Прибыль до налогообложения</w:t>
            </w:r>
          </w:p>
        </w:tc>
        <w:tc>
          <w:tcPr>
            <w:tcW w:type="dxa" w:w="1671"/>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−1 070</w:t>
            </w:r>
          </w:p>
        </w:tc>
        <w:tc>
          <w:tcPr>
            <w:tcW w:type="dxa" w:w="1569"/>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2 523</w:t>
            </w:r>
          </w:p>
        </w:tc>
        <w:tc>
          <w:tcPr>
            <w:tcW w:type="dxa" w:w="1569"/>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7 944</w:t>
            </w:r>
          </w:p>
        </w:tc>
      </w:tr>
      <w:tr>
        <w:tc>
          <w:tcPr>
            <w:tcW w:type="dxa" w:w="454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Налог</w:t>
            </w:r>
          </w:p>
        </w:tc>
        <w:tc>
          <w:tcPr>
            <w:tcW w:type="dxa" w:w="167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34</w:t>
            </w:r>
          </w:p>
        </w:tc>
        <w:tc>
          <w:tcPr>
            <w:tcW w:type="dxa" w:w="156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400</w:t>
            </w:r>
          </w:p>
        </w:tc>
        <w:tc>
          <w:tcPr>
            <w:tcW w:type="dxa" w:w="156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397</w:t>
            </w:r>
          </w:p>
        </w:tc>
      </w:tr>
      <w:tr>
        <w:tc>
          <w:tcPr>
            <w:tcW w:type="dxa" w:w="4546"/>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Чистая прибыль</w:t>
            </w:r>
          </w:p>
        </w:tc>
        <w:tc>
          <w:tcPr>
            <w:tcW w:type="dxa" w:w="1671"/>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−1 104</w:t>
            </w:r>
          </w:p>
        </w:tc>
        <w:tc>
          <w:tcPr>
            <w:tcW w:type="dxa" w:w="1569"/>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2 123</w:t>
            </w:r>
          </w:p>
        </w:tc>
        <w:tc>
          <w:tcPr>
            <w:tcW w:type="dxa" w:w="1569"/>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7 547</w:t>
            </w:r>
          </w:p>
        </w:tc>
      </w:tr>
      <w:tr>
        <w:tc>
          <w:tcPr>
            <w:tcW w:type="dxa" w:w="454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Чистая прибыль нарастающим итогом</w:t>
            </w:r>
          </w:p>
        </w:tc>
        <w:tc>
          <w:tcPr>
            <w:tcW w:type="dxa" w:w="167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−1 104</w:t>
            </w:r>
          </w:p>
        </w:tc>
        <w:tc>
          <w:tcPr>
            <w:tcW w:type="dxa" w:w="156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1 019</w:t>
            </w:r>
          </w:p>
        </w:tc>
        <w:tc>
          <w:tcPr>
            <w:tcW w:type="dxa" w:w="156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8 566</w:t>
            </w:r>
          </w:p>
        </w:tc>
      </w:tr>
      <w:tr>
        <w:tc>
          <w:tcPr>
            <w:tcW w:type="dxa" w:w="454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Рентабельность по чистой прибыли</w:t>
            </w:r>
          </w:p>
        </w:tc>
        <w:tc>
          <w:tcPr>
            <w:tcW w:type="dxa" w:w="167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w:t>
            </w:r>
          </w:p>
        </w:tc>
        <w:tc>
          <w:tcPr>
            <w:tcW w:type="dxa" w:w="156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32 %</w:t>
            </w:r>
          </w:p>
        </w:tc>
        <w:tc>
          <w:tcPr>
            <w:tcW w:type="dxa" w:w="156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46 %</w:t>
            </w:r>
          </w:p>
        </w:tc>
      </w:tr>
    </w:tbl>
    <w:p>
      <w:pPr>
        <w:spacing w:line="360" w:lineRule="auto" w:before="0" w:after="12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Убыток первого года образуется несовпадением моментов возникновения расходов и поступлений, а не превышением себестоимости над ценой. Прямая себестоимость обслуживания заведения составляет 13 % подписки (раздел 6); убыточен не продукт, а период набора клиентской базы.</w:t>
      </w:r>
    </w:p>
    <w:p>
      <w:pPr>
        <w:spacing w:line="360" w:lineRule="auto" w:before="0" w:after="0"/>
        <w:ind w:firstLine="709" w:left="0" w:right="0"/>
        <w:jc w:val="both"/>
      </w:pPr>
      <w:r>
        <w:rPr>
          <w:rFonts w:ascii="Times New Roman" w:hAnsi="Times New Roman" w:cs="Times New Roman" w:eastAsia="Times New Roman"/>
          <w:b w:val="0"/>
          <w:i w:val="0"/>
          <w:color w:val="000000"/>
          <w:sz w:val="28"/>
        </w:rPr>
        <w:t>Налог первого года – 34 тыс. рублей – представляет собой минимальный налог 3 % доходов, уплачиваемый в месяцы получения убытка. Во втором году налог исчислен с учётом переноса убытка первого года, полностью погашаемого к концу второго года.</w:t>
      </w:r>
    </w:p>
    <w:p>
      <w:pPr>
        <w:spacing w:line="360" w:lineRule="auto" w:before="0" w:after="0"/>
        <w:ind w:firstLine="709" w:left="0" w:right="0"/>
        <w:jc w:val="both"/>
      </w:pPr>
      <w:r>
        <w:rPr>
          <w:rFonts w:ascii="Times New Roman" w:hAnsi="Times New Roman" w:cs="Times New Roman" w:eastAsia="Times New Roman"/>
          <w:b w:val="0"/>
          <w:i w:val="0"/>
          <w:color w:val="000000"/>
          <w:sz w:val="28"/>
        </w:rPr>
        <w:t>Расходы второго года возрастают в 1,9 раза при росте выручки в 5,9 раза: штат расширяется ступенчато, тогда как выручка растёт с каждым подключением. Рентабельность по чистой прибыли достигает 32 % во втором году и 46 % в третьем; снижение доли прибыли в третьем году относительно роста выручки вызвано появлением страховых взносов при переходе на общую систему налогообложения.</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Движение денежных средств</w:t>
      </w:r>
    </w:p>
    <w:p>
      <w:pPr>
        <w:spacing w:line="360" w:lineRule="auto" w:before="0" w:after="0"/>
        <w:ind w:firstLine="709" w:left="0" w:right="0"/>
        <w:jc w:val="both"/>
      </w:pPr>
      <w:r>
        <w:rPr>
          <w:rFonts w:ascii="Times New Roman" w:hAnsi="Times New Roman" w:cs="Times New Roman" w:eastAsia="Times New Roman"/>
          <w:b w:val="0"/>
          <w:i w:val="0"/>
          <w:color w:val="000000"/>
          <w:sz w:val="28"/>
        </w:rPr>
        <w:t xml:space="preserve">Помесячный расчёт первого года приведён в </w:t>
      </w:r>
      <w:r>
        <w:rPr>
          <w:rFonts w:ascii="Times New Roman" w:hAnsi="Times New Roman" w:cs="Times New Roman" w:eastAsia="Times New Roman"/>
          <w:b w:val="0"/>
          <w:i w:val="0"/>
          <w:color w:val="000000"/>
          <w:sz w:val="28"/>
        </w:rPr>
        <w:t xml:space="preserve">таблице </w:t>
      </w:r>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REF _Tbl_13_3 \h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r>
        <w:rPr>
          <w:rFonts w:ascii="Times New Roman" w:hAnsi="Times New Roman" w:cs="Times New Roman" w:eastAsia="Times New Roman"/>
          <w:b w:val="0"/>
          <w:i w:val="0"/>
          <w:color w:val="000000"/>
          <w:sz w:val="28"/>
        </w:rPr>
        <w:t>. Остаток на начало периода образован взносом учредителя (раздел 8).</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31" w:name="_Tbl_13_3"/>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31"/>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Движение денежных средств первого года, тыс. руб.</w:t>
      </w:r>
    </w:p>
    <w:tbl>
      <w:tblPr>
        <w:tblStyle w:val="TableGrid"/>
        <w:tblW w:type="auto" w:w="0"/>
        <w:jc w:val="center"/>
        <w:tblLayout w:type="fixed"/>
        <w:tblLook w:firstColumn="1" w:firstRow="1" w:lastColumn="0" w:lastRow="0" w:noHBand="0" w:noVBand="1" w:val="04A0"/>
      </w:tblPr>
      <w:tblGrid>
        <w:gridCol w:w="1209"/>
        <w:gridCol w:w="1940"/>
        <w:gridCol w:w="2519"/>
        <w:gridCol w:w="1349"/>
        <w:gridCol w:w="2337"/>
      </w:tblGrid>
      <w:tr>
        <w:trPr>
          <w:tblHeader/>
        </w:trPr>
        <w:tc>
          <w:tcPr>
            <w:tcW w:type="dxa" w:w="1209"/>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Месяц</w:t>
            </w:r>
          </w:p>
        </w:tc>
        <w:tc>
          <w:tcPr>
            <w:tcW w:type="dxa" w:w="1940"/>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Поступления</w:t>
            </w:r>
          </w:p>
        </w:tc>
        <w:tc>
          <w:tcPr>
            <w:tcW w:type="dxa" w:w="2519"/>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Расходы с налогом</w:t>
            </w:r>
          </w:p>
        </w:tc>
        <w:tc>
          <w:tcPr>
            <w:tcW w:type="dxa" w:w="1349"/>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Сальдо</w:t>
            </w:r>
          </w:p>
        </w:tc>
        <w:tc>
          <w:tcPr>
            <w:tcW w:type="dxa" w:w="2337"/>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Остаток средств</w:t>
            </w:r>
          </w:p>
        </w:tc>
      </w:tr>
      <w:tr>
        <w:tc>
          <w:tcPr>
            <w:tcW w:type="dxa" w:w="120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w:t>
            </w:r>
          </w:p>
        </w:tc>
        <w:tc>
          <w:tcPr>
            <w:tcW w:type="dxa" w:w="19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w:t>
            </w:r>
          </w:p>
        </w:tc>
        <w:tc>
          <w:tcPr>
            <w:tcW w:type="dxa" w:w="251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56,1</w:t>
            </w:r>
          </w:p>
        </w:tc>
        <w:tc>
          <w:tcPr>
            <w:tcW w:type="dxa" w:w="134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−56,1</w:t>
            </w:r>
          </w:p>
        </w:tc>
        <w:tc>
          <w:tcPr>
            <w:tcW w:type="dxa" w:w="233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1 443,9</w:t>
            </w:r>
          </w:p>
        </w:tc>
      </w:tr>
      <w:tr>
        <w:tc>
          <w:tcPr>
            <w:tcW w:type="dxa" w:w="120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w:t>
            </w:r>
          </w:p>
        </w:tc>
        <w:tc>
          <w:tcPr>
            <w:tcW w:type="dxa" w:w="19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w:t>
            </w:r>
          </w:p>
        </w:tc>
        <w:tc>
          <w:tcPr>
            <w:tcW w:type="dxa" w:w="251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57,3</w:t>
            </w:r>
          </w:p>
        </w:tc>
        <w:tc>
          <w:tcPr>
            <w:tcW w:type="dxa" w:w="134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−57,3</w:t>
            </w:r>
          </w:p>
        </w:tc>
        <w:tc>
          <w:tcPr>
            <w:tcW w:type="dxa" w:w="233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1 386,6</w:t>
            </w:r>
          </w:p>
        </w:tc>
      </w:tr>
      <w:tr>
        <w:tc>
          <w:tcPr>
            <w:tcW w:type="dxa" w:w="120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w:t>
            </w:r>
          </w:p>
        </w:tc>
        <w:tc>
          <w:tcPr>
            <w:tcW w:type="dxa" w:w="19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w:t>
            </w:r>
          </w:p>
        </w:tc>
        <w:tc>
          <w:tcPr>
            <w:tcW w:type="dxa" w:w="251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58,1</w:t>
            </w:r>
          </w:p>
        </w:tc>
        <w:tc>
          <w:tcPr>
            <w:tcW w:type="dxa" w:w="134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−58,1</w:t>
            </w:r>
          </w:p>
        </w:tc>
        <w:tc>
          <w:tcPr>
            <w:tcW w:type="dxa" w:w="233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1 328,5</w:t>
            </w:r>
          </w:p>
        </w:tc>
      </w:tr>
      <w:tr>
        <w:tc>
          <w:tcPr>
            <w:tcW w:type="dxa" w:w="120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4</w:t>
            </w:r>
          </w:p>
        </w:tc>
        <w:tc>
          <w:tcPr>
            <w:tcW w:type="dxa" w:w="19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30</w:t>
            </w:r>
          </w:p>
        </w:tc>
        <w:tc>
          <w:tcPr>
            <w:tcW w:type="dxa" w:w="251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159,8</w:t>
            </w:r>
          </w:p>
        </w:tc>
        <w:tc>
          <w:tcPr>
            <w:tcW w:type="dxa" w:w="134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−129,8</w:t>
            </w:r>
          </w:p>
        </w:tc>
        <w:tc>
          <w:tcPr>
            <w:tcW w:type="dxa" w:w="233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1 198,6</w:t>
            </w:r>
          </w:p>
        </w:tc>
      </w:tr>
      <w:tr>
        <w:tc>
          <w:tcPr>
            <w:tcW w:type="dxa" w:w="120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5</w:t>
            </w:r>
          </w:p>
        </w:tc>
        <w:tc>
          <w:tcPr>
            <w:tcW w:type="dxa" w:w="19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50</w:t>
            </w:r>
          </w:p>
        </w:tc>
        <w:tc>
          <w:tcPr>
            <w:tcW w:type="dxa" w:w="251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231,2</w:t>
            </w:r>
          </w:p>
        </w:tc>
        <w:tc>
          <w:tcPr>
            <w:tcW w:type="dxa" w:w="134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−181,2</w:t>
            </w:r>
          </w:p>
        </w:tc>
        <w:tc>
          <w:tcPr>
            <w:tcW w:type="dxa" w:w="233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1 017,4</w:t>
            </w:r>
          </w:p>
        </w:tc>
      </w:tr>
      <w:tr>
        <w:tc>
          <w:tcPr>
            <w:tcW w:type="dxa" w:w="120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6</w:t>
            </w:r>
          </w:p>
        </w:tc>
        <w:tc>
          <w:tcPr>
            <w:tcW w:type="dxa" w:w="19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70</w:t>
            </w:r>
          </w:p>
        </w:tc>
        <w:tc>
          <w:tcPr>
            <w:tcW w:type="dxa" w:w="251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233,0</w:t>
            </w:r>
          </w:p>
        </w:tc>
        <w:tc>
          <w:tcPr>
            <w:tcW w:type="dxa" w:w="134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−163,0</w:t>
            </w:r>
          </w:p>
        </w:tc>
        <w:tc>
          <w:tcPr>
            <w:tcW w:type="dxa" w:w="233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854,4</w:t>
            </w:r>
          </w:p>
        </w:tc>
      </w:tr>
      <w:tr>
        <w:tc>
          <w:tcPr>
            <w:tcW w:type="dxa" w:w="120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7</w:t>
            </w:r>
          </w:p>
        </w:tc>
        <w:tc>
          <w:tcPr>
            <w:tcW w:type="dxa" w:w="19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90</w:t>
            </w:r>
          </w:p>
        </w:tc>
        <w:tc>
          <w:tcPr>
            <w:tcW w:type="dxa" w:w="251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234,8</w:t>
            </w:r>
          </w:p>
        </w:tc>
        <w:tc>
          <w:tcPr>
            <w:tcW w:type="dxa" w:w="134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−144,8</w:t>
            </w:r>
          </w:p>
        </w:tc>
        <w:tc>
          <w:tcPr>
            <w:tcW w:type="dxa" w:w="233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709,6</w:t>
            </w:r>
          </w:p>
        </w:tc>
      </w:tr>
      <w:tr>
        <w:tc>
          <w:tcPr>
            <w:tcW w:type="dxa" w:w="120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w:t>
            </w:r>
          </w:p>
        </w:tc>
        <w:tc>
          <w:tcPr>
            <w:tcW w:type="dxa" w:w="19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120</w:t>
            </w:r>
          </w:p>
        </w:tc>
        <w:tc>
          <w:tcPr>
            <w:tcW w:type="dxa" w:w="251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236,9</w:t>
            </w:r>
          </w:p>
        </w:tc>
        <w:tc>
          <w:tcPr>
            <w:tcW w:type="dxa" w:w="134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−116,9</w:t>
            </w:r>
          </w:p>
        </w:tc>
        <w:tc>
          <w:tcPr>
            <w:tcW w:type="dxa" w:w="233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592,7</w:t>
            </w:r>
          </w:p>
        </w:tc>
      </w:tr>
      <w:tr>
        <w:tc>
          <w:tcPr>
            <w:tcW w:type="dxa" w:w="120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9</w:t>
            </w:r>
          </w:p>
        </w:tc>
        <w:tc>
          <w:tcPr>
            <w:tcW w:type="dxa" w:w="19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150</w:t>
            </w:r>
          </w:p>
        </w:tc>
        <w:tc>
          <w:tcPr>
            <w:tcW w:type="dxa" w:w="251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239,0</w:t>
            </w:r>
          </w:p>
        </w:tc>
        <w:tc>
          <w:tcPr>
            <w:tcW w:type="dxa" w:w="134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−89,0</w:t>
            </w:r>
          </w:p>
        </w:tc>
        <w:tc>
          <w:tcPr>
            <w:tcW w:type="dxa" w:w="233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503,7</w:t>
            </w:r>
          </w:p>
        </w:tc>
      </w:tr>
      <w:tr>
        <w:tc>
          <w:tcPr>
            <w:tcW w:type="dxa" w:w="120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10</w:t>
            </w:r>
          </w:p>
        </w:tc>
        <w:tc>
          <w:tcPr>
            <w:tcW w:type="dxa" w:w="19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180</w:t>
            </w:r>
          </w:p>
        </w:tc>
        <w:tc>
          <w:tcPr>
            <w:tcW w:type="dxa" w:w="251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241,1</w:t>
            </w:r>
          </w:p>
        </w:tc>
        <w:tc>
          <w:tcPr>
            <w:tcW w:type="dxa" w:w="134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−61,1</w:t>
            </w:r>
          </w:p>
        </w:tc>
        <w:tc>
          <w:tcPr>
            <w:tcW w:type="dxa" w:w="233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442,6</w:t>
            </w:r>
          </w:p>
        </w:tc>
      </w:tr>
      <w:tr>
        <w:tc>
          <w:tcPr>
            <w:tcW w:type="dxa" w:w="120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11</w:t>
            </w:r>
          </w:p>
        </w:tc>
        <w:tc>
          <w:tcPr>
            <w:tcW w:type="dxa" w:w="19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210</w:t>
            </w:r>
          </w:p>
        </w:tc>
        <w:tc>
          <w:tcPr>
            <w:tcW w:type="dxa" w:w="251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243,2</w:t>
            </w:r>
          </w:p>
        </w:tc>
        <w:tc>
          <w:tcPr>
            <w:tcW w:type="dxa" w:w="134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−33,2</w:t>
            </w:r>
          </w:p>
        </w:tc>
        <w:tc>
          <w:tcPr>
            <w:tcW w:type="dxa" w:w="233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409,4</w:t>
            </w:r>
          </w:p>
        </w:tc>
      </w:tr>
      <w:tr>
        <w:tc>
          <w:tcPr>
            <w:tcW w:type="dxa" w:w="120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12</w:t>
            </w:r>
          </w:p>
        </w:tc>
        <w:tc>
          <w:tcPr>
            <w:tcW w:type="dxa" w:w="19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240</w:t>
            </w:r>
          </w:p>
        </w:tc>
        <w:tc>
          <w:tcPr>
            <w:tcW w:type="dxa" w:w="251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245,3</w:t>
            </w:r>
          </w:p>
        </w:tc>
        <w:tc>
          <w:tcPr>
            <w:tcW w:type="dxa" w:w="134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−5,3</w:t>
            </w:r>
          </w:p>
        </w:tc>
        <w:tc>
          <w:tcPr>
            <w:tcW w:type="dxa" w:w="233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404,0</w:t>
            </w:r>
          </w:p>
        </w:tc>
      </w:tr>
    </w:tbl>
    <w:p>
      <w:pPr>
        <w:spacing w:line="360" w:lineRule="auto" w:before="0" w:after="12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Ступенчатый рост расходов в четвёртом и пятом месяцах вызван приёмом специалиста по рекомендательным системам и специалиста по внедрению (раздел 5). Месячное сальдо отрицательно весь первый год: поступления покрывают текущие расходы лишь частично, и разность финансируется из внесённых средств.</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32" w:name="_Tbl_13_4"/>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32"/>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Движение денежных средств второго и третьего годов, тыс. руб.</w:t>
      </w:r>
    </w:p>
    <w:tbl>
      <w:tblPr>
        <w:tblStyle w:val="TableGrid"/>
        <w:tblW w:type="auto" w:w="0"/>
        <w:jc w:val="center"/>
        <w:tblLayout w:type="fixed"/>
        <w:tblLook w:firstColumn="1" w:firstRow="1" w:lastColumn="0" w:lastRow="0" w:noHBand="0" w:noVBand="1" w:val="04A0"/>
      </w:tblPr>
      <w:tblGrid>
        <w:gridCol w:w="2359"/>
        <w:gridCol w:w="1648"/>
        <w:gridCol w:w="2140"/>
        <w:gridCol w:w="1145"/>
        <w:gridCol w:w="2063"/>
      </w:tblGrid>
      <w:tr>
        <w:trPr>
          <w:tblHeader/>
        </w:trPr>
        <w:tc>
          <w:tcPr>
            <w:tcW w:type="dxa" w:w="2359"/>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Период</w:t>
            </w:r>
          </w:p>
        </w:tc>
        <w:tc>
          <w:tcPr>
            <w:tcW w:type="dxa" w:w="1648"/>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Поступления</w:t>
            </w:r>
          </w:p>
        </w:tc>
        <w:tc>
          <w:tcPr>
            <w:tcW w:type="dxa" w:w="2140"/>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Расходы с налогом</w:t>
            </w:r>
          </w:p>
        </w:tc>
        <w:tc>
          <w:tcPr>
            <w:tcW w:type="dxa" w:w="1145"/>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Сальдо</w:t>
            </w:r>
          </w:p>
        </w:tc>
        <w:tc>
          <w:tcPr>
            <w:tcW w:type="dxa" w:w="2063"/>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Остаток на конец</w:t>
            </w:r>
          </w:p>
        </w:tc>
      </w:tr>
      <w:tr>
        <w:tc>
          <w:tcPr>
            <w:tcW w:type="dxa" w:w="235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2-й год, I квартал</w:t>
            </w:r>
          </w:p>
        </w:tc>
        <w:tc>
          <w:tcPr>
            <w:tcW w:type="dxa" w:w="164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870</w:t>
            </w:r>
          </w:p>
        </w:tc>
        <w:tc>
          <w:tcPr>
            <w:tcW w:type="dxa" w:w="21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884</w:t>
            </w:r>
          </w:p>
        </w:tc>
        <w:tc>
          <w:tcPr>
            <w:tcW w:type="dxa" w:w="114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−14</w:t>
            </w:r>
          </w:p>
        </w:tc>
        <w:tc>
          <w:tcPr>
            <w:tcW w:type="dxa" w:w="206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390</w:t>
            </w:r>
          </w:p>
        </w:tc>
      </w:tr>
      <w:tr>
        <w:tc>
          <w:tcPr>
            <w:tcW w:type="dxa" w:w="235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2-й год, II квартал</w:t>
            </w:r>
          </w:p>
        </w:tc>
        <w:tc>
          <w:tcPr>
            <w:tcW w:type="dxa" w:w="164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1 430</w:t>
            </w:r>
          </w:p>
        </w:tc>
        <w:tc>
          <w:tcPr>
            <w:tcW w:type="dxa" w:w="21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1 132</w:t>
            </w:r>
          </w:p>
        </w:tc>
        <w:tc>
          <w:tcPr>
            <w:tcW w:type="dxa" w:w="114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298</w:t>
            </w:r>
          </w:p>
        </w:tc>
        <w:tc>
          <w:tcPr>
            <w:tcW w:type="dxa" w:w="206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687</w:t>
            </w:r>
          </w:p>
        </w:tc>
      </w:tr>
      <w:tr>
        <w:tc>
          <w:tcPr>
            <w:tcW w:type="dxa" w:w="235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2-й год, III квартал</w:t>
            </w:r>
          </w:p>
        </w:tc>
        <w:tc>
          <w:tcPr>
            <w:tcW w:type="dxa" w:w="164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1 950</w:t>
            </w:r>
          </w:p>
        </w:tc>
        <w:tc>
          <w:tcPr>
            <w:tcW w:type="dxa" w:w="21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1 174</w:t>
            </w:r>
          </w:p>
        </w:tc>
        <w:tc>
          <w:tcPr>
            <w:tcW w:type="dxa" w:w="114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776</w:t>
            </w:r>
          </w:p>
        </w:tc>
        <w:tc>
          <w:tcPr>
            <w:tcW w:type="dxa" w:w="206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1 464</w:t>
            </w:r>
          </w:p>
        </w:tc>
      </w:tr>
      <w:tr>
        <w:tc>
          <w:tcPr>
            <w:tcW w:type="dxa" w:w="235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2-й год, IV квартал</w:t>
            </w:r>
          </w:p>
        </w:tc>
        <w:tc>
          <w:tcPr>
            <w:tcW w:type="dxa" w:w="164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2 470</w:t>
            </w:r>
          </w:p>
        </w:tc>
        <w:tc>
          <w:tcPr>
            <w:tcW w:type="dxa" w:w="21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1 399</w:t>
            </w:r>
          </w:p>
        </w:tc>
        <w:tc>
          <w:tcPr>
            <w:tcW w:type="dxa" w:w="114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1 071</w:t>
            </w:r>
          </w:p>
        </w:tc>
        <w:tc>
          <w:tcPr>
            <w:tcW w:type="dxa" w:w="206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2 535</w:t>
            </w:r>
          </w:p>
        </w:tc>
      </w:tr>
      <w:tr>
        <w:tc>
          <w:tcPr>
            <w:tcW w:type="dxa" w:w="235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3-й год, I квартал</w:t>
            </w:r>
          </w:p>
        </w:tc>
        <w:tc>
          <w:tcPr>
            <w:tcW w:type="dxa" w:w="164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3 020</w:t>
            </w:r>
          </w:p>
        </w:tc>
        <w:tc>
          <w:tcPr>
            <w:tcW w:type="dxa" w:w="21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2 196</w:t>
            </w:r>
          </w:p>
        </w:tc>
        <w:tc>
          <w:tcPr>
            <w:tcW w:type="dxa" w:w="114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824</w:t>
            </w:r>
          </w:p>
        </w:tc>
        <w:tc>
          <w:tcPr>
            <w:tcW w:type="dxa" w:w="206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3 358</w:t>
            </w:r>
          </w:p>
        </w:tc>
      </w:tr>
      <w:tr>
        <w:tc>
          <w:tcPr>
            <w:tcW w:type="dxa" w:w="235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3-й год, II квартал</w:t>
            </w:r>
          </w:p>
        </w:tc>
        <w:tc>
          <w:tcPr>
            <w:tcW w:type="dxa" w:w="164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3 750</w:t>
            </w:r>
          </w:p>
        </w:tc>
        <w:tc>
          <w:tcPr>
            <w:tcW w:type="dxa" w:w="21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2 226</w:t>
            </w:r>
          </w:p>
        </w:tc>
        <w:tc>
          <w:tcPr>
            <w:tcW w:type="dxa" w:w="114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1 524</w:t>
            </w:r>
          </w:p>
        </w:tc>
        <w:tc>
          <w:tcPr>
            <w:tcW w:type="dxa" w:w="206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4 882</w:t>
            </w:r>
          </w:p>
        </w:tc>
      </w:tr>
      <w:tr>
        <w:tc>
          <w:tcPr>
            <w:tcW w:type="dxa" w:w="235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3-й год, III квартал</w:t>
            </w:r>
          </w:p>
        </w:tc>
        <w:tc>
          <w:tcPr>
            <w:tcW w:type="dxa" w:w="164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4 500</w:t>
            </w:r>
          </w:p>
        </w:tc>
        <w:tc>
          <w:tcPr>
            <w:tcW w:type="dxa" w:w="21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2 256</w:t>
            </w:r>
          </w:p>
        </w:tc>
        <w:tc>
          <w:tcPr>
            <w:tcW w:type="dxa" w:w="114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2 244</w:t>
            </w:r>
          </w:p>
        </w:tc>
        <w:tc>
          <w:tcPr>
            <w:tcW w:type="dxa" w:w="206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7 125</w:t>
            </w:r>
          </w:p>
        </w:tc>
      </w:tr>
      <w:tr>
        <w:tc>
          <w:tcPr>
            <w:tcW w:type="dxa" w:w="2359"/>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3-й год, IV квартал</w:t>
            </w:r>
          </w:p>
        </w:tc>
        <w:tc>
          <w:tcPr>
            <w:tcW w:type="dxa" w:w="164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5 250</w:t>
            </w:r>
          </w:p>
        </w:tc>
        <w:tc>
          <w:tcPr>
            <w:tcW w:type="dxa" w:w="21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2 286</w:t>
            </w:r>
          </w:p>
        </w:tc>
        <w:tc>
          <w:tcPr>
            <w:tcW w:type="dxa" w:w="114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2 964</w:t>
            </w:r>
          </w:p>
        </w:tc>
        <w:tc>
          <w:tcPr>
            <w:tcW w:type="dxa" w:w="206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10 089</w:t>
            </w:r>
          </w:p>
        </w:tc>
      </w:tr>
    </w:tbl>
    <w:p>
      <w:pPr>
        <w:spacing w:line="360" w:lineRule="auto" w:before="0" w:after="12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Квартальное сальдо обращается в положительное во втором квартале второго года. Наименьший остаток средств за трёхлетний период – 329 тыс. рублей – приходится на второй месяц второго года и вызван приёмом второго специалиста по внедрению опережающе по отношению к поступлениям от выполненных им подключений.</w:t>
      </w:r>
    </w:p>
    <w:p>
      <w:pPr>
        <w:spacing w:line="360" w:lineRule="auto" w:before="0" w:after="0"/>
        <w:ind w:firstLine="709" w:left="0" w:right="0"/>
        <w:jc w:val="both"/>
      </w:pPr>
      <w:r>
        <w:rPr>
          <w:rFonts w:ascii="Times New Roman" w:hAnsi="Times New Roman" w:cs="Times New Roman" w:eastAsia="Times New Roman"/>
          <w:b w:val="0"/>
          <w:i w:val="0"/>
          <w:color w:val="000000"/>
          <w:sz w:val="28"/>
        </w:rPr>
        <w:t>Отрицательного остатка не возникает ни в одном месяце, то есть заёмное финансирование не требуется. Освобождение от страховых взносов на АУСН образует запас, отсутствовавший бы при общей системе налогообложения: при ней наименьший остаток составил бы 28,7 тыс. рублей, то есть менее недели расходов.</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Точка безубыточности</w:t>
      </w:r>
    </w:p>
    <w:p>
      <w:pPr>
        <w:spacing w:line="360" w:lineRule="auto" w:before="0" w:after="0"/>
        <w:ind w:firstLine="709" w:left="0" w:right="0"/>
        <w:jc w:val="both"/>
      </w:pPr>
      <w:r>
        <w:rPr>
          <w:rFonts w:ascii="Times New Roman" w:hAnsi="Times New Roman" w:cs="Times New Roman" w:eastAsia="Times New Roman"/>
          <w:b w:val="0"/>
          <w:i w:val="0"/>
          <w:color w:val="000000"/>
          <w:sz w:val="28"/>
        </w:rPr>
        <w:t>Маржинальный доход с одного заведения в период применения АУСН составляет 8 746 рублей в месяц – разность подписки 10 000 рублей и прямой себестоимости 1 254 рубля (аренда сервера и оплата труда внедрения без страховых взносов). С третьего года себестоимость возрастает до 1 382 рублей за счёт взносов, и маржинальный доход снижается до 8 618 рублей. Точка безубыточности определяется отношением постоянных расходов к этой величине.</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33" w:name="_Tbl_13_5"/>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33"/>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Точка безубыточности</w:t>
      </w:r>
    </w:p>
    <w:tbl>
      <w:tblPr>
        <w:tblStyle w:val="TableGrid"/>
        <w:tblW w:type="auto" w:w="0"/>
        <w:jc w:val="center"/>
        <w:tblLayout w:type="fixed"/>
        <w:tblLook w:firstColumn="1" w:firstRow="1" w:lastColumn="0" w:lastRow="0" w:noHBand="0" w:noVBand="1" w:val="04A0"/>
      </w:tblPr>
      <w:tblGrid>
        <w:gridCol w:w="2094"/>
        <w:gridCol w:w="2720"/>
        <w:gridCol w:w="2622"/>
        <w:gridCol w:w="1918"/>
      </w:tblGrid>
      <w:tr>
        <w:trPr>
          <w:tblHeader/>
        </w:trPr>
        <w:tc>
          <w:tcPr>
            <w:tcW w:type="dxa" w:w="2094"/>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Период</w:t>
            </w:r>
          </w:p>
        </w:tc>
        <w:tc>
          <w:tcPr>
            <w:tcW w:type="dxa" w:w="2720"/>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Постоянные расходы, тыс. руб./мес.</w:t>
            </w:r>
          </w:p>
        </w:tc>
        <w:tc>
          <w:tcPr>
            <w:tcW w:type="dxa" w:w="2622"/>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Точка безубыточности, заказчиков</w:t>
            </w:r>
          </w:p>
        </w:tc>
        <w:tc>
          <w:tcPr>
            <w:tcW w:type="dxa" w:w="1918"/>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Достигается</w:t>
            </w:r>
          </w:p>
        </w:tc>
      </w:tr>
      <w:tr>
        <w:tc>
          <w:tcPr>
            <w:tcW w:type="dxa" w:w="209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1-й год, с 4-го месяца</w:t>
            </w:r>
          </w:p>
        </w:tc>
        <w:tc>
          <w:tcPr>
            <w:tcW w:type="dxa" w:w="272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157</w:t>
            </w:r>
          </w:p>
        </w:tc>
        <w:tc>
          <w:tcPr>
            <w:tcW w:type="dxa" w:w="262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18</w:t>
            </w:r>
          </w:p>
        </w:tc>
        <w:tc>
          <w:tcPr>
            <w:tcW w:type="dxa" w:w="191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8-й месяц</w:t>
            </w:r>
          </w:p>
        </w:tc>
      </w:tr>
      <w:tr>
        <w:tc>
          <w:tcPr>
            <w:tcW w:type="dxa" w:w="209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2-й год, с 4-го месяца</w:t>
            </w:r>
          </w:p>
        </w:tc>
        <w:tc>
          <w:tcPr>
            <w:tcW w:type="dxa" w:w="272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342</w:t>
            </w:r>
          </w:p>
        </w:tc>
        <w:tc>
          <w:tcPr>
            <w:tcW w:type="dxa" w:w="262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39</w:t>
            </w:r>
          </w:p>
        </w:tc>
        <w:tc>
          <w:tcPr>
            <w:tcW w:type="dxa" w:w="191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3-й месяц 2-го года</w:t>
            </w:r>
          </w:p>
        </w:tc>
      </w:tr>
      <w:tr>
        <w:tc>
          <w:tcPr>
            <w:tcW w:type="dxa" w:w="209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3-й год</w:t>
            </w:r>
          </w:p>
        </w:tc>
        <w:tc>
          <w:tcPr>
            <w:tcW w:type="dxa" w:w="272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656</w:t>
            </w:r>
          </w:p>
        </w:tc>
        <w:tc>
          <w:tcPr>
            <w:tcW w:type="dxa" w:w="262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76</w:t>
            </w:r>
          </w:p>
        </w:tc>
        <w:tc>
          <w:tcPr>
            <w:tcW w:type="dxa" w:w="191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достигнута ранее</w:t>
            </w:r>
          </w:p>
        </w:tc>
      </w:tr>
    </w:tbl>
    <w:p>
      <w:pPr>
        <w:spacing w:line="360" w:lineRule="auto" w:before="0" w:after="12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Постоянные расходы возрастают ступенчато с расширением штата, поэтому точка безубыточности не является однократно достигаемым рубежом: каждый приём работника поднимает её, и она вновь покрывается последующими подключениями. Устойчивая безубыточность наступает со второго квартала второго года, когда прирост числа заказчиков опережает рост штата.</w:t>
      </w:r>
    </w:p>
    <w:p>
      <w:pPr>
        <w:spacing w:line="360" w:lineRule="auto" w:before="0" w:after="0"/>
        <w:ind w:firstLine="709" w:left="0" w:right="0"/>
        <w:jc w:val="both"/>
      </w:pPr>
      <w:r>
        <w:rPr>
          <w:rFonts w:ascii="Times New Roman" w:hAnsi="Times New Roman" w:cs="Times New Roman" w:eastAsia="Times New Roman"/>
          <w:b w:val="0"/>
          <w:i w:val="0"/>
          <w:color w:val="000000"/>
          <w:sz w:val="28"/>
        </w:rPr>
        <w:t>Запас прочности к концу третьего года: при 200 заказчиках безубыточность обеспечивают 76, то есть допустимо сокращение клиентской базы на 62 % без возникновения убытка.</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Структура расходов</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34" w:name="_Tbl_13_6"/>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34"/>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Структура расходов</w:t>
      </w:r>
    </w:p>
    <w:tbl>
      <w:tblPr>
        <w:tblStyle w:val="TableGrid"/>
        <w:tblW w:type="auto" w:w="0"/>
        <w:jc w:val="center"/>
        <w:tblLayout w:type="fixed"/>
        <w:tblLook w:firstColumn="1" w:firstRow="1" w:lastColumn="0" w:lastRow="0" w:noHBand="0" w:noVBand="1" w:val="04A0"/>
      </w:tblPr>
      <w:tblGrid>
        <w:gridCol w:w="4218"/>
        <w:gridCol w:w="2568"/>
        <w:gridCol w:w="2568"/>
      </w:tblGrid>
      <w:tr>
        <w:trPr>
          <w:tblHeader/>
        </w:trPr>
        <w:tc>
          <w:tcPr>
            <w:tcW w:type="dxa" w:w="4218"/>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Статья</w:t>
            </w:r>
          </w:p>
        </w:tc>
        <w:tc>
          <w:tcPr>
            <w:tcW w:type="dxa" w:w="2568"/>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1-й год</w:t>
            </w:r>
          </w:p>
        </w:tc>
        <w:tc>
          <w:tcPr>
            <w:tcW w:type="dxa" w:w="2568"/>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3-й год</w:t>
            </w:r>
          </w:p>
        </w:tc>
      </w:tr>
      <w:tr>
        <w:tc>
          <w:tcPr>
            <w:tcW w:type="dxa" w:w="421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Оплата труда</w:t>
            </w:r>
          </w:p>
        </w:tc>
        <w:tc>
          <w:tcPr>
            <w:tcW w:type="dxa" w:w="25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84 %</w:t>
            </w:r>
          </w:p>
        </w:tc>
        <w:tc>
          <w:tcPr>
            <w:tcW w:type="dxa" w:w="25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75 %</w:t>
            </w:r>
          </w:p>
        </w:tc>
      </w:tr>
      <w:tr>
        <w:tc>
          <w:tcPr>
            <w:tcW w:type="dxa" w:w="421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Страховые взносы</w:t>
            </w:r>
          </w:p>
        </w:tc>
        <w:tc>
          <w:tcPr>
            <w:tcW w:type="dxa" w:w="25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w:t>
            </w:r>
          </w:p>
        </w:tc>
        <w:tc>
          <w:tcPr>
            <w:tcW w:type="dxa" w:w="25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11 %</w:t>
            </w:r>
          </w:p>
        </w:tc>
      </w:tr>
      <w:tr>
        <w:tc>
          <w:tcPr>
            <w:tcW w:type="dxa" w:w="421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Аренда серверов</w:t>
            </w:r>
          </w:p>
        </w:tc>
        <w:tc>
          <w:tcPr>
            <w:tcW w:type="dxa" w:w="25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3 %</w:t>
            </w:r>
          </w:p>
        </w:tc>
        <w:tc>
          <w:tcPr>
            <w:tcW w:type="dxa" w:w="25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8 %</w:t>
            </w:r>
          </w:p>
        </w:tc>
      </w:tr>
      <w:tr>
        <w:tc>
          <w:tcPr>
            <w:tcW w:type="dxa" w:w="421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Продвижение</w:t>
            </w:r>
          </w:p>
        </w:tc>
        <w:tc>
          <w:tcPr>
            <w:tcW w:type="dxa" w:w="25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8 %</w:t>
            </w:r>
          </w:p>
        </w:tc>
        <w:tc>
          <w:tcPr>
            <w:tcW w:type="dxa" w:w="25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4 %</w:t>
            </w:r>
          </w:p>
        </w:tc>
      </w:tr>
      <w:tr>
        <w:tc>
          <w:tcPr>
            <w:tcW w:type="dxa" w:w="421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Прочие</w:t>
            </w:r>
          </w:p>
        </w:tc>
        <w:tc>
          <w:tcPr>
            <w:tcW w:type="dxa" w:w="25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4 %</w:t>
            </w:r>
          </w:p>
        </w:tc>
        <w:tc>
          <w:tcPr>
            <w:tcW w:type="dxa" w:w="256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1 %</w:t>
            </w:r>
          </w:p>
        </w:tc>
      </w:tr>
    </w:tbl>
    <w:p>
      <w:pPr>
        <w:spacing w:line="360" w:lineRule="auto" w:before="0" w:after="12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Расходы на персонал составляют основную часть сметы на всём горизонте, что характерно для деятельности по разработке программного обеспечения. Практическое следствие изложено в разделе 8: при отклонении от плана продаж основной мерой реагирования служит перенос сроков найма.</w:t>
      </w:r>
    </w:p>
    <w:p>
      <w:pPr>
        <w:spacing w:line="360" w:lineRule="auto" w:before="0" w:after="0"/>
        <w:ind w:firstLine="709" w:left="0" w:right="0"/>
        <w:jc w:val="both"/>
      </w:pPr>
      <w:r>
        <w:rPr>
          <w:rFonts w:ascii="Times New Roman" w:hAnsi="Times New Roman" w:cs="Times New Roman" w:eastAsia="Times New Roman"/>
          <w:b w:val="0"/>
          <w:i w:val="0"/>
          <w:color w:val="000000"/>
          <w:sz w:val="28"/>
        </w:rPr>
        <w:t>Появление страховых взносов в третьем году – следствие перехода на общую систему налогообложения. В совокупности с оплатой труда они составляют 86 % расходов, то есть структура сметы сохраняется, изменяется лишь форма платежа.</w:t>
      </w:r>
    </w:p>
    <w:p>
      <w:pPr>
        <w:spacing w:line="360" w:lineRule="auto" w:before="0" w:after="0"/>
        <w:ind w:firstLine="709" w:left="0" w:right="0"/>
        <w:jc w:val="both"/>
      </w:pPr>
      <w:r>
        <w:rPr>
          <w:rFonts w:ascii="Times New Roman" w:hAnsi="Times New Roman" w:cs="Times New Roman" w:eastAsia="Times New Roman"/>
          <w:b w:val="0"/>
          <w:i w:val="0"/>
          <w:color w:val="000000"/>
          <w:sz w:val="28"/>
        </w:rPr>
        <w:t>Доля расходов на серверную инфраструктуру растёт с числом заказчиков, оставаясь незначительной: аренда сервера – 400 рублей в месяц при подписке 10 000 рублей.</w:t>
      </w:r>
    </w:p>
    <w:p>
      <w:pPr>
        <w:pStyle w:val="Heading1"/>
        <w:keepNext/>
        <w:pageBreakBefore/>
        <w:spacing w:line="360" w:lineRule="auto" w:before="0" w:after="0"/>
        <w:ind w:firstLine="709" w:left="0" w:right="0"/>
        <w:jc w:val="both"/>
      </w:pPr>
      <w:r>
        <w:rPr>
          <w:rFonts w:ascii="Times New Roman" w:hAnsi="Times New Roman" w:cs="Times New Roman" w:eastAsia="Times New Roman"/>
          <w:b/>
          <w:i w:val="0"/>
          <w:color w:val="000000"/>
          <w:sz w:val="28"/>
        </w:rPr>
        <w:t>8 Инвестиционный план</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Потребность в инвестициях</w:t>
      </w:r>
    </w:p>
    <w:p>
      <w:pPr>
        <w:spacing w:line="360" w:lineRule="auto" w:before="0" w:after="0"/>
        <w:ind w:firstLine="709" w:left="0" w:right="0"/>
        <w:jc w:val="both"/>
      </w:pPr>
      <w:r>
        <w:rPr>
          <w:rFonts w:ascii="Times New Roman" w:hAnsi="Times New Roman" w:cs="Times New Roman" w:eastAsia="Times New Roman"/>
          <w:b w:val="0"/>
          <w:i w:val="0"/>
          <w:color w:val="000000"/>
          <w:sz w:val="28"/>
        </w:rPr>
        <w:t>Разработка платформы завершена и профинансирована грантом Фонда содействия инновациям по договору 1105ГССС27/106900. Предметом настоящего раздела является финансирование не разработки, а вывода продукта на рынок: расходы первого года возникают раньше поступлений, поскольку продукт продаётся по подписке и каждому заказчику предоставляется бесплатный период (раздел 4.6).</w:t>
      </w:r>
    </w:p>
    <w:p>
      <w:pPr>
        <w:spacing w:line="360" w:lineRule="auto" w:before="0" w:after="0"/>
        <w:ind w:firstLine="709" w:left="0" w:right="0"/>
        <w:jc w:val="both"/>
      </w:pPr>
      <w:r>
        <w:rPr>
          <w:rFonts w:ascii="Times New Roman" w:hAnsi="Times New Roman" w:cs="Times New Roman" w:eastAsia="Times New Roman"/>
          <w:b w:val="0"/>
          <w:i w:val="0"/>
          <w:color w:val="000000"/>
          <w:sz w:val="28"/>
        </w:rPr>
        <w:t xml:space="preserve">Потребность определена расчётом движения денежных средств по месяцам (раздел 7, </w:t>
      </w:r>
      <w:r>
        <w:rPr>
          <w:rFonts w:ascii="Times New Roman" w:hAnsi="Times New Roman" w:cs="Times New Roman" w:eastAsia="Times New Roman"/>
          <w:b w:val="0"/>
          <w:i w:val="0"/>
          <w:color w:val="000000"/>
          <w:sz w:val="28"/>
        </w:rPr>
        <w:t xml:space="preserve">таблица </w:t>
      </w:r>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REF _Tbl_14_3 \h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r>
        <w:rPr>
          <w:rFonts w:ascii="Times New Roman" w:hAnsi="Times New Roman" w:cs="Times New Roman" w:eastAsia="Times New Roman"/>
          <w:b w:val="0"/>
          <w:i w:val="0"/>
          <w:color w:val="000000"/>
          <w:sz w:val="28"/>
        </w:rPr>
        <w:t>). Годовые итоги для этой цели непригодны: убыток первого года составляет 1,10 млн рублей, но расходы неравномерны – с приёмом работников в четвёртом и пятом месяцах месячные расходы возрастают вчетверо, тогда как поступления нарастают постепенно.</w:t>
      </w:r>
    </w:p>
    <w:p>
      <w:pPr>
        <w:spacing w:line="360" w:lineRule="auto" w:before="0" w:after="0"/>
        <w:ind w:firstLine="709" w:left="0" w:right="0"/>
        <w:jc w:val="both"/>
      </w:pPr>
      <w:r>
        <w:rPr>
          <w:rFonts w:ascii="Times New Roman" w:hAnsi="Times New Roman" w:cs="Times New Roman" w:eastAsia="Times New Roman"/>
          <w:b w:val="0"/>
          <w:i w:val="0"/>
          <w:color w:val="000000"/>
          <w:sz w:val="28"/>
        </w:rPr>
        <w:t xml:space="preserve">Требуемая величина – </w:t>
      </w:r>
      <w:r>
        <w:rPr>
          <w:rFonts w:ascii="Times New Roman" w:hAnsi="Times New Roman" w:cs="Times New Roman" w:eastAsia="Times New Roman"/>
          <w:b/>
          <w:i w:val="0"/>
          <w:color w:val="000000"/>
          <w:sz w:val="28"/>
        </w:rPr>
        <w:t>1,5 млн рублей</w:t>
      </w:r>
      <w:r>
        <w:rPr>
          <w:rFonts w:ascii="Times New Roman" w:hAnsi="Times New Roman" w:cs="Times New Roman" w:eastAsia="Times New Roman"/>
          <w:b w:val="0"/>
          <w:i w:val="0"/>
          <w:color w:val="000000"/>
          <w:sz w:val="28"/>
        </w:rPr>
        <w:t>. Она превышает убыток первого года на 0,4 млн рублей: этот остаток обеспечивает платёжеспособность в начале второго года, когда приём второго специалиста по внедрению опережает поступления от выполненных им подключений, и образует резерв на отклонения от плана продаж.</w:t>
      </w:r>
    </w:p>
    <w:p>
      <w:pPr>
        <w:spacing w:line="360" w:lineRule="auto" w:before="0" w:after="0"/>
        <w:ind w:firstLine="709" w:left="0" w:right="0"/>
        <w:jc w:val="both"/>
      </w:pPr>
      <w:r>
        <w:rPr>
          <w:rFonts w:ascii="Times New Roman" w:hAnsi="Times New Roman" w:cs="Times New Roman" w:eastAsia="Times New Roman"/>
          <w:b w:val="0"/>
          <w:i w:val="0"/>
          <w:color w:val="000000"/>
          <w:sz w:val="28"/>
        </w:rPr>
        <w:t xml:space="preserve">Направления расходования приведены в </w:t>
      </w:r>
      <w:r>
        <w:rPr>
          <w:rFonts w:ascii="Times New Roman" w:hAnsi="Times New Roman" w:cs="Times New Roman" w:eastAsia="Times New Roman"/>
          <w:b w:val="0"/>
          <w:i w:val="0"/>
          <w:color w:val="000000"/>
          <w:sz w:val="28"/>
        </w:rPr>
        <w:t xml:space="preserve">таблице </w:t>
      </w:r>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REF _Tbl_14_1 \h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r>
        <w:rPr>
          <w:rFonts w:ascii="Times New Roman" w:hAnsi="Times New Roman" w:cs="Times New Roman" w:eastAsia="Times New Roman"/>
          <w:b w:val="0"/>
          <w:i w:val="0"/>
          <w:color w:val="000000"/>
          <w:sz w:val="28"/>
        </w:rPr>
        <w:t>. Капитальные вложения отсутствуют: оборудование не приобретается (раздел 6).</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35" w:name="_Tbl_14_1"/>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35"/>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Направления расходования инвестиций</w:t>
      </w:r>
    </w:p>
    <w:tbl>
      <w:tblPr>
        <w:tblStyle w:val="TableGrid"/>
        <w:tblW w:type="auto" w:w="0"/>
        <w:jc w:val="center"/>
        <w:tblLayout w:type="fixed"/>
        <w:tblLook w:firstColumn="1" w:firstRow="1" w:lastColumn="0" w:lastRow="0" w:noHBand="0" w:noVBand="1" w:val="04A0"/>
      </w:tblPr>
      <w:tblGrid>
        <w:gridCol w:w="5105"/>
        <w:gridCol w:w="2488"/>
        <w:gridCol w:w="1762"/>
      </w:tblGrid>
      <w:tr>
        <w:trPr>
          <w:tblHeader/>
        </w:trPr>
        <w:tc>
          <w:tcPr>
            <w:tcW w:type="dxa" w:w="5105"/>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Направление</w:t>
            </w:r>
          </w:p>
        </w:tc>
        <w:tc>
          <w:tcPr>
            <w:tcW w:type="dxa" w:w="2488"/>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Сумма, тыс. руб.</w:t>
            </w:r>
          </w:p>
        </w:tc>
        <w:tc>
          <w:tcPr>
            <w:tcW w:type="dxa" w:w="1762"/>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Доля</w:t>
            </w:r>
          </w:p>
        </w:tc>
      </w:tr>
      <w:tr>
        <w:tc>
          <w:tcPr>
            <w:tcW w:type="dxa" w:w="510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Оплата труда до выхода на самоокупаемость</w:t>
            </w:r>
          </w:p>
        </w:tc>
        <w:tc>
          <w:tcPr>
            <w:tcW w:type="dxa" w:w="248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866</w:t>
            </w:r>
          </w:p>
        </w:tc>
        <w:tc>
          <w:tcPr>
            <w:tcW w:type="dxa" w:w="176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58 %</w:t>
            </w:r>
          </w:p>
        </w:tc>
      </w:tr>
      <w:tr>
        <w:tc>
          <w:tcPr>
            <w:tcW w:type="dxa" w:w="510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Продвижение и сбыт</w:t>
            </w:r>
          </w:p>
        </w:tc>
        <w:tc>
          <w:tcPr>
            <w:tcW w:type="dxa" w:w="248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182</w:t>
            </w:r>
          </w:p>
        </w:tc>
        <w:tc>
          <w:tcPr>
            <w:tcW w:type="dxa" w:w="176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12 %</w:t>
            </w:r>
          </w:p>
        </w:tc>
      </w:tr>
      <w:tr>
        <w:tc>
          <w:tcPr>
            <w:tcW w:type="dxa" w:w="510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Аренда серверной инфраструктуры</w:t>
            </w:r>
          </w:p>
        </w:tc>
        <w:tc>
          <w:tcPr>
            <w:tcW w:type="dxa" w:w="248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76</w:t>
            </w:r>
          </w:p>
        </w:tc>
        <w:tc>
          <w:tcPr>
            <w:tcW w:type="dxa" w:w="176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5 %</w:t>
            </w:r>
          </w:p>
        </w:tc>
      </w:tr>
      <w:tr>
        <w:tc>
          <w:tcPr>
            <w:tcW w:type="dxa" w:w="510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Бухгалтерское обслуживание, домен, связь, страхование</w:t>
            </w:r>
          </w:p>
        </w:tc>
        <w:tc>
          <w:tcPr>
            <w:tcW w:type="dxa" w:w="248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85</w:t>
            </w:r>
          </w:p>
        </w:tc>
        <w:tc>
          <w:tcPr>
            <w:tcW w:type="dxa" w:w="176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6 %</w:t>
            </w:r>
          </w:p>
        </w:tc>
      </w:tr>
      <w:tr>
        <w:tc>
          <w:tcPr>
            <w:tcW w:type="dxa" w:w="5105"/>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Резерв на отклонения и начало второго года</w:t>
            </w:r>
          </w:p>
        </w:tc>
        <w:tc>
          <w:tcPr>
            <w:tcW w:type="dxa" w:w="248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291</w:t>
            </w:r>
          </w:p>
        </w:tc>
        <w:tc>
          <w:tcPr>
            <w:tcW w:type="dxa" w:w="176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19 %</w:t>
            </w:r>
          </w:p>
        </w:tc>
      </w:tr>
      <w:tr>
        <w:tc>
          <w:tcPr>
            <w:tcW w:type="dxa" w:w="5105"/>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Итого</w:t>
            </w:r>
          </w:p>
        </w:tc>
        <w:tc>
          <w:tcPr>
            <w:tcW w:type="dxa" w:w="2488"/>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1 500</w:t>
            </w:r>
          </w:p>
        </w:tc>
        <w:tc>
          <w:tcPr>
            <w:tcW w:type="dxa" w:w="1762"/>
          </w:tcPr>
          <w:p>
            <w:pPr>
              <w:spacing w:line="240" w:lineRule="auto" w:before="0" w:after="0"/>
              <w:ind w:firstLine="0" w:left="0" w:right="0"/>
              <w:jc w:val="left"/>
            </w:pPr>
            <w:r>
              <w:rPr>
                <w:sz w:val="24"/>
              </w:rPr>
            </w:r>
            <w:r>
              <w:rPr>
                <w:rFonts w:ascii="Times New Roman" w:hAnsi="Times New Roman" w:cs="Times New Roman" w:eastAsia="Times New Roman"/>
                <w:b/>
                <w:i w:val="0"/>
                <w:color w:val="000000"/>
                <w:sz w:val="24"/>
              </w:rPr>
              <w:t>100 %</w:t>
            </w:r>
          </w:p>
        </w:tc>
      </w:tr>
    </w:tbl>
    <w:p>
      <w:pPr>
        <w:spacing w:line="360" w:lineRule="auto" w:before="0" w:after="120"/>
        <w:ind w:firstLine="0" w:left="0" w:right="0"/>
        <w:jc w:val="both"/>
      </w:pPr>
    </w:p>
    <w:p>
      <w:pPr>
        <w:keepNext/>
        <w:spacing w:line="360" w:lineRule="auto" w:before="0" w:after="0"/>
        <w:ind w:firstLine="709" w:left="0" w:right="0"/>
        <w:jc w:val="both"/>
      </w:pPr>
      <w:r>
        <w:rPr>
          <w:rFonts w:ascii="Times New Roman" w:hAnsi="Times New Roman" w:cs="Times New Roman" w:eastAsia="Times New Roman"/>
          <w:b/>
          <w:i w:val="0"/>
          <w:color w:val="000000"/>
          <w:sz w:val="28"/>
        </w:rPr>
        <w:t>Источник финансирования</w:t>
      </w:r>
    </w:p>
    <w:p>
      <w:pPr>
        <w:spacing w:line="360" w:lineRule="auto" w:before="0" w:after="0"/>
        <w:ind w:firstLine="709" w:left="0" w:right="0"/>
        <w:jc w:val="both"/>
      </w:pPr>
      <w:r>
        <w:rPr>
          <w:rFonts w:ascii="Times New Roman" w:hAnsi="Times New Roman" w:cs="Times New Roman" w:eastAsia="Times New Roman"/>
          <w:b w:val="0"/>
          <w:i w:val="0"/>
          <w:color w:val="000000"/>
          <w:sz w:val="28"/>
        </w:rPr>
        <w:t>Потребность покрывается взносом учредителя в размере 1,5 млн рублей.</w:t>
      </w:r>
    </w:p>
    <w:p>
      <w:pPr>
        <w:spacing w:line="360" w:lineRule="auto" w:before="0" w:after="0"/>
        <w:ind w:firstLine="709" w:left="0" w:right="0"/>
        <w:jc w:val="both"/>
      </w:pPr>
      <w:r>
        <w:rPr>
          <w:rFonts w:ascii="Times New Roman" w:hAnsi="Times New Roman" w:cs="Times New Roman" w:eastAsia="Times New Roman"/>
          <w:b w:val="0"/>
          <w:i w:val="0"/>
          <w:color w:val="000000"/>
          <w:sz w:val="28"/>
        </w:rPr>
        <w:t>Выбор источника определяется тем, что на момент возникновения потребности заёмное финансирование предприятию недоступно. Банки предъявляют к заёмщику требование о сроке деятельности не менее шести месяцев и подтверждённой выручке; предприятие на первом-третьем месяце не отвечает ни одному из них. «Зонтичное» поручительство Корпорации МСП, предоставляемое субъектам малого предпринимательства бесплатно и покрывающее до 50 % суммы кредита [35], снимает требование к залоговому обеспечению, но не заменяет кредитную историю и выручку.</w:t>
      </w:r>
    </w:p>
    <w:p>
      <w:pPr>
        <w:spacing w:line="360" w:lineRule="auto" w:before="0" w:after="0"/>
        <w:ind w:firstLine="709" w:left="0" w:right="0"/>
        <w:jc w:val="both"/>
      </w:pPr>
      <w:r>
        <w:rPr>
          <w:rFonts w:ascii="Times New Roman" w:hAnsi="Times New Roman" w:cs="Times New Roman" w:eastAsia="Times New Roman"/>
          <w:b w:val="0"/>
          <w:i w:val="0"/>
          <w:color w:val="000000"/>
          <w:sz w:val="28"/>
        </w:rPr>
        <w:t>Достаточность взноса подтверждается расчётом движения денежных средств (раздел 7): наименьший остаток за трёхлетний период составляет 329 тыс. рублей и приходится на второй месяц второго года. Отрицательного остатка не возникает ни в одном месяце, то есть привлечения заёмных средств не требуется.</w:t>
      </w:r>
    </w:p>
    <w:p>
      <w:pPr>
        <w:spacing w:line="360" w:lineRule="auto" w:before="0" w:after="0"/>
        <w:ind w:firstLine="709" w:left="0" w:right="0"/>
        <w:jc w:val="both"/>
      </w:pPr>
      <w:r>
        <w:rPr>
          <w:rFonts w:ascii="Times New Roman" w:hAnsi="Times New Roman" w:cs="Times New Roman" w:eastAsia="Times New Roman"/>
          <w:b w:val="0"/>
          <w:i w:val="0"/>
          <w:color w:val="000000"/>
          <w:sz w:val="28"/>
        </w:rPr>
        <w:t>Со второго года заёмное финансирование становится доступным – предприятие отвечает требованиям к сроку деятельности и выручке – и может быть привлечено по программе льготного кредитования субъектов малого предпринимательства по ставке «ключевая ставка плюс 2,75 %» [36]. В базовом расчёте оно не используется: собственных средств достаточно, а привлечение заёмных при ставке 16,75 % годовых [37] уменьшило бы чистую прибыль.</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Меры государственной поддержки</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36" w:name="_Tbl_14_2"/>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36"/>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Меры государственной поддержки</w:t>
      </w:r>
    </w:p>
    <w:tbl>
      <w:tblPr>
        <w:tblStyle w:val="TableGrid"/>
        <w:tblW w:type="auto" w:w="0"/>
        <w:jc w:val="center"/>
        <w:tblLayout w:type="fixed"/>
        <w:tblLook w:firstColumn="1" w:firstRow="1" w:lastColumn="0" w:lastRow="0" w:noHBand="0" w:noVBand="1" w:val="04A0"/>
      </w:tblPr>
      <w:tblGrid>
        <w:gridCol w:w="3036"/>
        <w:gridCol w:w="5202"/>
        <w:gridCol w:w="1116"/>
      </w:tblGrid>
      <w:tr>
        <w:trPr>
          <w:tblHeader/>
        </w:trPr>
        <w:tc>
          <w:tcPr>
            <w:tcW w:type="dxa" w:w="3036"/>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Мера</w:t>
            </w:r>
          </w:p>
        </w:tc>
        <w:tc>
          <w:tcPr>
            <w:tcW w:type="dxa" w:w="5202"/>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Содержание</w:t>
            </w:r>
          </w:p>
        </w:tc>
        <w:tc>
          <w:tcPr>
            <w:tcW w:type="dxa" w:w="1116"/>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Срок</w:t>
            </w:r>
          </w:p>
        </w:tc>
      </w:tr>
      <w:tr>
        <w:tc>
          <w:tcPr>
            <w:tcW w:type="dxa" w:w="303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Аккредитация Минцифры</w:t>
            </w:r>
          </w:p>
        </w:tc>
        <w:tc>
          <w:tcPr>
            <w:tcW w:type="dxa" w:w="520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Условие включения в реестр МТК; с 3-го года – страховые взносы 15 % и 7,6 %, налог на прибыль 5 % (раздел 7)</w:t>
            </w:r>
          </w:p>
        </w:tc>
        <w:tc>
          <w:tcPr>
            <w:tcW w:type="dxa" w:w="111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1–3-й годы</w:t>
            </w:r>
          </w:p>
        </w:tc>
      </w:tr>
      <w:tr>
        <w:tc>
          <w:tcPr>
            <w:tcW w:type="dxa" w:w="303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Реестр малых технологических компаний</w:t>
            </w:r>
          </w:p>
        </w:tc>
        <w:tc>
          <w:tcPr>
            <w:tcW w:type="dxa" w:w="520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Заявительный порядок включения на основании гранта ФСИ, освобождение от требования к средней заработной плате (раздел 5)</w:t>
            </w:r>
          </w:p>
        </w:tc>
        <w:tc>
          <w:tcPr>
            <w:tcW w:type="dxa" w:w="111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1-й год</w:t>
            </w:r>
          </w:p>
        </w:tc>
      </w:tr>
      <w:tr>
        <w:tc>
          <w:tcPr>
            <w:tcW w:type="dxa" w:w="303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Акселератор «Спринт 2.0» (ФРИИ, Минцифры)</w:t>
            </w:r>
          </w:p>
        </w:tc>
        <w:tc>
          <w:tcPr>
            <w:tcW w:type="dxa" w:w="520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Бесплатная программа развития, доступ к инвесторам; приём заявок до 24 сентября 2026 года, начало программы – январь 2027 года [38]</w:t>
            </w:r>
          </w:p>
        </w:tc>
        <w:tc>
          <w:tcPr>
            <w:tcW w:type="dxa" w:w="111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1-й год</w:t>
            </w:r>
          </w:p>
        </w:tc>
      </w:tr>
      <w:tr>
        <w:tc>
          <w:tcPr>
            <w:tcW w:type="dxa" w:w="303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Бизнес-ускоритель «А:СТАРТ» (Академпарк, Новосибирск)</w:t>
            </w:r>
          </w:p>
        </w:tc>
        <w:tc>
          <w:tcPr>
            <w:tcW w:type="dxa" w:w="520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Бесплатные офисы, льготное кредитование, статус резидента бизнес-инкубатора; приём заявок до 1 сентября 2026 года [39]</w:t>
            </w:r>
          </w:p>
        </w:tc>
        <w:tc>
          <w:tcPr>
            <w:tcW w:type="dxa" w:w="111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1-й год</w:t>
            </w:r>
          </w:p>
        </w:tc>
      </w:tr>
      <w:tr>
        <w:tc>
          <w:tcPr>
            <w:tcW w:type="dxa" w:w="303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Грант «Старт-1» (ФСИ)</w:t>
            </w:r>
          </w:p>
        </w:tc>
        <w:tc>
          <w:tcPr>
            <w:tcW w:type="dxa" w:w="520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До 4 млн рублей на НИОКР, софинансирование не требуется [40]</w:t>
            </w:r>
          </w:p>
        </w:tc>
        <w:tc>
          <w:tcPr>
            <w:tcW w:type="dxa" w:w="111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2-й год</w:t>
            </w:r>
          </w:p>
        </w:tc>
      </w:tr>
      <w:tr>
        <w:tc>
          <w:tcPr>
            <w:tcW w:type="dxa" w:w="303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Программа льготного кредитования субъектов МСП</w:t>
            </w:r>
          </w:p>
        </w:tc>
        <w:tc>
          <w:tcPr>
            <w:tcW w:type="dxa" w:w="5202"/>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Ставка «ключевая ставка + 2,75 %» [36]</w:t>
            </w:r>
          </w:p>
        </w:tc>
        <w:tc>
          <w:tcPr>
            <w:tcW w:type="dxa" w:w="1116"/>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2–3-й годы</w:t>
            </w:r>
          </w:p>
        </w:tc>
      </w:tr>
    </w:tbl>
    <w:p>
      <w:pPr>
        <w:spacing w:line="360" w:lineRule="auto" w:before="0" w:after="12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Грант «Старт-1» отнесён ко второму году вынужденно: к участию не допускаются организации, имеющие незавершённые договоры с Фондом [40]. Действующий договор завершается в конце 2026 года, вследствие чего поступление средств приходится на второй год деятельности. На покрытие потребности первого года грант рассчитывать нельзя, и в расчётах он не учтён: его получение улучшает результат, но не является условием осуществимости плана.</w:t>
      </w:r>
    </w:p>
    <w:p>
      <w:pPr>
        <w:spacing w:line="360" w:lineRule="auto" w:before="0" w:after="0"/>
        <w:ind w:firstLine="709" w:left="0" w:right="0"/>
        <w:jc w:val="both"/>
      </w:pPr>
      <w:r>
        <w:rPr>
          <w:rFonts w:ascii="Times New Roman" w:hAnsi="Times New Roman" w:cs="Times New Roman" w:eastAsia="Times New Roman"/>
          <w:b w:val="0"/>
          <w:i w:val="0"/>
          <w:color w:val="000000"/>
          <w:sz w:val="28"/>
        </w:rPr>
        <w:t>Статус резидента «Сколково» не рассматривается: с 2026 года одновременное применение льгот «Сколково» и налоговых преференций для аккредитованных ИТ-организаций не допускается, требуется выбор одного режима [41]. При убытке первого года предоставляемая «Сколково» нулевая ставка налога на прибыль ценности не имеет, тогда как льготный тариф страховых взносов применяется с первого месяца.</w:t>
      </w:r>
    </w:p>
    <w:p>
      <w:pPr>
        <w:spacing w:line="360" w:lineRule="auto" w:before="0" w:after="0"/>
        <w:ind w:firstLine="709" w:left="0" w:right="0"/>
        <w:jc w:val="both"/>
      </w:pPr>
      <w:r>
        <w:rPr>
          <w:rFonts w:ascii="Times New Roman" w:hAnsi="Times New Roman" w:cs="Times New Roman" w:eastAsia="Times New Roman"/>
          <w:b w:val="0"/>
          <w:i w:val="0"/>
          <w:color w:val="000000"/>
          <w:sz w:val="28"/>
        </w:rPr>
        <w:t>Участие в акселераторах «Спринт 2.0» и «А:СТАРТ» прямого финансирования не даёт и в расчёт денежных потоков не включено. Их назначение – подготовка к привлечению инвестиций на последующих этапах и получение статуса резидента бизнес-инкубатора, дающего доступ к льготному кредитованию.</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Показатели эффективности</w:t>
      </w:r>
    </w:p>
    <w:p>
      <w:pPr>
        <w:spacing w:line="360" w:lineRule="auto" w:before="0" w:after="0"/>
        <w:ind w:firstLine="709" w:left="0" w:right="0"/>
        <w:jc w:val="both"/>
      </w:pPr>
      <w:r>
        <w:rPr>
          <w:rFonts w:ascii="Times New Roman" w:hAnsi="Times New Roman" w:cs="Times New Roman" w:eastAsia="Times New Roman"/>
          <w:b w:val="0"/>
          <w:i w:val="0"/>
          <w:color w:val="000000"/>
          <w:sz w:val="28"/>
        </w:rPr>
        <w:t xml:space="preserve">Расчёт выполнен по чистой прибыли (раздел 7, </w:t>
      </w:r>
      <w:r>
        <w:rPr>
          <w:rFonts w:ascii="Times New Roman" w:hAnsi="Times New Roman" w:cs="Times New Roman" w:eastAsia="Times New Roman"/>
          <w:b w:val="0"/>
          <w:i w:val="0"/>
          <w:color w:val="000000"/>
          <w:sz w:val="28"/>
        </w:rPr>
        <w:t xml:space="preserve">таблица </w:t>
      </w:r>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REF _Tbl_14_2 \h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r>
        <w:rPr>
          <w:rFonts w:ascii="Times New Roman" w:hAnsi="Times New Roman" w:cs="Times New Roman" w:eastAsia="Times New Roman"/>
          <w:b w:val="0"/>
          <w:i w:val="0"/>
          <w:color w:val="000000"/>
          <w:sz w:val="28"/>
        </w:rPr>
        <w:t>) при вложении 1,5 млн рублей в начальный момент. Ставка дисконтирования – 25 % годовых: ключевая ставка Банка России 14 % [37] и премия за риск, отражающая отсутствие подтверждённых внедрений и зависимость плана от достижения договорённостей с пилотными заведениями (раздел 4.7).</w:t>
      </w:r>
    </w:p>
    <w:p>
      <w:pPr>
        <w:spacing w:line="360" w:lineRule="auto" w:before="0" w:after="0"/>
        <w:ind w:firstLine="709" w:left="0" w:right="0"/>
        <w:jc w:val="both"/>
      </w:pPr>
      <w:r>
        <w:rPr>
          <w:rFonts w:ascii="Times New Roman" w:hAnsi="Times New Roman" w:cs="Times New Roman" w:eastAsia="Times New Roman"/>
          <w:b w:val="0"/>
          <w:i w:val="0"/>
          <w:color w:val="000000"/>
          <w:sz w:val="28"/>
        </w:rPr>
        <w:t>Принятие чистой прибыли в качестве основы расчёта, а не сальдо денежных потоков, обусловлено устройством проекта. Капитальные вложения отсутствуют, вследствие чего отсутствует и амортизация; оборотный капитал не связывается, поскольку подписка оплачивается авансом за расчётный месяц и дебиторская задолженность не образуется. Расхождение между прибылью и денежным потоком сводится поэтому к сдвигу в пределах одного месяца и на величину показателей не влияет. Помесячное движение денежных средств приведено в разделе 7 (</w:t>
      </w:r>
      <w:r>
        <w:rPr>
          <w:rFonts w:ascii="Times New Roman" w:hAnsi="Times New Roman" w:cs="Times New Roman" w:eastAsia="Times New Roman"/>
          <w:b w:val="0"/>
          <w:i w:val="0"/>
          <w:color w:val="000000"/>
          <w:sz w:val="28"/>
        </w:rPr>
        <w:t xml:space="preserve">таблица </w:t>
      </w:r>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REF _Tbl_14_3 \h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r>
        <w:rPr>
          <w:rFonts w:ascii="Times New Roman" w:hAnsi="Times New Roman" w:cs="Times New Roman" w:eastAsia="Times New Roman"/>
          <w:b w:val="0"/>
          <w:i w:val="0"/>
          <w:color w:val="000000"/>
          <w:sz w:val="28"/>
        </w:rPr>
        <w:t>) и служит основанием для определения потребности в финансировании.</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37" w:name="_Tbl_14_3"/>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37"/>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Показатели эффективности проекта</w:t>
      </w:r>
    </w:p>
    <w:tbl>
      <w:tblPr>
        <w:tblStyle w:val="TableGrid"/>
        <w:tblW w:type="auto" w:w="0"/>
        <w:jc w:val="center"/>
        <w:tblLayout w:type="fixed"/>
        <w:tblLook w:firstColumn="1" w:firstRow="1" w:lastColumn="0" w:lastRow="0" w:noHBand="0" w:noVBand="1" w:val="04A0"/>
      </w:tblPr>
      <w:tblGrid>
        <w:gridCol w:w="6108"/>
        <w:gridCol w:w="3247"/>
      </w:tblGrid>
      <w:tr>
        <w:trPr>
          <w:tblHeader/>
        </w:trPr>
        <w:tc>
          <w:tcPr>
            <w:tcW w:type="dxa" w:w="6108"/>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Показатель</w:t>
            </w:r>
          </w:p>
        </w:tc>
        <w:tc>
          <w:tcPr>
            <w:tcW w:type="dxa" w:w="3247"/>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Значение</w:t>
            </w:r>
          </w:p>
        </w:tc>
      </w:tr>
      <w:tr>
        <w:tc>
          <w:tcPr>
            <w:tcW w:type="dxa" w:w="610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Чистая прибыль за 3 года нарастающим итогом</w:t>
            </w:r>
          </w:p>
        </w:tc>
        <w:tc>
          <w:tcPr>
            <w:tcW w:type="dxa" w:w="324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8 566 тыс. руб.</w:t>
            </w:r>
          </w:p>
        </w:tc>
      </w:tr>
      <w:tr>
        <w:tc>
          <w:tcPr>
            <w:tcW w:type="dxa" w:w="610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Чистая приведённая стоимость (NPV)</w:t>
            </w:r>
          </w:p>
        </w:tc>
        <w:tc>
          <w:tcPr>
            <w:tcW w:type="dxa" w:w="324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2 840 тыс. руб.</w:t>
            </w:r>
          </w:p>
        </w:tc>
      </w:tr>
      <w:tr>
        <w:tc>
          <w:tcPr>
            <w:tcW w:type="dxa" w:w="610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Внутренняя норма доходности (IRR)</w:t>
            </w:r>
          </w:p>
        </w:tc>
        <w:tc>
          <w:tcPr>
            <w:tcW w:type="dxa" w:w="324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74 %</w:t>
            </w:r>
          </w:p>
        </w:tc>
      </w:tr>
      <w:tr>
        <w:tc>
          <w:tcPr>
            <w:tcW w:type="dxa" w:w="610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Индекс доходности (PI)</w:t>
            </w:r>
          </w:p>
        </w:tc>
        <w:tc>
          <w:tcPr>
            <w:tcW w:type="dxa" w:w="324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2,19</w:t>
            </w:r>
          </w:p>
        </w:tc>
      </w:tr>
      <w:tr>
        <w:tc>
          <w:tcPr>
            <w:tcW w:type="dxa" w:w="610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Срок окупаемости</w:t>
            </w:r>
          </w:p>
        </w:tc>
        <w:tc>
          <w:tcPr>
            <w:tcW w:type="dxa" w:w="3247"/>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 года 1 месяц</w:t>
            </w:r>
          </w:p>
        </w:tc>
      </w:tr>
    </w:tbl>
    <w:p>
      <w:pPr>
        <w:spacing w:line="360" w:lineRule="auto" w:before="0" w:after="12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Положительная чистая приведённая стоимость означает, что проект окупает вложения с учётом принятой нормы доходности.</w:t>
      </w:r>
    </w:p>
    <w:p>
      <w:pPr>
        <w:spacing w:line="360" w:lineRule="auto" w:before="0" w:after="0"/>
        <w:ind w:firstLine="709" w:left="0" w:right="0"/>
        <w:jc w:val="both"/>
      </w:pPr>
      <w:r>
        <w:rPr>
          <w:rFonts w:ascii="Times New Roman" w:hAnsi="Times New Roman" w:cs="Times New Roman" w:eastAsia="Times New Roman"/>
          <w:b w:val="0"/>
          <w:i w:val="0"/>
          <w:color w:val="000000"/>
          <w:sz w:val="28"/>
        </w:rPr>
        <w:t>Величина внутренней нормы доходности требует оговорки. Она отражает доходность не деятельности предприятия, а конкретного вложения, и высока прежде всего вследствие малой базы: разработка платформы выполнена и оплачена грантом Фонда содействия инновациям, поэтому инвестируются только оборотные средства на вывод продукта на рынок, тогда как созданный актив в расчёт вложений не входит. Если отнести к вложениям и сумму гранта, доходность оказалась бы существенно ниже.</w:t>
      </w:r>
    </w:p>
    <w:p>
      <w:pPr>
        <w:spacing w:line="360" w:lineRule="auto" w:before="0" w:after="0"/>
        <w:ind w:firstLine="709" w:left="0" w:right="0"/>
        <w:jc w:val="both"/>
      </w:pPr>
      <w:r>
        <w:rPr>
          <w:rFonts w:ascii="Times New Roman" w:hAnsi="Times New Roman" w:cs="Times New Roman" w:eastAsia="Times New Roman"/>
          <w:b w:val="0"/>
          <w:i w:val="0"/>
          <w:color w:val="000000"/>
          <w:sz w:val="28"/>
        </w:rPr>
        <w:t>Показатель чувствителен к отклонениям в сроках: при малой базе смещение поступлений на несколько месяцев изменяет его на десятки процентных пунктов. Поэтому основным показателем эффективности принята чистая приведённая стоимость, не зависящая от соотношения вложенной суммы и потока, а внутренняя норма доходности приведена как дополнительная.</w:t>
      </w:r>
    </w:p>
    <w:p>
      <w:pPr>
        <w:spacing w:line="360" w:lineRule="auto" w:before="0" w:after="0"/>
        <w:ind w:firstLine="709" w:left="0" w:right="0"/>
        <w:jc w:val="both"/>
      </w:pPr>
      <w:r>
        <w:rPr>
          <w:rFonts w:ascii="Times New Roman" w:hAnsi="Times New Roman" w:cs="Times New Roman" w:eastAsia="Times New Roman"/>
          <w:b w:val="0"/>
          <w:i w:val="0"/>
          <w:color w:val="000000"/>
          <w:sz w:val="28"/>
        </w:rPr>
        <w:t>Индекс доходности 2,19 показывает, что приведённые поступления вдвое превышают вложения. Срок окупаемости 2 года 1 месяц определяется не рентабельностью, а темпом набора клиентской базы: продукт становится прибыльным при 18 заказчиках (раздел 7), и продолжительность периода до достижения этого числа задаётся возможностями сбыта.</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Устойчивость плана к отклонениям</w:t>
      </w:r>
    </w:p>
    <w:p>
      <w:pPr>
        <w:spacing w:line="360" w:lineRule="auto" w:before="0" w:after="0"/>
        <w:ind w:firstLine="709" w:left="0" w:right="0"/>
        <w:jc w:val="both"/>
      </w:pPr>
      <w:r>
        <w:rPr>
          <w:rFonts w:ascii="Times New Roman" w:hAnsi="Times New Roman" w:cs="Times New Roman" w:eastAsia="Times New Roman"/>
          <w:b w:val="0"/>
          <w:i w:val="0"/>
          <w:color w:val="000000"/>
          <w:sz w:val="28"/>
        </w:rPr>
        <w:t>Запас средств составляет 404 тыс. рублей на конец первого года и 329 тыс. рублей в наименьшей точке второго года – около полутора месяцев расходов начального периода. Осуществимость плана опирается на два допущения, проверяемых не ранее пилотных внедрений: подключение 30 заведений за первый год (раздел 4.4) и отсутствие оттока заказчиков (раздел 4.5).</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38" w:name="_Tbl_14_4"/>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38"/>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Отклонения от плана и меры реагирования</w:t>
      </w:r>
    </w:p>
    <w:tbl>
      <w:tblPr>
        <w:tblStyle w:val="TableGrid"/>
        <w:tblW w:type="auto" w:w="0"/>
        <w:jc w:val="center"/>
        <w:tblLayout w:type="fixed"/>
        <w:tblLook w:firstColumn="1" w:firstRow="1" w:lastColumn="0" w:lastRow="0" w:noHBand="0" w:noVBand="1" w:val="04A0"/>
      </w:tblPr>
      <w:tblGrid>
        <w:gridCol w:w="2423"/>
        <w:gridCol w:w="2840"/>
        <w:gridCol w:w="4091"/>
      </w:tblGrid>
      <w:tr>
        <w:trPr>
          <w:tblHeader/>
        </w:trPr>
        <w:tc>
          <w:tcPr>
            <w:tcW w:type="dxa" w:w="2423"/>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Отклонение</w:t>
            </w:r>
          </w:p>
        </w:tc>
        <w:tc>
          <w:tcPr>
            <w:tcW w:type="dxa" w:w="2840"/>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Влияние</w:t>
            </w:r>
          </w:p>
        </w:tc>
        <w:tc>
          <w:tcPr>
            <w:tcW w:type="dxa" w:w="4091"/>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Мера</w:t>
            </w:r>
          </w:p>
        </w:tc>
      </w:tr>
      <w:tr>
        <w:tc>
          <w:tcPr>
            <w:tcW w:type="dxa" w:w="242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Подключено 20 заведений вместо 30</w:t>
            </w:r>
          </w:p>
        </w:tc>
        <w:tc>
          <w:tcPr>
            <w:tcW w:type="dxa" w:w="28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Выручка первого года ниже на 0,36 млн руб.</w:t>
            </w:r>
          </w:p>
        </w:tc>
        <w:tc>
          <w:tcPr>
            <w:tcW w:type="dxa" w:w="409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Перенос приёма второго специалиста по внедрению; сокращение бюджета продвижения</w:t>
            </w:r>
          </w:p>
        </w:tc>
      </w:tr>
      <w:tr>
        <w:tc>
          <w:tcPr>
            <w:tcW w:type="dxa" w:w="242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Отток 10 % заказчиков в год</w:t>
            </w:r>
          </w:p>
        </w:tc>
        <w:tc>
          <w:tcPr>
            <w:tcW w:type="dxa" w:w="28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Выручка третьего года ниже на 1,65 млн руб.</w:t>
            </w:r>
          </w:p>
        </w:tc>
        <w:tc>
          <w:tcPr>
            <w:tcW w:type="dxa" w:w="409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Не требует изменения плана финансирования</w:t>
            </w:r>
          </w:p>
        </w:tc>
      </w:tr>
      <w:tr>
        <w:tc>
          <w:tcPr>
            <w:tcW w:type="dxa" w:w="242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Задержка пилота на 2 месяца</w:t>
            </w:r>
          </w:p>
        </w:tc>
        <w:tc>
          <w:tcPr>
            <w:tcW w:type="dxa" w:w="28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Сдвиг всех поступлений на 2 месяца</w:t>
            </w:r>
          </w:p>
        </w:tc>
        <w:tc>
          <w:tcPr>
            <w:tcW w:type="dxa" w:w="409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Покрывается резервом; перенос найма не требуется</w:t>
            </w:r>
          </w:p>
        </w:tc>
      </w:tr>
      <w:tr>
        <w:tc>
          <w:tcPr>
            <w:tcW w:type="dxa" w:w="2423"/>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Получение гранта «Старт-1»</w:t>
            </w:r>
          </w:p>
        </w:tc>
        <w:tc>
          <w:tcPr>
            <w:tcW w:type="dxa" w:w="28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Дополнительно до 4 млн руб. во втором году</w:t>
            </w:r>
          </w:p>
        </w:tc>
        <w:tc>
          <w:tcPr>
            <w:tcW w:type="dxa" w:w="409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Ускорение найма, разработка интеграции с r_keeper</w:t>
            </w:r>
          </w:p>
        </w:tc>
      </w:tr>
    </w:tbl>
    <w:p>
      <w:pPr>
        <w:spacing w:line="360" w:lineRule="auto" w:before="0" w:after="12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Отклонения покрываются переносом найма: расходы на оплату труда составляют 84 % сметы первого года (раздел 7), и привязка найма к достигнутым результатам, а не к календарю (раздел 5), сохраняет платёжеспособность при замедлении продаж ценой замедления роста.</w:t>
      </w:r>
    </w:p>
    <w:p>
      <w:pPr>
        <w:spacing w:line="360" w:lineRule="auto" w:before="0" w:after="0"/>
        <w:ind w:firstLine="709" w:left="0" w:right="0"/>
        <w:jc w:val="both"/>
      </w:pPr>
      <w:r>
        <w:rPr>
          <w:rFonts w:ascii="Times New Roman" w:hAnsi="Times New Roman" w:cs="Times New Roman" w:eastAsia="Times New Roman"/>
          <w:b w:val="0"/>
          <w:i w:val="0"/>
          <w:color w:val="000000"/>
          <w:sz w:val="28"/>
        </w:rPr>
        <w:t>Устойчивость плана обеспечивается прежде всего налоговым режимом: освобождение от страховых взносов на АУСН сокращает расходы первого года на 280 тыс. рублей и второго на 533 тыс. При общей системе налогообложения наименьший остаток средств составил бы 28,7 тыс. рублей, и любое отклонение от плана продаж потребовало бы дополнительного финансирования. Утрата права на АУСН вследствие превышения численности до истечения второго года является поэтому самостоятельным риском, учитываемым при планировании найма.</w:t>
      </w:r>
    </w:p>
    <w:p>
      <w:pPr>
        <w:pStyle w:val="Heading1"/>
        <w:keepNext/>
        <w:pageBreakBefore/>
        <w:spacing w:line="360" w:lineRule="auto" w:before="0" w:after="0"/>
        <w:ind w:firstLine="709" w:left="0" w:right="0"/>
        <w:jc w:val="both"/>
      </w:pPr>
      <w:r>
        <w:rPr>
          <w:rFonts w:ascii="Times New Roman" w:hAnsi="Times New Roman" w:cs="Times New Roman" w:eastAsia="Times New Roman"/>
          <w:b/>
          <w:i w:val="0"/>
          <w:color w:val="000000"/>
          <w:sz w:val="28"/>
        </w:rPr>
        <w:t>9 Анализ рисков</w:t>
      </w:r>
    </w:p>
    <w:p>
      <w:pPr>
        <w:spacing w:line="360" w:lineRule="auto" w:before="0" w:after="0"/>
        <w:ind w:firstLine="709" w:left="0" w:right="0"/>
        <w:jc w:val="both"/>
      </w:pPr>
      <w:r>
        <w:rPr>
          <w:rFonts w:ascii="Times New Roman" w:hAnsi="Times New Roman" w:cs="Times New Roman" w:eastAsia="Times New Roman"/>
          <w:b w:val="0"/>
          <w:i w:val="0"/>
          <w:color w:val="000000"/>
          <w:sz w:val="28"/>
        </w:rPr>
        <w:t>Риск – вероятное событие, наступление которого изменяет условия осуществления проекта. Настоящий раздел выделяет события, способные повлиять на достижение показателей разделов 7 и 8, оценивает их вероятность и влияние и определяет мероприятия по снижению для рисков высокого уровня.</w:t>
      </w:r>
    </w:p>
    <w:p>
      <w:pPr>
        <w:spacing w:line="360" w:lineRule="auto" w:before="0" w:after="0"/>
        <w:ind w:firstLine="709" w:left="0" w:right="0"/>
        <w:jc w:val="both"/>
      </w:pPr>
      <w:r>
        <w:rPr>
          <w:rFonts w:ascii="Times New Roman" w:hAnsi="Times New Roman" w:cs="Times New Roman" w:eastAsia="Times New Roman"/>
          <w:b w:val="0"/>
          <w:i w:val="0"/>
          <w:color w:val="000000"/>
          <w:sz w:val="28"/>
        </w:rPr>
        <w:t>Перечень намеренно ограничен рисками, специфичными для настоящего проекта. Общие для любого предприятия обстоятельства – болезнь работника, ошибки в оценке трудоёмкости, отказ оборудования – учтены не отдельными позициями, а порядком планирования: наём привязан к достигнутым результатам, а не к календарю (раздел 5), и в плане первого года предусмотрен резерв 291 тыс. рублей (раздел 8).</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Перечень рисков</w:t>
      </w:r>
    </w:p>
    <w:p>
      <w:pPr>
        <w:pStyle w:val="Caption"/>
        <w:keepNext/>
        <w:spacing w:line="240" w:lineRule="auto" w:before="120" w:after="0"/>
        <w:ind w:firstLine="0" w:left="0" w:right="0"/>
        <w:jc w:val="left"/>
      </w:pPr>
      <w:r>
        <w:rPr>
          <w:rFonts w:ascii="Times New Roman" w:hAnsi="Times New Roman" w:cs="Times New Roman" w:eastAsia="Times New Roman"/>
          <w:b w:val="0"/>
          <w:i w:val="0"/>
          <w:color w:val="000000"/>
          <w:sz w:val="28"/>
        </w:rPr>
        <w:t xml:space="preserve">Таблица </w:t>
      </w:r>
      <w:bookmarkStart w:id="39" w:name="_Tbl_15_1"/>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Таблица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39"/>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Перечень рисков проекта</w:t>
      </w:r>
    </w:p>
    <w:tbl>
      <w:tblPr>
        <w:tblStyle w:val="TableGrid"/>
        <w:tblW w:type="auto" w:w="0"/>
        <w:jc w:val="center"/>
        <w:tblLayout w:type="fixed"/>
        <w:tblLook w:firstColumn="1" w:firstRow="1" w:lastColumn="0" w:lastRow="0" w:noHBand="0" w:noVBand="1" w:val="04A0"/>
      </w:tblPr>
      <w:tblGrid>
        <w:gridCol w:w="878"/>
        <w:gridCol w:w="1940"/>
        <w:gridCol w:w="5014"/>
        <w:gridCol w:w="1521"/>
      </w:tblGrid>
      <w:tr>
        <w:trPr>
          <w:tblHeader/>
        </w:trPr>
        <w:tc>
          <w:tcPr>
            <w:tcW w:type="dxa" w:w="878"/>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w:t>
            </w:r>
          </w:p>
        </w:tc>
        <w:tc>
          <w:tcPr>
            <w:tcW w:type="dxa" w:w="1940"/>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Группа</w:t>
            </w:r>
          </w:p>
        </w:tc>
        <w:tc>
          <w:tcPr>
            <w:tcW w:type="dxa" w:w="5014"/>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Риск</w:t>
            </w:r>
          </w:p>
        </w:tc>
        <w:tc>
          <w:tcPr>
            <w:tcW w:type="dxa" w:w="1521"/>
          </w:tcPr>
          <w:p>
            <w:pPr>
              <w:spacing w:line="240" w:lineRule="auto" w:before="0" w:after="0"/>
              <w:ind w:firstLine="0" w:left="0" w:right="0"/>
              <w:jc w:val="center"/>
            </w:pPr>
            <w:r>
              <w:rPr>
                <w:b/>
                <w:sz w:val="24"/>
              </w:rPr>
            </w:r>
            <w:r>
              <w:rPr>
                <w:rFonts w:ascii="Times New Roman" w:hAnsi="Times New Roman" w:cs="Times New Roman" w:eastAsia="Times New Roman"/>
                <w:b/>
                <w:i w:val="0"/>
                <w:color w:val="000000"/>
                <w:sz w:val="24"/>
              </w:rPr>
              <w:t>Источник</w:t>
            </w:r>
          </w:p>
        </w:tc>
      </w:tr>
      <w:tr>
        <w:tc>
          <w:tcPr>
            <w:tcW w:type="dxa" w:w="87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w:t>
            </w:r>
          </w:p>
        </w:tc>
        <w:tc>
          <w:tcPr>
            <w:tcW w:type="dxa" w:w="19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Отраслевые</w:t>
            </w:r>
          </w:p>
        </w:tc>
        <w:tc>
          <w:tcPr>
            <w:tcW w:type="dxa" w:w="501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Снижение платёжеспособности заведений вследствие роста налоговой нагрузки</w:t>
            </w:r>
          </w:p>
        </w:tc>
        <w:tc>
          <w:tcPr>
            <w:tcW w:type="dxa" w:w="152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Внешний</w:t>
            </w:r>
          </w:p>
        </w:tc>
      </w:tr>
      <w:tr>
        <w:tc>
          <w:tcPr>
            <w:tcW w:type="dxa" w:w="87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2</w:t>
            </w:r>
          </w:p>
        </w:tc>
        <w:tc>
          <w:tcPr>
            <w:tcW w:type="dxa" w:w="19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Отраслевые</w:t>
            </w:r>
          </w:p>
        </w:tc>
        <w:tc>
          <w:tcPr>
            <w:tcW w:type="dxa" w:w="501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Продолжение сокращения числа предприятий общественного питания</w:t>
            </w:r>
          </w:p>
        </w:tc>
        <w:tc>
          <w:tcPr>
            <w:tcW w:type="dxa" w:w="152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Внешний</w:t>
            </w:r>
          </w:p>
        </w:tc>
      </w:tr>
      <w:tr>
        <w:tc>
          <w:tcPr>
            <w:tcW w:type="dxa" w:w="87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3</w:t>
            </w:r>
          </w:p>
        </w:tc>
        <w:tc>
          <w:tcPr>
            <w:tcW w:type="dxa" w:w="19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Конкурентные</w:t>
            </w:r>
          </w:p>
        </w:tc>
        <w:tc>
          <w:tcPr>
            <w:tcW w:type="dxa" w:w="501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Появление рекомендаций официанту у платформ лояльности и систем учёта</w:t>
            </w:r>
          </w:p>
        </w:tc>
        <w:tc>
          <w:tcPr>
            <w:tcW w:type="dxa" w:w="152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Внешний</w:t>
            </w:r>
          </w:p>
        </w:tc>
      </w:tr>
      <w:tr>
        <w:tc>
          <w:tcPr>
            <w:tcW w:type="dxa" w:w="87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4</w:t>
            </w:r>
          </w:p>
        </w:tc>
        <w:tc>
          <w:tcPr>
            <w:tcW w:type="dxa" w:w="19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Технологические</w:t>
            </w:r>
          </w:p>
        </w:tc>
        <w:tc>
          <w:tcPr>
            <w:tcW w:type="dxa" w:w="501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Изменение условий доступа к программному интерфейсу iiko</w:t>
            </w:r>
          </w:p>
        </w:tc>
        <w:tc>
          <w:tcPr>
            <w:tcW w:type="dxa" w:w="152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Внешний</w:t>
            </w:r>
          </w:p>
        </w:tc>
      </w:tr>
      <w:tr>
        <w:tc>
          <w:tcPr>
            <w:tcW w:type="dxa" w:w="87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5</w:t>
            </w:r>
          </w:p>
        </w:tc>
        <w:tc>
          <w:tcPr>
            <w:tcW w:type="dxa" w:w="19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Технологические</w:t>
            </w:r>
          </w:p>
        </w:tc>
        <w:tc>
          <w:tcPr>
            <w:tcW w:type="dxa" w:w="501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Зависимость от единственной системы учёта в первый год</w:t>
            </w:r>
          </w:p>
        </w:tc>
        <w:tc>
          <w:tcPr>
            <w:tcW w:type="dxa" w:w="152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Внутренний</w:t>
            </w:r>
          </w:p>
        </w:tc>
      </w:tr>
      <w:tr>
        <w:tc>
          <w:tcPr>
            <w:tcW w:type="dxa" w:w="87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6</w:t>
            </w:r>
          </w:p>
        </w:tc>
        <w:tc>
          <w:tcPr>
            <w:tcW w:type="dxa" w:w="19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Технологические</w:t>
            </w:r>
          </w:p>
        </w:tc>
        <w:tc>
          <w:tcPr>
            <w:tcW w:type="dxa" w:w="501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Отказ сервиса или утрата данных заказчика</w:t>
            </w:r>
          </w:p>
        </w:tc>
        <w:tc>
          <w:tcPr>
            <w:tcW w:type="dxa" w:w="152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Внутренний</w:t>
            </w:r>
          </w:p>
        </w:tc>
      </w:tr>
      <w:tr>
        <w:tc>
          <w:tcPr>
            <w:tcW w:type="dxa" w:w="87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7</w:t>
            </w:r>
          </w:p>
        </w:tc>
        <w:tc>
          <w:tcPr>
            <w:tcW w:type="dxa" w:w="19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Правовые</w:t>
            </w:r>
          </w:p>
        </w:tc>
        <w:tc>
          <w:tcPr>
            <w:tcW w:type="dxa" w:w="501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Нарушение установленного порядка обработки персональных данных</w:t>
            </w:r>
          </w:p>
        </w:tc>
        <w:tc>
          <w:tcPr>
            <w:tcW w:type="dxa" w:w="152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Внутренний</w:t>
            </w:r>
          </w:p>
        </w:tc>
      </w:tr>
      <w:tr>
        <w:tc>
          <w:tcPr>
            <w:tcW w:type="dxa" w:w="87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8</w:t>
            </w:r>
          </w:p>
        </w:tc>
        <w:tc>
          <w:tcPr>
            <w:tcW w:type="dxa" w:w="19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Правовые</w:t>
            </w:r>
          </w:p>
        </w:tc>
        <w:tc>
          <w:tcPr>
            <w:tcW w:type="dxa" w:w="501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Утрата права на применение АУСН вследствие роста численности</w:t>
            </w:r>
          </w:p>
        </w:tc>
        <w:tc>
          <w:tcPr>
            <w:tcW w:type="dxa" w:w="152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Внутренний</w:t>
            </w:r>
          </w:p>
        </w:tc>
      </w:tr>
      <w:tr>
        <w:tc>
          <w:tcPr>
            <w:tcW w:type="dxa" w:w="87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9</w:t>
            </w:r>
          </w:p>
        </w:tc>
        <w:tc>
          <w:tcPr>
            <w:tcW w:type="dxa" w:w="19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Коммерческие</w:t>
            </w:r>
          </w:p>
        </w:tc>
        <w:tc>
          <w:tcPr>
            <w:tcW w:type="dxa" w:w="501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Недостижение планового числа подключений</w:t>
            </w:r>
          </w:p>
        </w:tc>
        <w:tc>
          <w:tcPr>
            <w:tcW w:type="dxa" w:w="152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Внутренний</w:t>
            </w:r>
          </w:p>
        </w:tc>
      </w:tr>
      <w:tr>
        <w:tc>
          <w:tcPr>
            <w:tcW w:type="dxa" w:w="87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10</w:t>
            </w:r>
          </w:p>
        </w:tc>
        <w:tc>
          <w:tcPr>
            <w:tcW w:type="dxa" w:w="19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Коммерческие</w:t>
            </w:r>
          </w:p>
        </w:tc>
        <w:tc>
          <w:tcPr>
            <w:tcW w:type="dxa" w:w="501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Отток заказчиков выше принятого в расчётах</w:t>
            </w:r>
          </w:p>
        </w:tc>
        <w:tc>
          <w:tcPr>
            <w:tcW w:type="dxa" w:w="152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Внешний</w:t>
            </w:r>
          </w:p>
        </w:tc>
      </w:tr>
      <w:tr>
        <w:tc>
          <w:tcPr>
            <w:tcW w:type="dxa" w:w="878"/>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11</w:t>
            </w:r>
          </w:p>
        </w:tc>
        <w:tc>
          <w:tcPr>
            <w:tcW w:type="dxa" w:w="1940"/>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Кадровые</w:t>
            </w:r>
          </w:p>
        </w:tc>
        <w:tc>
          <w:tcPr>
            <w:tcW w:type="dxa" w:w="5014"/>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Уход работника, замещающего ключевую должность</w:t>
            </w:r>
          </w:p>
        </w:tc>
        <w:tc>
          <w:tcPr>
            <w:tcW w:type="dxa" w:w="1521"/>
          </w:tcPr>
          <w:p>
            <w:pPr>
              <w:spacing w:line="240" w:lineRule="auto" w:before="0" w:after="0"/>
              <w:ind w:firstLine="0" w:left="0" w:right="0"/>
              <w:jc w:val="left"/>
            </w:pPr>
            <w:r>
              <w:rPr>
                <w:sz w:val="24"/>
              </w:rPr>
            </w:r>
            <w:r>
              <w:rPr>
                <w:rFonts w:ascii="Times New Roman" w:hAnsi="Times New Roman" w:cs="Times New Roman" w:eastAsia="Times New Roman"/>
                <w:b w:val="0"/>
                <w:i w:val="0"/>
                <w:color w:val="000000"/>
                <w:sz w:val="24"/>
              </w:rPr>
              <w:t>Внутренний</w:t>
            </w:r>
          </w:p>
        </w:tc>
      </w:tr>
    </w:tbl>
    <w:p>
      <w:pPr>
        <w:spacing w:line="360" w:lineRule="auto" w:before="0" w:after="12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 xml:space="preserve">Оценка вероятности и влияния приведена на </w:t>
      </w:r>
      <w:r>
        <w:rPr>
          <w:rFonts w:ascii="Times New Roman" w:hAnsi="Times New Roman" w:cs="Times New Roman" w:eastAsia="Times New Roman"/>
          <w:b w:val="0"/>
          <w:i w:val="0"/>
          <w:color w:val="000000"/>
          <w:sz w:val="28"/>
        </w:rPr>
        <w:t xml:space="preserve">рисунке </w:t>
      </w:r>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REF _Fig_15_1 \h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r>
        <w:rPr>
          <w:rFonts w:ascii="Times New Roman" w:hAnsi="Times New Roman" w:cs="Times New Roman" w:eastAsia="Times New Roman"/>
          <w:b w:val="0"/>
          <w:i w:val="0"/>
          <w:color w:val="000000"/>
          <w:sz w:val="28"/>
        </w:rPr>
        <w:t>. Влияние определено по последствию для показателей финансового плана: высокое – недостижение плановой выручки или утрата платёжеспособности, среднее – рост расходов или смещение сроков в пределах резерва.</w:t>
      </w:r>
    </w:p>
    <w:p>
      <w:pPr>
        <w:keepNext/>
        <w:spacing w:line="360" w:lineRule="auto" w:before="0" w:after="0"/>
        <w:ind w:firstLine="0" w:left="0" w:right="0"/>
        <w:jc w:val="center"/>
      </w:pPr>
      <w:r>
        <w:drawing>
          <wp:inline xmlns:a="http://schemas.openxmlformats.org/drawingml/2006/main" xmlns:pic="http://schemas.openxmlformats.org/drawingml/2006/picture">
            <wp:extent cx="5400000" cy="3292683"/>
            <wp:docPr id="3" name="Picture 3"/>
            <wp:cNvGraphicFramePr>
              <a:graphicFrameLocks noChangeAspect="1"/>
            </wp:cNvGraphicFramePr>
            <a:graphic>
              <a:graphicData uri="http://schemas.openxmlformats.org/drawingml/2006/picture">
                <pic:pic>
                  <pic:nvPicPr>
                    <pic:cNvPr id="0" name="risks.png"/>
                    <pic:cNvPicPr/>
                  </pic:nvPicPr>
                  <pic:blipFill>
                    <a:blip r:embed="rId12"/>
                    <a:stretch>
                      <a:fillRect/>
                    </a:stretch>
                  </pic:blipFill>
                  <pic:spPr>
                    <a:xfrm>
                      <a:off x="0" y="0"/>
                      <a:ext cx="5400000" cy="3292683"/>
                    </a:xfrm>
                    <a:prstGeom prst="rect"/>
                  </pic:spPr>
                </pic:pic>
              </a:graphicData>
            </a:graphic>
          </wp:inline>
        </w:drawing>
      </w:r>
    </w:p>
    <w:p>
      <w:pPr>
        <w:pStyle w:val="Caption"/>
        <w:keepNext w:val="0"/>
        <w:spacing w:line="240" w:lineRule="auto" w:before="120" w:after="0"/>
        <w:ind w:firstLine="0" w:left="0" w:right="0"/>
        <w:jc w:val="center"/>
      </w:pPr>
      <w:r>
        <w:rPr>
          <w:rFonts w:ascii="Times New Roman" w:hAnsi="Times New Roman" w:cs="Times New Roman" w:eastAsia="Times New Roman"/>
          <w:b w:val="0"/>
          <w:i w:val="0"/>
          <w:color w:val="000000"/>
          <w:sz w:val="28"/>
        </w:rPr>
        <w:t xml:space="preserve">Рисунок </w:t>
      </w:r>
      <w:bookmarkStart w:id="40" w:name="_Fig_15_1"/>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SEQ Рисунок \* ARABIC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1</w:t>
      </w:r>
      <w:r>
        <w:rPr>
          <w:rFonts w:ascii="Times New Roman" w:hAnsi="Times New Roman" w:cs="Times New Roman" w:eastAsia="Times New Roman"/>
          <w:b w:val="0"/>
          <w:i w:val="0"/>
          <w:color w:val="000000"/>
          <w:sz w:val="28"/>
        </w:rPr>
        <w:fldChar w:fldCharType="end"/>
      </w:r>
      <w:bookmarkEnd w:id="40"/>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val="0"/>
          <w:i w:val="0"/>
          <w:color w:val="000000"/>
          <w:sz w:val="28"/>
        </w:rPr>
        <w:t>Матрица рисков</w:t>
      </w:r>
    </w:p>
    <w:p>
      <w:pPr>
        <w:spacing w:line="360" w:lineRule="auto" w:before="0" w:after="0"/>
        <w:ind w:firstLine="0" w:left="0" w:right="0"/>
        <w:jc w:val="both"/>
      </w:pPr>
    </w:p>
    <w:p>
      <w:pPr>
        <w:spacing w:line="360" w:lineRule="auto" w:before="0" w:after="0"/>
        <w:ind w:firstLine="709" w:left="0" w:right="0"/>
        <w:jc w:val="both"/>
      </w:pPr>
      <w:r>
        <w:rPr>
          <w:rFonts w:ascii="Times New Roman" w:hAnsi="Times New Roman" w:cs="Times New Roman" w:eastAsia="Times New Roman"/>
          <w:b w:val="0"/>
          <w:i w:val="0"/>
          <w:color w:val="000000"/>
          <w:sz w:val="28"/>
        </w:rPr>
        <w:t>Рисков низкого влияния перечень не содержит: события такого уровня поглощаются резервом и отдельного рассмотрения не требуют.</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Отраслевые риски</w:t>
      </w:r>
    </w:p>
    <w:p>
      <w:pPr>
        <w:spacing w:line="360" w:lineRule="auto" w:before="0" w:after="0"/>
        <w:ind w:firstLine="709" w:left="0" w:right="0"/>
        <w:jc w:val="both"/>
      </w:pPr>
      <w:r>
        <w:rPr>
          <w:rFonts w:ascii="Times New Roman" w:hAnsi="Times New Roman" w:cs="Times New Roman" w:eastAsia="Times New Roman"/>
          <w:b/>
          <w:i w:val="0"/>
          <w:color w:val="000000"/>
          <w:sz w:val="28"/>
        </w:rPr>
        <w:t>Риск 1. Снижение платёжеспособности заведений.</w:t>
      </w:r>
      <w:r>
        <w:rPr>
          <w:rFonts w:ascii="Times New Roman" w:hAnsi="Times New Roman" w:cs="Times New Roman" w:eastAsia="Times New Roman"/>
          <w:b w:val="0"/>
          <w:i w:val="0"/>
          <w:color w:val="000000"/>
          <w:sz w:val="28"/>
        </w:rPr>
        <w:t xml:space="preserve"> Порог выручки, дающий право на освобождение от налога на добавленную стоимость при упрощённой системе налогообложения, последовательно снижается: 60 млн рублей в 2025 году, 20 млн в 2026, 15 млн в 2027 и 10 млн в 2028 году [42]. Законом от 25 апреля 2026 года № 104-ФЗ для предприятий общественного питания введено временное освобождение на период с 1 апреля по 31 декабря 2026 года с отменой требования к уровню средней заработной платы [43]; действие освобождения ограничено 2026 годом.</w:t>
      </w:r>
    </w:p>
    <w:p>
      <w:pPr>
        <w:spacing w:line="360" w:lineRule="auto" w:before="0" w:after="0"/>
        <w:ind w:firstLine="709" w:left="0" w:right="0"/>
        <w:jc w:val="both"/>
      </w:pPr>
      <w:r>
        <w:rPr>
          <w:rFonts w:ascii="Times New Roman" w:hAnsi="Times New Roman" w:cs="Times New Roman" w:eastAsia="Times New Roman"/>
          <w:b w:val="0"/>
          <w:i w:val="0"/>
          <w:color w:val="000000"/>
          <w:sz w:val="28"/>
        </w:rPr>
        <w:t>Для целевого сегмента послабление имеет ограниченное значение. Заведение с 1 000 заказов в месяц при среднем чеке 2 710 рублей (раздел 4.2) имеет годовой оборот около 32,5 млн рублей, то есть превышает порог 2026 года и все последующие. Типичный заказчик является плательщиком налога на добавленную стоимость, и налоговая нагрузка на него возрастает в течение всего рассматриваемого горизонта.</w:t>
      </w:r>
    </w:p>
    <w:p>
      <w:pPr>
        <w:spacing w:line="360" w:lineRule="auto" w:before="0" w:after="0"/>
        <w:ind w:firstLine="709" w:left="0" w:right="0"/>
        <w:jc w:val="both"/>
      </w:pPr>
      <w:r>
        <w:rPr>
          <w:rFonts w:ascii="Times New Roman" w:hAnsi="Times New Roman" w:cs="Times New Roman" w:eastAsia="Times New Roman"/>
          <w:b w:val="0"/>
          <w:i w:val="0"/>
          <w:color w:val="000000"/>
          <w:sz w:val="28"/>
        </w:rPr>
        <w:t>Риск отнесён к высокому по обоим измерениям: он реализуется в период, на который приходится первый год деятельности, и прямо влияет на готовность владельца принять решение о новом ежемесячном расходе.</w:t>
      </w:r>
    </w:p>
    <w:p>
      <w:pPr>
        <w:spacing w:line="360" w:lineRule="auto" w:before="0" w:after="0"/>
        <w:ind w:firstLine="709" w:left="0" w:right="0"/>
        <w:jc w:val="both"/>
      </w:pPr>
      <w:r>
        <w:rPr>
          <w:rFonts w:ascii="Times New Roman" w:hAnsi="Times New Roman" w:cs="Times New Roman" w:eastAsia="Times New Roman"/>
          <w:b w:val="0"/>
          <w:i w:val="0"/>
          <w:color w:val="000000"/>
          <w:sz w:val="28"/>
        </w:rPr>
        <w:t>Влияние риска не является односторонним. Рост налоговой нагрузки при исчерпанном ресурсе повышения цен (раздел 3) увеличивает ценность выручки с каждого пришедшего гостя, то есть той величины, на которую воздействует продукт. Обоснование покупки из соображения улучшения обслуживания смещается к соображению сохранения рентабельности. Это меняет содержание аргументации при продаже, но не устраняет затруднения: сокращение свободных средств у заказчика удлиняет срок принятия решения независимо от убедительности расчёта окупаемости.</w:t>
      </w:r>
    </w:p>
    <w:p>
      <w:pPr>
        <w:spacing w:line="360" w:lineRule="auto" w:before="0" w:after="0"/>
        <w:ind w:firstLine="709" w:left="0" w:right="0"/>
        <w:jc w:val="both"/>
      </w:pPr>
      <w:r>
        <w:rPr>
          <w:rFonts w:ascii="Times New Roman" w:hAnsi="Times New Roman" w:cs="Times New Roman" w:eastAsia="Times New Roman"/>
          <w:b/>
          <w:i w:val="0"/>
          <w:color w:val="000000"/>
          <w:sz w:val="28"/>
        </w:rPr>
        <w:t>Риск 2. Сокращение числа заведений.</w:t>
      </w:r>
      <w:r>
        <w:rPr>
          <w:rFonts w:ascii="Times New Roman" w:hAnsi="Times New Roman" w:cs="Times New Roman" w:eastAsia="Times New Roman"/>
          <w:b w:val="0"/>
          <w:i w:val="0"/>
          <w:color w:val="000000"/>
          <w:sz w:val="28"/>
        </w:rPr>
        <w:t xml:space="preserve"> За 2025 год ликвидировано 35,4 тыс. предприятий общественного питания, что почти на 10 % превышает показатель 2024 года [44]. В городах-миллионниках за год число ресторанов уменьшилось на 5 % (раздел 4.2). Сокращение уменьшает как ёмкость рынка, так и базу действующих заказчиков: закрытие заведения прекращает подписку независимо от качества сервиса.</w:t>
      </w:r>
    </w:p>
    <w:p>
      <w:pPr>
        <w:spacing w:line="360" w:lineRule="auto" w:before="0" w:after="0"/>
        <w:ind w:firstLine="709" w:left="0" w:right="0"/>
        <w:jc w:val="both"/>
      </w:pPr>
      <w:r>
        <w:rPr>
          <w:rFonts w:ascii="Times New Roman" w:hAnsi="Times New Roman" w:cs="Times New Roman" w:eastAsia="Times New Roman"/>
          <w:b w:val="0"/>
          <w:i w:val="0"/>
          <w:color w:val="000000"/>
          <w:sz w:val="28"/>
        </w:rPr>
        <w:t>Влияние оценено как среднее. Оценка ёмкости рынка (раздел 4.3) использует 6,6 % доступного объёма, вследствие чего сокращение сегмента на несколько процентов в год не создаёт ограничения для плана продаж. Значение риска состоит в другом: он задаёт нижнюю границу оттока, не зависящую от свойств продукта, и потому рассматривается совместно с риском 10.</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Конкурентные риски</w:t>
      </w:r>
    </w:p>
    <w:p>
      <w:pPr>
        <w:spacing w:line="360" w:lineRule="auto" w:before="0" w:after="0"/>
        <w:ind w:firstLine="709" w:left="0" w:right="0"/>
        <w:jc w:val="both"/>
      </w:pPr>
      <w:r>
        <w:rPr>
          <w:rFonts w:ascii="Times New Roman" w:hAnsi="Times New Roman" w:cs="Times New Roman" w:eastAsia="Times New Roman"/>
          <w:b/>
          <w:i w:val="0"/>
          <w:color w:val="000000"/>
          <w:sz w:val="28"/>
        </w:rPr>
        <w:t>Риск 3. Появление рекомендаций официанту у смежных решений.</w:t>
      </w:r>
      <w:r>
        <w:rPr>
          <w:rFonts w:ascii="Times New Roman" w:hAnsi="Times New Roman" w:cs="Times New Roman" w:eastAsia="Times New Roman"/>
          <w:b w:val="0"/>
          <w:i w:val="0"/>
          <w:color w:val="000000"/>
          <w:sz w:val="28"/>
        </w:rPr>
        <w:t xml:space="preserve"> Позиция, занимаемая продуктом, определяется получателем результата и моментом его получения (раздел 3). Платформы лояльности располагают данными о госте и применяют машинное обучение; недостающим является интерфейс для персонала зала. Разработка такого интерфейса для них технологически осуществима.</w:t>
      </w:r>
    </w:p>
    <w:p>
      <w:pPr>
        <w:spacing w:line="360" w:lineRule="auto" w:before="0" w:after="0"/>
        <w:ind w:firstLine="709" w:left="0" w:right="0"/>
        <w:jc w:val="both"/>
      </w:pPr>
      <w:r>
        <w:rPr>
          <w:rFonts w:ascii="Times New Roman" w:hAnsi="Times New Roman" w:cs="Times New Roman" w:eastAsia="Times New Roman"/>
          <w:b w:val="0"/>
          <w:i w:val="0"/>
          <w:color w:val="000000"/>
          <w:sz w:val="28"/>
        </w:rPr>
        <w:t>По состоянию на август 2026 года публично объявленных решений, выдающих официанту персональные рекомендации в момент обслуживания, у платформ лояльности и систем учёта не обнаружено; вывод раздела 4.1 о незанятости позиции сохраняет силу. Отдельного внимания заслуживает то обстоятельство, что платформа Plazius продвигается через каналы iiko, то есть в смежной нише у поставщика системы учёта имеется партнёр.</w:t>
      </w:r>
    </w:p>
    <w:p>
      <w:pPr>
        <w:spacing w:line="360" w:lineRule="auto" w:before="0" w:after="0"/>
        <w:ind w:firstLine="709" w:left="0" w:right="0"/>
        <w:jc w:val="both"/>
      </w:pPr>
      <w:r>
        <w:rPr>
          <w:rFonts w:ascii="Times New Roman" w:hAnsi="Times New Roman" w:cs="Times New Roman" w:eastAsia="Times New Roman"/>
          <w:b w:val="0"/>
          <w:i w:val="0"/>
          <w:color w:val="000000"/>
          <w:sz w:val="28"/>
        </w:rPr>
        <w:t>Вероятность оценена как средняя, влияние – как высокое: появление такой функции у поставщика, уже установленного в ресторане, обесценивает основное преимущество продукта.</w:t>
      </w:r>
    </w:p>
    <w:p>
      <w:pPr>
        <w:spacing w:line="360" w:lineRule="auto" w:before="0" w:after="0"/>
        <w:ind w:firstLine="709" w:left="0" w:right="0"/>
        <w:jc w:val="both"/>
      </w:pPr>
      <w:r>
        <w:rPr>
          <w:rFonts w:ascii="Times New Roman" w:hAnsi="Times New Roman" w:cs="Times New Roman" w:eastAsia="Times New Roman"/>
          <w:b w:val="0"/>
          <w:i w:val="0"/>
          <w:color w:val="000000"/>
          <w:sz w:val="28"/>
        </w:rPr>
        <w:t>Мероприятия. Первое – использование преимущества во времени: план предусматривает 30 подключений за первый год, и заведение с обученной на его данных моделью переключается на другого поставщика неохотно (раздел 3). Второе – накопление сведений, отсутствующих в системе учёта: заметки официантов о предпочтениях и аллергиях гостей образуют данные, которых у платформы лояльности нет и которые при переходе к другому поставщику теряются (раздел 4.5). Третье – ежеквартальный обзор функций смежных решений и объявлений поставщиков систем учёта.</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Технологические риски</w:t>
      </w:r>
    </w:p>
    <w:p>
      <w:pPr>
        <w:spacing w:line="360" w:lineRule="auto" w:before="0" w:after="0"/>
        <w:ind w:firstLine="709" w:left="0" w:right="0"/>
        <w:jc w:val="both"/>
      </w:pPr>
      <w:r>
        <w:rPr>
          <w:rFonts w:ascii="Times New Roman" w:hAnsi="Times New Roman" w:cs="Times New Roman" w:eastAsia="Times New Roman"/>
          <w:b/>
          <w:i w:val="0"/>
          <w:color w:val="000000"/>
          <w:sz w:val="28"/>
        </w:rPr>
        <w:t>Риск 4. Изменение условий доступа к программному интерфейсу iiko.</w:t>
      </w:r>
      <w:r>
        <w:rPr>
          <w:rFonts w:ascii="Times New Roman" w:hAnsi="Times New Roman" w:cs="Times New Roman" w:eastAsia="Times New Roman"/>
          <w:b w:val="0"/>
          <w:i w:val="0"/>
          <w:color w:val="000000"/>
          <w:sz w:val="28"/>
        </w:rPr>
        <w:t xml:space="preserve"> Доступ к интерфейсу и документации предоставляется разработчикам безвозмездно, партнёрский договор для интеграции стороннего решения с установленной у заказчика системой не требуется – этому соответствует модель «Custom» [45]. Наряду с ней предусмотрены модели «Connector» и «Solution», требующие сертификации интеграционного решения; в модели «Connector» ресторан оплачивает разработчику использование сертифицированного модуля начиная от 1 000 рублей в месяц за заведение [45].</w:t>
      </w:r>
    </w:p>
    <w:p>
      <w:pPr>
        <w:spacing w:line="360" w:lineRule="auto" w:before="0" w:after="0"/>
        <w:ind w:firstLine="709" w:left="0" w:right="0"/>
        <w:jc w:val="both"/>
      </w:pPr>
      <w:r>
        <w:rPr>
          <w:rFonts w:ascii="Times New Roman" w:hAnsi="Times New Roman" w:cs="Times New Roman" w:eastAsia="Times New Roman"/>
          <w:b w:val="0"/>
          <w:i w:val="0"/>
          <w:color w:val="000000"/>
          <w:sz w:val="28"/>
        </w:rPr>
        <w:t>Риск состоит в изменении этих условий: введении обязательной сертификации, установлении платы за обращения к интерфейсу либо ограничении состава предоставляемых данных. Вероятность оценена как средняя – сложившийся порядок предполагает свободный доступ, – влияние как высокое, поскольку работоспособность продукта определяется доступностью интерфейса.</w:t>
      </w:r>
    </w:p>
    <w:p>
      <w:pPr>
        <w:spacing w:line="360" w:lineRule="auto" w:before="0" w:after="0"/>
        <w:ind w:firstLine="709" w:left="0" w:right="0"/>
        <w:jc w:val="both"/>
      </w:pPr>
      <w:r>
        <w:rPr>
          <w:rFonts w:ascii="Times New Roman" w:hAnsi="Times New Roman" w:cs="Times New Roman" w:eastAsia="Times New Roman"/>
          <w:b w:val="0"/>
          <w:i w:val="0"/>
          <w:color w:val="000000"/>
          <w:sz w:val="28"/>
        </w:rPr>
        <w:t>Мероприятия. Обращение к интерфейсу системы учёта сосредоточено в отдельном модуле (раздел 6), вследствие чего изменение состава или формата предоставляемых данных затрагивает ограниченную часть кода. Прохождение сертификации по модели «Connector» рассматривается как приемлемый исход: при цене подписки 10 000 рублей плата в 1 000 рублей за заведение уменьшает валовую рентабельность с 87 до 77 %, что не делает продукт убыточным. Устранение зависимости обеспечивается разработкой интеграции с r_keeper, отнесённой к десятому месяцу первого года (раздел 5).</w:t>
      </w:r>
    </w:p>
    <w:p>
      <w:pPr>
        <w:spacing w:line="360" w:lineRule="auto" w:before="0" w:after="0"/>
        <w:ind w:firstLine="709" w:left="0" w:right="0"/>
        <w:jc w:val="both"/>
      </w:pPr>
      <w:r>
        <w:rPr>
          <w:rFonts w:ascii="Times New Roman" w:hAnsi="Times New Roman" w:cs="Times New Roman" w:eastAsia="Times New Roman"/>
          <w:b/>
          <w:i w:val="0"/>
          <w:color w:val="000000"/>
          <w:sz w:val="28"/>
        </w:rPr>
        <w:t>Риск 5. Зависимость от единственной системы учёта.</w:t>
      </w:r>
      <w:r>
        <w:rPr>
          <w:rFonts w:ascii="Times New Roman" w:hAnsi="Times New Roman" w:cs="Times New Roman" w:eastAsia="Times New Roman"/>
          <w:b w:val="0"/>
          <w:i w:val="0"/>
          <w:color w:val="000000"/>
          <w:sz w:val="28"/>
        </w:rPr>
        <w:t xml:space="preserve"> До завершения интеграции с r_keeper доступным является только сегмент заведений на iiko. Отказ в доступе либо продолжительная неработоспособность интерфейса в этот период останавливает подключения полностью.</w:t>
      </w:r>
    </w:p>
    <w:p>
      <w:pPr>
        <w:spacing w:line="360" w:lineRule="auto" w:before="0" w:after="0"/>
        <w:ind w:firstLine="709" w:left="0" w:right="0"/>
        <w:jc w:val="both"/>
      </w:pPr>
      <w:r>
        <w:rPr>
          <w:rFonts w:ascii="Times New Roman" w:hAnsi="Times New Roman" w:cs="Times New Roman" w:eastAsia="Times New Roman"/>
          <w:b w:val="0"/>
          <w:i w:val="0"/>
          <w:color w:val="000000"/>
          <w:sz w:val="28"/>
        </w:rPr>
        <w:t>Влияние оценено как среднее: событие смещает сроки, но не обесценивает созданный актив, поскольку модели рекомендаций от системы учёта не зависят и работают на выгруженных данных. Мероприятие – соблюдение срока разработки интеграции с r_keeper; при обнаружении признаков риска 4 срок подлежит переносу на более ранний.</w:t>
      </w:r>
    </w:p>
    <w:p>
      <w:pPr>
        <w:spacing w:line="360" w:lineRule="auto" w:before="0" w:after="0"/>
        <w:ind w:firstLine="709" w:left="0" w:right="0"/>
        <w:jc w:val="both"/>
      </w:pPr>
      <w:r>
        <w:rPr>
          <w:rFonts w:ascii="Times New Roman" w:hAnsi="Times New Roman" w:cs="Times New Roman" w:eastAsia="Times New Roman"/>
          <w:b w:val="0"/>
          <w:i w:val="0"/>
          <w:color w:val="000000"/>
          <w:sz w:val="28"/>
        </w:rPr>
        <w:t>Сходной природы зависимость от мессенджера, служащего рабочим местом официанта. Прототип выполнен на платформе Telegram, доступ к которой ограничен на территории Российской Федерации, вследствие чего рабочим местом принят бот в мессенджере MAX (раздел 2). Событие такого рода уже реализовалось и показало действительную величину последствий: замене подлежит клиентский модуль, оцениваемый в 40 человеко-часов, тогда как база данных, рекомендательное ядро и интеграция с системой учёта изменений не требуют. Отделение интерфейса от расчётной части является поэтому не только техническим решением, но и мерой снижения риска.</w:t>
      </w:r>
    </w:p>
    <w:p>
      <w:pPr>
        <w:spacing w:line="360" w:lineRule="auto" w:before="0" w:after="0"/>
        <w:ind w:firstLine="709" w:left="0" w:right="0"/>
        <w:jc w:val="both"/>
      </w:pPr>
      <w:r>
        <w:rPr>
          <w:rFonts w:ascii="Times New Roman" w:hAnsi="Times New Roman" w:cs="Times New Roman" w:eastAsia="Times New Roman"/>
          <w:b/>
          <w:i w:val="0"/>
          <w:color w:val="000000"/>
          <w:sz w:val="28"/>
        </w:rPr>
        <w:t>Риск 6. Отказ сервиса или утрата данных заказчика.</w:t>
      </w:r>
      <w:r>
        <w:rPr>
          <w:rFonts w:ascii="Times New Roman" w:hAnsi="Times New Roman" w:cs="Times New Roman" w:eastAsia="Times New Roman"/>
          <w:b w:val="0"/>
          <w:i w:val="0"/>
          <w:color w:val="000000"/>
          <w:sz w:val="28"/>
        </w:rPr>
        <w:t xml:space="preserve"> Для каждого ресторана разворачивается отдельный экземпляр платформы с собственной базой данных (раздел 4.5), вследствие чего отказ затрагивает одного заказчика, а не всех. Утрата истории заказов и заметок официантов означает потерю накопленного преимущества и является основанием для расторжения договора.</w:t>
      </w:r>
    </w:p>
    <w:p>
      <w:pPr>
        <w:spacing w:line="360" w:lineRule="auto" w:before="0" w:after="0"/>
        <w:ind w:firstLine="709" w:left="0" w:right="0"/>
        <w:jc w:val="both"/>
      </w:pPr>
      <w:r>
        <w:rPr>
          <w:rFonts w:ascii="Times New Roman" w:hAnsi="Times New Roman" w:cs="Times New Roman" w:eastAsia="Times New Roman"/>
          <w:b w:val="0"/>
          <w:i w:val="0"/>
          <w:color w:val="000000"/>
          <w:sz w:val="28"/>
        </w:rPr>
        <w:t>Вероятность оценена как низкая, влияние – как высокое. Мероприятия: ежесуточное резервное копирование баз данных заказчиков с хранением копий отдельно от рабочего сервера; восстановление обученных моделей выгрузкой из системы учёта заказчика, сохраняющей исходные данные независимо от состояния платформы.</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Правовые риски</w:t>
      </w:r>
    </w:p>
    <w:p>
      <w:pPr>
        <w:spacing w:line="360" w:lineRule="auto" w:before="0" w:after="0"/>
        <w:ind w:firstLine="709" w:left="0" w:right="0"/>
        <w:jc w:val="both"/>
      </w:pPr>
      <w:r>
        <w:rPr>
          <w:rFonts w:ascii="Times New Roman" w:hAnsi="Times New Roman" w:cs="Times New Roman" w:eastAsia="Times New Roman"/>
          <w:b/>
          <w:i w:val="0"/>
          <w:color w:val="000000"/>
          <w:sz w:val="28"/>
        </w:rPr>
        <w:t>Риск 7. Нарушение порядка обработки персональных данных.</w:t>
      </w:r>
      <w:r>
        <w:rPr>
          <w:rFonts w:ascii="Times New Roman" w:hAnsi="Times New Roman" w:cs="Times New Roman" w:eastAsia="Times New Roman"/>
          <w:b w:val="0"/>
          <w:i w:val="0"/>
          <w:color w:val="000000"/>
          <w:sz w:val="28"/>
        </w:rPr>
        <w:t xml:space="preserve"> Предприятие обрабатывает данные гостей ресторана, то есть выступает обработчиком по поручению заказчика. С 1 сентября 2025 года согласие на обработку оформляется отдельно от иных подписываемых субъектом документов; штраф за неуведомление уполномоченного органа о намерении обрабатывать данные достигает 300 тыс. рублей, за несообщение об утечке – 3 млн рублей [46].</w:t>
      </w:r>
    </w:p>
    <w:p>
      <w:pPr>
        <w:spacing w:line="360" w:lineRule="auto" w:before="0" w:after="0"/>
        <w:ind w:firstLine="709" w:left="0" w:right="0"/>
        <w:jc w:val="both"/>
      </w:pPr>
      <w:r>
        <w:rPr>
          <w:rFonts w:ascii="Times New Roman" w:hAnsi="Times New Roman" w:cs="Times New Roman" w:eastAsia="Times New Roman"/>
          <w:b w:val="0"/>
          <w:i w:val="0"/>
          <w:color w:val="000000"/>
          <w:sz w:val="28"/>
        </w:rPr>
        <w:t>Вероятность оценена как низкая, влияние – как высокое: величина штрафа сопоставима с потребностью в финансировании первого года, а сведения о нарушении препятствуют продажам в отрасли, где предметом обработки являются данные гостей.</w:t>
      </w:r>
    </w:p>
    <w:p>
      <w:pPr>
        <w:spacing w:line="360" w:lineRule="auto" w:before="0" w:after="0"/>
        <w:ind w:firstLine="709" w:left="0" w:right="0"/>
        <w:jc w:val="both"/>
      </w:pPr>
      <w:r>
        <w:rPr>
          <w:rFonts w:ascii="Times New Roman" w:hAnsi="Times New Roman" w:cs="Times New Roman" w:eastAsia="Times New Roman"/>
          <w:b w:val="0"/>
          <w:i w:val="0"/>
          <w:color w:val="000000"/>
          <w:sz w:val="28"/>
        </w:rPr>
        <w:t>Мероприятия. Состав обрабатываемых сведений ограничен минимально необходимым: имя, пол, электронная почта, сведения о картах лояльности не собираются и не хранятся. Заключение с каждым заказчиком договора поручения на обработку персональных данных предусмотрено этапом цикла сделки (раздел 4.5, этап 4). Уведомление уполномоченного органа подаётся до подключения первого заведения. Проверка состава хранимых сведений и порядка их обработки выполняется привлечённым специалистом до начала работы с данными заказчиков.</w:t>
      </w:r>
    </w:p>
    <w:p>
      <w:pPr>
        <w:spacing w:line="360" w:lineRule="auto" w:before="0" w:after="0"/>
        <w:ind w:firstLine="709" w:left="0" w:right="0"/>
        <w:jc w:val="both"/>
      </w:pPr>
      <w:r>
        <w:rPr>
          <w:rFonts w:ascii="Times New Roman" w:hAnsi="Times New Roman" w:cs="Times New Roman" w:eastAsia="Times New Roman"/>
          <w:b/>
          <w:i w:val="0"/>
          <w:color w:val="000000"/>
          <w:sz w:val="28"/>
        </w:rPr>
        <w:t>Риск 8. Утрата права на применение АУСН.</w:t>
      </w:r>
      <w:r>
        <w:rPr>
          <w:rFonts w:ascii="Times New Roman" w:hAnsi="Times New Roman" w:cs="Times New Roman" w:eastAsia="Times New Roman"/>
          <w:b w:val="0"/>
          <w:i w:val="0"/>
          <w:color w:val="000000"/>
          <w:sz w:val="28"/>
        </w:rPr>
        <w:t xml:space="preserve"> Автоматизированная упрощённая система налогообложения применяется при численности работников не более пяти человек. Расчёт исходит из применения режима в течение первых двух лет и перехода на общую систему с третьего года при достижении численности шести человек (раздел 7). Освобождение от страховых взносов уменьшает расходы первого года на 280 тыс. рублей и второго – на 533 тыс.</w:t>
      </w:r>
    </w:p>
    <w:p>
      <w:pPr>
        <w:spacing w:line="360" w:lineRule="auto" w:before="0" w:after="0"/>
        <w:ind w:firstLine="709" w:left="0" w:right="0"/>
        <w:jc w:val="both"/>
      </w:pPr>
      <w:r>
        <w:rPr>
          <w:rFonts w:ascii="Times New Roman" w:hAnsi="Times New Roman" w:cs="Times New Roman" w:eastAsia="Times New Roman"/>
          <w:b w:val="0"/>
          <w:i w:val="0"/>
          <w:color w:val="000000"/>
          <w:sz w:val="28"/>
        </w:rPr>
        <w:t>Риск состоит в досрочном превышении численности – при опережении плана продаж либо при найме сверх штатного расписания. Право утрачивается с начала месяца, в котором допущено превышение. Влияние оценено как среднее: событие увеличивает расходы, но наступает в обстоятельствах роста выручки. Мероприятие – учёт налогового последствия при принятии решения о найме; при необходимости расширения штата до истечения второго года рассматривается привлечение исполнителей по договорам гражданско-правового характера, не увеличивающим численность работников.</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Коммерческие риски</w:t>
      </w:r>
    </w:p>
    <w:p>
      <w:pPr>
        <w:spacing w:line="360" w:lineRule="auto" w:before="0" w:after="0"/>
        <w:ind w:firstLine="709" w:left="0" w:right="0"/>
        <w:jc w:val="both"/>
      </w:pPr>
      <w:r>
        <w:rPr>
          <w:rFonts w:ascii="Times New Roman" w:hAnsi="Times New Roman" w:cs="Times New Roman" w:eastAsia="Times New Roman"/>
          <w:b/>
          <w:i w:val="0"/>
          <w:color w:val="000000"/>
          <w:sz w:val="28"/>
        </w:rPr>
        <w:t>Риск 9. Недостижение планового числа подключений.</w:t>
      </w:r>
      <w:r>
        <w:rPr>
          <w:rFonts w:ascii="Times New Roman" w:hAnsi="Times New Roman" w:cs="Times New Roman" w:eastAsia="Times New Roman"/>
          <w:b w:val="0"/>
          <w:i w:val="0"/>
          <w:color w:val="000000"/>
          <w:sz w:val="28"/>
        </w:rPr>
        <w:t xml:space="preserve"> План первого года предусматривает 30 действующих заказчиков (раздел 4.4). Показатель опирается на воронку продаж и не подтверждён внедрениями; при этом продукт для отрасли новый, а решение принимает владелец, чья платёжеспособность снижается вследствие риска 1.</w:t>
      </w:r>
    </w:p>
    <w:p>
      <w:pPr>
        <w:spacing w:line="360" w:lineRule="auto" w:before="0" w:after="0"/>
        <w:ind w:firstLine="709" w:left="0" w:right="0"/>
        <w:jc w:val="both"/>
      </w:pPr>
      <w:r>
        <w:rPr>
          <w:rFonts w:ascii="Times New Roman" w:hAnsi="Times New Roman" w:cs="Times New Roman" w:eastAsia="Times New Roman"/>
          <w:b w:val="0"/>
          <w:i w:val="0"/>
          <w:color w:val="000000"/>
          <w:sz w:val="28"/>
        </w:rPr>
        <w:t>Риск отнесён к высокому по обоим измерениям и является определяющим для проекта: срок окупаемости задаётся не рентабельностью, а темпом набора клиентской базы (раздел 8).</w:t>
      </w:r>
    </w:p>
    <w:p>
      <w:pPr>
        <w:spacing w:line="360" w:lineRule="auto" w:before="0" w:after="0"/>
        <w:ind w:firstLine="709" w:left="0" w:right="0"/>
        <w:jc w:val="both"/>
      </w:pPr>
      <w:r>
        <w:rPr>
          <w:rFonts w:ascii="Times New Roman" w:hAnsi="Times New Roman" w:cs="Times New Roman" w:eastAsia="Times New Roman"/>
          <w:b w:val="0"/>
          <w:i w:val="0"/>
          <w:color w:val="000000"/>
          <w:sz w:val="28"/>
        </w:rPr>
        <w:t>Мероприятия. Наём привязан к достижению результатов, а не к календарю (раздел 5): при отставании от плана приём второго специалиста по внедрению переносится, что сохраняет платёжеспособность ценой замедления роста. Расходы на оплату труда составляют 84 % сметы первого года (раздел 7), вследствие чего перенос найма является действенной мерой. Расчёт устойчивости (раздел 8) показывает, что при 20 подключениях вместо 30 выручка первого года снижается на 0,36 млн рублей, что покрывается резервом. Пяти пилотным заведениям цена фиксируется бессрочно (раздел 4.6) – это уменьшает риск на начальном, наиболее уязвимом участке.</w:t>
      </w:r>
    </w:p>
    <w:p>
      <w:pPr>
        <w:spacing w:line="360" w:lineRule="auto" w:before="0" w:after="0"/>
        <w:ind w:firstLine="709" w:left="0" w:right="0"/>
        <w:jc w:val="both"/>
      </w:pPr>
      <w:r>
        <w:rPr>
          <w:rFonts w:ascii="Times New Roman" w:hAnsi="Times New Roman" w:cs="Times New Roman" w:eastAsia="Times New Roman"/>
          <w:b/>
          <w:i w:val="0"/>
          <w:color w:val="000000"/>
          <w:sz w:val="28"/>
        </w:rPr>
        <w:t>Риск 10. Отток заказчиков.</w:t>
      </w:r>
      <w:r>
        <w:rPr>
          <w:rFonts w:ascii="Times New Roman" w:hAnsi="Times New Roman" w:cs="Times New Roman" w:eastAsia="Times New Roman"/>
          <w:b w:val="0"/>
          <w:i w:val="0"/>
          <w:color w:val="000000"/>
          <w:sz w:val="28"/>
        </w:rPr>
        <w:t xml:space="preserve"> В расчётах отток принят нулевым (раздел 4.5), что является допущением, а не измеренной величиной. Нижняя граница задаётся риском 2: закрытие заведения прекращает подписку независимо от качества сервиса.</w:t>
      </w:r>
    </w:p>
    <w:p>
      <w:pPr>
        <w:spacing w:line="360" w:lineRule="auto" w:before="0" w:after="0"/>
        <w:ind w:firstLine="709" w:left="0" w:right="0"/>
        <w:jc w:val="both"/>
      </w:pPr>
      <w:r>
        <w:rPr>
          <w:rFonts w:ascii="Times New Roman" w:hAnsi="Times New Roman" w:cs="Times New Roman" w:eastAsia="Times New Roman"/>
          <w:b w:val="0"/>
          <w:i w:val="0"/>
          <w:color w:val="000000"/>
          <w:sz w:val="28"/>
        </w:rPr>
        <w:t>Вероятность оценена как средняя, влияние – как высокое, поскольку при подписной модели отток воздействует на выручку накопительно. Расчёт устойчивости (раздел 8) показывает, что отток 10 % в год уменьшает выручку третьего года на 1,65 млн рублей, не требуя при этом изменения плана финансирования.</w:t>
      </w:r>
    </w:p>
    <w:p>
      <w:pPr>
        <w:spacing w:line="360" w:lineRule="auto" w:before="0" w:after="0"/>
        <w:ind w:firstLine="709" w:left="0" w:right="0"/>
        <w:jc w:val="both"/>
      </w:pPr>
      <w:r>
        <w:rPr>
          <w:rFonts w:ascii="Times New Roman" w:hAnsi="Times New Roman" w:cs="Times New Roman" w:eastAsia="Times New Roman"/>
          <w:b w:val="0"/>
          <w:i w:val="0"/>
          <w:color w:val="000000"/>
          <w:sz w:val="28"/>
        </w:rPr>
        <w:t>Мероприятия предусмотрены свойствами продукта и порядком сопровождения: улучшение качества рекомендаций по мере накопления истории, накопление заметок официантов, ежемесячный отчёт заказчику о работе сервиса и еженедельное переобучение моделей (раздел 4.5). Фактическая величина оттока определяется по итогам первого года эксплуатации и вносится в расчёты.</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Кадровые риски</w:t>
      </w:r>
    </w:p>
    <w:p>
      <w:pPr>
        <w:spacing w:line="360" w:lineRule="auto" w:before="0" w:after="0"/>
        <w:ind w:firstLine="709" w:left="0" w:right="0"/>
        <w:jc w:val="both"/>
      </w:pPr>
      <w:r>
        <w:rPr>
          <w:rFonts w:ascii="Times New Roman" w:hAnsi="Times New Roman" w:cs="Times New Roman" w:eastAsia="Times New Roman"/>
          <w:b/>
          <w:i w:val="0"/>
          <w:color w:val="000000"/>
          <w:sz w:val="28"/>
        </w:rPr>
        <w:t>Риск 11. Уход работника, замещающего ключевую должность.</w:t>
      </w:r>
      <w:r>
        <w:rPr>
          <w:rFonts w:ascii="Times New Roman" w:hAnsi="Times New Roman" w:cs="Times New Roman" w:eastAsia="Times New Roman"/>
          <w:b w:val="0"/>
          <w:i w:val="0"/>
          <w:color w:val="000000"/>
          <w:sz w:val="28"/>
        </w:rPr>
        <w:t xml:space="preserve"> До третьего года специалист по рекомендательным системам в штате один (раздел 5); основатель совмещает продажи, руководство и – в первый год – разработку. Уход специалиста останавливает переобучение моделей и развитие платформы.</w:t>
      </w:r>
    </w:p>
    <w:p>
      <w:pPr>
        <w:spacing w:line="360" w:lineRule="auto" w:before="0" w:after="0"/>
        <w:ind w:firstLine="709" w:left="0" w:right="0"/>
        <w:jc w:val="both"/>
      </w:pPr>
      <w:r>
        <w:rPr>
          <w:rFonts w:ascii="Times New Roman" w:hAnsi="Times New Roman" w:cs="Times New Roman" w:eastAsia="Times New Roman"/>
          <w:b w:val="0"/>
          <w:i w:val="0"/>
          <w:color w:val="000000"/>
          <w:sz w:val="28"/>
        </w:rPr>
        <w:t>Вероятность оценена как средняя: оклад установлен по нижней границе рынка труда (раздел 5), что при дефиците специалистов соответствующей квалификации повышает вероятность перехода к другому работодателю. Влияние – высокое.</w:t>
      </w:r>
    </w:p>
    <w:p>
      <w:pPr>
        <w:spacing w:line="360" w:lineRule="auto" w:before="0" w:after="0"/>
        <w:ind w:firstLine="709" w:left="0" w:right="0"/>
        <w:jc w:val="both"/>
      </w:pPr>
      <w:r>
        <w:rPr>
          <w:rFonts w:ascii="Times New Roman" w:hAnsi="Times New Roman" w:cs="Times New Roman" w:eastAsia="Times New Roman"/>
          <w:b w:val="0"/>
          <w:i w:val="0"/>
          <w:color w:val="000000"/>
          <w:sz w:val="28"/>
        </w:rPr>
        <w:t>Мероприятия. Повышение оклада до среднерыночного уровня по мере роста числа заказчиков предусмотрено организационным планом. Принятые технические решения, порядок обучения моделей, состав признаков и обоснование их выбора зафиксированы в проектной документации, составленной на этапе прототипа, вследствие чего восстановление работы новым работником не требует повторного исследования. Задача не предполагает разработки новых алгоритмов (раздел 5), что расширяет круг работников, способных её принять. Второй специалист по рекомендательным системам предусмотрен штатным расписанием третьего года.</w:t>
      </w:r>
    </w:p>
    <w:p>
      <w:pPr>
        <w:keepNext/>
        <w:spacing w:line="360" w:lineRule="auto" w:before="0" w:after="0"/>
        <w:ind w:firstLine="709" w:left="0" w:right="0"/>
        <w:jc w:val="both"/>
      </w:pPr>
      <w:r>
        <w:rPr>
          <w:rFonts w:ascii="Times New Roman" w:hAnsi="Times New Roman" w:cs="Times New Roman" w:eastAsia="Times New Roman"/>
          <w:b/>
          <w:i w:val="0"/>
          <w:color w:val="000000"/>
          <w:sz w:val="28"/>
        </w:rPr>
        <w:t>Выводы</w:t>
      </w:r>
    </w:p>
    <w:p>
      <w:pPr>
        <w:spacing w:line="360" w:lineRule="auto" w:before="0" w:after="0"/>
        <w:ind w:firstLine="709" w:left="0" w:right="0"/>
        <w:jc w:val="both"/>
      </w:pPr>
      <w:r>
        <w:rPr>
          <w:rFonts w:ascii="Times New Roman" w:hAnsi="Times New Roman" w:cs="Times New Roman" w:eastAsia="Times New Roman"/>
          <w:b w:val="0"/>
          <w:i w:val="0"/>
          <w:color w:val="000000"/>
          <w:sz w:val="28"/>
        </w:rPr>
        <w:t>Наибольший уровень имеют риски 1 и 9 – снижение платёжеспособности заведений и недостижение планового числа подключений. Они связаны: сокращение свободных средств у владельца непосредственно воздействует на воронку продаж. Оба относятся к периоду до выхода на самоокупаемость, наступающего при 18 заказчиках (раздел 7).</w:t>
      </w:r>
    </w:p>
    <w:p>
      <w:pPr>
        <w:spacing w:line="360" w:lineRule="auto" w:before="0" w:after="0"/>
        <w:ind w:firstLine="709" w:left="0" w:right="0"/>
        <w:jc w:val="both"/>
      </w:pPr>
      <w:r>
        <w:rPr>
          <w:rFonts w:ascii="Times New Roman" w:hAnsi="Times New Roman" w:cs="Times New Roman" w:eastAsia="Times New Roman"/>
          <w:b w:val="0"/>
          <w:i w:val="0"/>
          <w:color w:val="000000"/>
          <w:sz w:val="28"/>
        </w:rPr>
        <w:t>Основной мерой снижения выступает не отдельное мероприятие, а принятый порядок планирования: привязка найма к достигнутым результатам, а не к календарю, и резерв 291 тыс. рублей в составе привлекаемых средств. Расходы на оплату труда составляют 84 % сметы первого года, вследствие чего перенос найма при отставании от плана продаж сохраняет платёжеспособность. Расчёт (раздел 8) подтверждает, что отклонения, рассмотренные в настоящем разделе, покрываются без привлечения дополнительного финансирования.</w:t>
      </w:r>
    </w:p>
    <w:p>
      <w:pPr>
        <w:spacing w:line="360" w:lineRule="auto" w:before="0" w:after="0"/>
        <w:ind w:firstLine="709" w:left="0" w:right="0"/>
        <w:jc w:val="both"/>
      </w:pPr>
      <w:r>
        <w:rPr>
          <w:rFonts w:ascii="Times New Roman" w:hAnsi="Times New Roman" w:cs="Times New Roman" w:eastAsia="Times New Roman"/>
          <w:b w:val="0"/>
          <w:i w:val="0"/>
          <w:color w:val="000000"/>
          <w:sz w:val="28"/>
        </w:rPr>
        <w:t>Риски 4 и 3 – изменение условий доступа к интерфейсу iiko и появление конкурирующей функции у смежных решений – от предприятия не зависят и подлежат наблюдению. Для обоих определён приемлемый исход: сертификация интеграционного решения сохраняет рентабельность на уровне 77 %, а преимущество во времени и накопленные заметки официантов образуют издержки переключения у заказчика.</w:t>
      </w:r>
    </w:p>
    <w:p>
      <w:pPr>
        <w:pStyle w:val="Heading1"/>
        <w:keepNext/>
        <w:pageBreakBefore/>
        <w:spacing w:line="360" w:lineRule="auto" w:before="0" w:after="0"/>
        <w:ind w:firstLine="709" w:left="0" w:right="0"/>
        <w:jc w:val="both"/>
      </w:pPr>
      <w:r>
        <w:rPr>
          <w:rFonts w:ascii="Times New Roman" w:hAnsi="Times New Roman" w:cs="Times New Roman" w:eastAsia="Times New Roman"/>
          <w:b/>
          <w:i w:val="0"/>
          <w:color w:val="000000"/>
          <w:sz w:val="28"/>
        </w:rPr>
        <w:t>Список используемых источников</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1. </w:t>
      </w:r>
      <w:r>
        <w:rPr>
          <w:rFonts w:ascii="Times New Roman" w:hAnsi="Times New Roman" w:cs="Times New Roman" w:eastAsia="Times New Roman"/>
          <w:b w:val="0"/>
          <w:i w:val="0"/>
          <w:color w:val="000000"/>
          <w:sz w:val="28"/>
        </w:rPr>
        <w:t>Блокировка Telegram в России (2026) [Электронный ресурс] // Википедия – свободная энциклопедия. – URL: https://ru.wikipedia.org/wiki/Блокировка_Telegram_в_России_(2026) (дата обращения: 26.08.2026).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2. </w:t>
      </w:r>
      <w:r>
        <w:rPr>
          <w:rFonts w:ascii="Times New Roman" w:hAnsi="Times New Roman" w:cs="Times New Roman" w:eastAsia="Times New Roman"/>
          <w:b w:val="0"/>
          <w:i w:val="0"/>
          <w:color w:val="000000"/>
          <w:sz w:val="28"/>
        </w:rPr>
        <w:t>MAX Bot API: документация для разработчиков [Электронный ресурс] // MAX – мессенджер. – URL: https://dev.max.ru/docs-api (дата обращения: 26.08.2026).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3. </w:t>
      </w:r>
      <w:r>
        <w:rPr>
          <w:rFonts w:ascii="Times New Roman" w:hAnsi="Times New Roman" w:cs="Times New Roman" w:eastAsia="Times New Roman"/>
          <w:b w:val="0"/>
          <w:i w:val="0"/>
          <w:color w:val="000000"/>
          <w:sz w:val="28"/>
        </w:rPr>
        <w:t>Создание профиля организации, ИП или самозанятого [Электронный ресурс] // MAX для разработчиков. – URL: https://dev.max.ru/docs/maxbusiness/connection (дата обращения: 26.08.2026).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4. </w:t>
      </w:r>
      <w:r>
        <w:rPr>
          <w:rFonts w:ascii="Times New Roman" w:hAnsi="Times New Roman" w:cs="Times New Roman" w:eastAsia="Times New Roman"/>
          <w:b w:val="0"/>
          <w:i w:val="0"/>
          <w:color w:val="000000"/>
          <w:sz w:val="28"/>
        </w:rPr>
        <w:t>Итоги 2025 года для общепита: падение трафика, рост себестоимости, конкуренция с ритейлом [Электронный ресурс] // Retail.ru – сайт о розничной торговле. – URL: https://www.retail.ru/articles/itogi-2025-goda-dlya-obshchepita-padenie-trafika-rost-sebestoimosti-konkurentsiya-s-riteylom/ (дата обращения: 09.08.2026).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5. </w:t>
      </w:r>
      <w:r>
        <w:rPr>
          <w:rFonts w:ascii="Times New Roman" w:hAnsi="Times New Roman" w:cs="Times New Roman" w:eastAsia="Times New Roman"/>
          <w:b w:val="0"/>
          <w:i w:val="0"/>
          <w:color w:val="000000"/>
          <w:sz w:val="28"/>
        </w:rPr>
        <w:t>В 2021–2025 гг оборот общественного питания в России увеличился в 2,2 раза: с 1,93 до 4,29 трлн руб. [Электронный ресурс] // РБК Магазин исследований. – URL: https://marketing.rbc.ru/articles/16377/ (дата обращения: 09.08.2026).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6. </w:t>
      </w:r>
      <w:r>
        <w:rPr>
          <w:rFonts w:ascii="Times New Roman" w:hAnsi="Times New Roman" w:cs="Times New Roman" w:eastAsia="Times New Roman"/>
          <w:b w:val="0"/>
          <w:i w:val="0"/>
          <w:color w:val="000000"/>
          <w:sz w:val="28"/>
        </w:rPr>
        <w:t>Российский рынок цифровизации HoReCa: оценки и технологии. Обзор TAdviser [Электронный ресурс] // TAdviser – портал выбора технологий и поставщиков. – URL: https://www.tadviser.ru/index.php/Статья:Российский_рынок_цифровизации_HoReCa._Обзор_TAdviser (дата обращения: 09.08.2026).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7. </w:t>
      </w:r>
      <w:r>
        <w:rPr>
          <w:rFonts w:ascii="Times New Roman" w:hAnsi="Times New Roman" w:cs="Times New Roman" w:eastAsia="Times New Roman"/>
          <w:b w:val="0"/>
          <w:i w:val="0"/>
          <w:color w:val="000000"/>
          <w:sz w:val="28"/>
        </w:rPr>
        <w:t>Российский рынок общепита вырос в 2025 году всего на 2,6 % [Электронный ресурс] // Sostav.ru – реклама, маркетинг, PR. – URL: https://www.sostav.ru/publication/rossijskij-rynok-obshchepita-vyros-v-2025-godu-vsego-na-2-6-84047.html (дата обращения: 09.08.2026).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8. </w:t>
      </w:r>
      <w:r>
        <w:rPr>
          <w:rFonts w:ascii="Times New Roman" w:hAnsi="Times New Roman" w:cs="Times New Roman" w:eastAsia="Times New Roman"/>
          <w:b w:val="0"/>
          <w:i w:val="0"/>
          <w:color w:val="000000"/>
          <w:sz w:val="28"/>
        </w:rPr>
        <w:t>УСН и НДС в 2026 году: новые лимиты доходов, ставки и отчётность [Электронный ресурс] // Контур.Экстерн – сервис электронной отчётности. – URL: https://www.kontur-extern.ru/info/81877-usn_i_nds (дата обращения: 16.08.2026).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9. </w:t>
      </w:r>
      <w:r>
        <w:rPr>
          <w:rFonts w:ascii="Times New Roman" w:hAnsi="Times New Roman" w:cs="Times New Roman" w:eastAsia="Times New Roman"/>
          <w:b w:val="0"/>
          <w:i w:val="0"/>
          <w:color w:val="000000"/>
          <w:sz w:val="28"/>
        </w:rPr>
        <w:t>Льгота по НДС в общепите: правила 2026 года [Электронный ресурс] // Клерк.ру – портал для бухгалтеров. – URL: https://www.klerk.ru/buh/articles/700037/ (дата обращения: 16.08.2026).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10. </w:t>
      </w:r>
      <w:r>
        <w:rPr>
          <w:rFonts w:ascii="Times New Roman" w:hAnsi="Times New Roman" w:cs="Times New Roman" w:eastAsia="Times New Roman"/>
          <w:b w:val="0"/>
          <w:i w:val="0"/>
          <w:color w:val="000000"/>
          <w:sz w:val="28"/>
        </w:rPr>
        <w:t>Обзор систем лояльности. Plazius Marketing Cloud + SberFood [Электронный ресурс] // Lemma Place – блог о ресторанном бизнесе. – URL: https://place.lemma.ru/article/plazius-sberfood (дата обращения: 09.08.2026).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11. </w:t>
      </w:r>
      <w:r>
        <w:rPr>
          <w:rFonts w:ascii="Times New Roman" w:hAnsi="Times New Roman" w:cs="Times New Roman" w:eastAsia="Times New Roman"/>
          <w:b w:val="0"/>
          <w:i w:val="0"/>
          <w:color w:val="000000"/>
          <w:sz w:val="28"/>
        </w:rPr>
        <w:t>Loymax Платформа автоматизации программ лояльности [Электронный ресурс] // TAdviser – портал выбора технологий и поставщиков. – URL: https://www.tadviser.ru/index.php/Продукт:Loymax_Платформа_автоматизации_программ_лояльности (дата обращения: 09.08.2026).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12. </w:t>
      </w:r>
      <w:r>
        <w:rPr>
          <w:rFonts w:ascii="Times New Roman" w:hAnsi="Times New Roman" w:cs="Times New Roman" w:eastAsia="Times New Roman"/>
          <w:b w:val="0"/>
          <w:i w:val="0"/>
          <w:color w:val="000000"/>
          <w:sz w:val="28"/>
        </w:rPr>
        <w:t>Система бронирования столиков для ресторана [Электронный ресурс] // ReMarked – CRM для ресторанов и кафе. – URL: https://remarked.ru/booking (дата обращения: 09.08.2026).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13. </w:t>
      </w:r>
      <w:r>
        <w:rPr>
          <w:rFonts w:ascii="Times New Roman" w:hAnsi="Times New Roman" w:cs="Times New Roman" w:eastAsia="Times New Roman"/>
          <w:b w:val="0"/>
          <w:i w:val="0"/>
          <w:color w:val="000000"/>
          <w:sz w:val="28"/>
        </w:rPr>
        <w:t>Программа для кафе, ресторана, кофеен, баров [Электронный ресурс] // Restik – комплексное решение для общепита. – URL: https://restik.com/ (дата обращения: 09.08.2026).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14. </w:t>
      </w:r>
      <w:r>
        <w:rPr>
          <w:rFonts w:ascii="Times New Roman" w:hAnsi="Times New Roman" w:cs="Times New Roman" w:eastAsia="Times New Roman"/>
          <w:b w:val="0"/>
          <w:i w:val="0"/>
          <w:color w:val="000000"/>
          <w:sz w:val="28"/>
        </w:rPr>
        <w:t>Мобильный официант. Приложение для приёма заказов [Электронный ресурс] // FusionPOS – автоматизация ресторанов. – URL: https://fusionpos.ru/feature/waiter/ (дата обращения: 09.08.2026).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15. </w:t>
      </w:r>
      <w:r>
        <w:rPr>
          <w:rFonts w:ascii="Times New Roman" w:hAnsi="Times New Roman" w:cs="Times New Roman" w:eastAsia="Times New Roman"/>
          <w:b w:val="0"/>
          <w:i w:val="0"/>
          <w:color w:val="000000"/>
          <w:sz w:val="28"/>
        </w:rPr>
        <w:t>food2mood – нейросеть рекомендаций еды под настроение [Электронный ресурс] // Product Radar – каталог российских продуктов. – URL: https://productradar.ru/product/food2mood/ (дата обращения: 09.08.2026).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16. </w:t>
      </w:r>
      <w:r>
        <w:rPr>
          <w:rFonts w:ascii="Times New Roman" w:hAnsi="Times New Roman" w:cs="Times New Roman" w:eastAsia="Times New Roman"/>
          <w:b w:val="0"/>
          <w:i w:val="0"/>
          <w:color w:val="000000"/>
          <w:sz w:val="28"/>
        </w:rPr>
        <w:t>Мелкозёров, Е. Единая база данных гостей для ресторанной сети: интеграция Telegram, Remarked, IIKO, RocketData и платёжных систем [Электронный ресурс] / Е. Мелкозёров // Хабр – сообщество IT-специалистов. – URL: https://habr.com/ru/articles/1041248/ (дата обращения: 09.08.2026).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17. </w:t>
      </w:r>
      <w:r>
        <w:rPr>
          <w:rFonts w:ascii="Times New Roman" w:hAnsi="Times New Roman" w:cs="Times New Roman" w:eastAsia="Times New Roman"/>
          <w:b w:val="0"/>
          <w:i w:val="0"/>
          <w:color w:val="000000"/>
          <w:sz w:val="28"/>
        </w:rPr>
        <w:t>Фудкост в ресторане: нормы, формулы расчёта и как снизить [Электронный ресурс] // Poster POS – система автоматизации общественного питания. – URL: https://joinposter.com/post/foodcost-v-restorane (дата обращения: 12.08.2026).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18. </w:t>
      </w:r>
      <w:r>
        <w:rPr>
          <w:rFonts w:ascii="Times New Roman" w:hAnsi="Times New Roman" w:cs="Times New Roman" w:eastAsia="Times New Roman"/>
          <w:b w:val="0"/>
          <w:i w:val="0"/>
          <w:color w:val="000000"/>
          <w:sz w:val="28"/>
        </w:rPr>
        <w:t>Средний чек в ресторанах и барах за год вырос на 12 % [Электронный ресурс] // Ведомости – деловое издание. – URL: https://www.vedomosti.ru/business/news/2025/10/28/1150392-chek-viros (дата обращения: 09.08.2026).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19. </w:t>
      </w:r>
      <w:r>
        <w:rPr>
          <w:rFonts w:ascii="Times New Roman" w:hAnsi="Times New Roman" w:cs="Times New Roman" w:eastAsia="Times New Roman"/>
          <w:b w:val="0"/>
          <w:i w:val="0"/>
          <w:color w:val="000000"/>
          <w:sz w:val="28"/>
        </w:rPr>
        <w:t>Сокращение числа заведений общепита в России: 7,2 тыс. объектов в 2026 году [Электронный ресурс] // Коммерсантъ – издательский дом. – URL: https://www.kommersant.ru/doc/8535602 (дата обращения: 09.08.2026).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20. </w:t>
      </w:r>
      <w:r>
        <w:rPr>
          <w:rFonts w:ascii="Times New Roman" w:hAnsi="Times New Roman" w:cs="Times New Roman" w:eastAsia="Times New Roman"/>
          <w:b w:val="0"/>
          <w:i w:val="0"/>
          <w:color w:val="000000"/>
          <w:sz w:val="28"/>
        </w:rPr>
        <w:t>Сокращение числа заведений общепита в России: 7,2 тыс. объектов в 2026 году [Электронный ресурс] // Коммерсантъ – издательский дом. – URL: https://www.kommersant.ru/doc/8535602 (дата обращения: 09.08.2026).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21. </w:t>
      </w:r>
      <w:r>
        <w:rPr>
          <w:rFonts w:ascii="Times New Roman" w:hAnsi="Times New Roman" w:cs="Times New Roman" w:eastAsia="Times New Roman"/>
          <w:b w:val="0"/>
          <w:i w:val="0"/>
          <w:color w:val="000000"/>
          <w:sz w:val="28"/>
        </w:rPr>
        <w:t>Тарифы Tilda в 2026 году: цены в рублях, Personal и Business [Электронный ресурс] // T-Template – шаблоны и руководства по Tilda. – URL: https://t-template.ru/tpost/tilda-tarify (дата обращения: 09.08.2026).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22. </w:t>
      </w:r>
      <w:r>
        <w:rPr>
          <w:rFonts w:ascii="Times New Roman" w:hAnsi="Times New Roman" w:cs="Times New Roman" w:eastAsia="Times New Roman"/>
          <w:b w:val="0"/>
          <w:i w:val="0"/>
          <w:color w:val="000000"/>
          <w:sz w:val="28"/>
        </w:rPr>
        <w:t>Главная выставка индустрии гостеприимства PIR EXPO 2026 [Электронный ресурс] // PIR EXPO – международная выставка индустрии гостеприимства. – URL: https://pirexpo.com/ (дата обращения: 09.08.2026).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23. </w:t>
      </w:r>
      <w:r>
        <w:rPr>
          <w:rFonts w:ascii="Times New Roman" w:hAnsi="Times New Roman" w:cs="Times New Roman" w:eastAsia="Times New Roman"/>
          <w:b w:val="0"/>
          <w:i w:val="0"/>
          <w:color w:val="000000"/>
          <w:sz w:val="28"/>
        </w:rPr>
        <w:t>Цены [Электронный ресурс] // iiko – система автоматизации ресторанов. – URL: https://iiko.ru/pricing/ (дата обращения: 12.08.2026).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24. </w:t>
      </w:r>
      <w:r>
        <w:rPr>
          <w:rFonts w:ascii="Times New Roman" w:hAnsi="Times New Roman" w:cs="Times New Roman" w:eastAsia="Times New Roman"/>
          <w:b w:val="0"/>
          <w:i w:val="0"/>
          <w:color w:val="000000"/>
          <w:sz w:val="28"/>
        </w:rPr>
        <w:t>Налоговые льготы для IT-компаний в 2026 году: главные изменения и новые условия [Электронный ресурс] // Клерк.ру – портал для бухгалтеров. – URL: https://www.klerk.ru/blogs/moedelo/670400/ (дата обращения: 11.08.2026).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25. </w:t>
      </w:r>
      <w:r>
        <w:rPr>
          <w:rFonts w:ascii="Times New Roman" w:hAnsi="Times New Roman" w:cs="Times New Roman" w:eastAsia="Times New Roman"/>
          <w:b w:val="0"/>
          <w:i w:val="0"/>
          <w:color w:val="000000"/>
          <w:sz w:val="28"/>
        </w:rPr>
        <w:t>Программа «Старт» [Электронный ресурс] // Фонд содействия инновациям. – URL: https://fasie.ru/programs/programma-start/ (дата обращения: 11.08.2026).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26. </w:t>
      </w:r>
      <w:r>
        <w:rPr>
          <w:rFonts w:ascii="Times New Roman" w:hAnsi="Times New Roman" w:cs="Times New Roman" w:eastAsia="Times New Roman"/>
          <w:b w:val="0"/>
          <w:i w:val="0"/>
          <w:color w:val="000000"/>
          <w:sz w:val="28"/>
        </w:rPr>
        <w:t>Размер МРОТ в Новосибирской области в 2026 году [Электронный ресурс] // ГосУслуги.Гид – справочный портал. – URL: https://gogov.ru/mrot/nso (дата обращения: 11.08.2026).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27. </w:t>
      </w:r>
      <w:r>
        <w:rPr>
          <w:rFonts w:ascii="Times New Roman" w:hAnsi="Times New Roman" w:cs="Times New Roman" w:eastAsia="Times New Roman"/>
          <w:b w:val="0"/>
          <w:i w:val="0"/>
          <w:color w:val="000000"/>
          <w:sz w:val="28"/>
        </w:rPr>
        <w:t>Зарплата Python-разработчика 2026 – вилки по уровням [Электронный ресурс] // IT-Mentor – образовательный портал. – URL: https://www.it-mentor.dev/articles/zarplata-python-razrabotchika-2026 (дата обращения: 11.08.2026).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28. </w:t>
      </w:r>
      <w:r>
        <w:rPr>
          <w:rFonts w:ascii="Times New Roman" w:hAnsi="Times New Roman" w:cs="Times New Roman" w:eastAsia="Times New Roman"/>
          <w:b w:val="0"/>
          <w:i w:val="0"/>
          <w:color w:val="000000"/>
          <w:sz w:val="28"/>
        </w:rPr>
        <w:t>Средняя зарплата на должности «Специалист по внедрению» [Электронный ресурс] // Dream Job – сервис отзывов о работодателях. – URL: https://dreamjob.ru/salary/specialist-po-vnedreniyu (дата обращения: 11.08.2026).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29. </w:t>
      </w:r>
      <w:r>
        <w:rPr>
          <w:rFonts w:ascii="Times New Roman" w:hAnsi="Times New Roman" w:cs="Times New Roman" w:eastAsia="Times New Roman"/>
          <w:b w:val="0"/>
          <w:i w:val="0"/>
          <w:color w:val="000000"/>
          <w:sz w:val="28"/>
        </w:rPr>
        <w:t>Налоговые льготы для IT-компаний в 2026 году: главные изменения и новые условия [Электронный ресурс] // Клерк.ру – портал для бухгалтеров. – URL: https://www.klerk.ru/blogs/moedelo/670400/ (дата обращения: 11.08.2026).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30. </w:t>
      </w:r>
      <w:r>
        <w:rPr>
          <w:rFonts w:ascii="Times New Roman" w:hAnsi="Times New Roman" w:cs="Times New Roman" w:eastAsia="Times New Roman"/>
          <w:b w:val="0"/>
          <w:i w:val="0"/>
          <w:color w:val="000000"/>
          <w:sz w:val="28"/>
        </w:rPr>
        <w:t>Как получить IT-аккредитацию в 2026: актуальные требования Минцифры и пошаговая инструкция [Электронный ресурс] // Хабр – сообщество IT-специалистов. – URL: https://habr.com/ru/articles/1064044/ (дата обращения: 11.08.2026).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31. </w:t>
      </w:r>
      <w:r>
        <w:rPr>
          <w:rFonts w:ascii="Times New Roman" w:hAnsi="Times New Roman" w:cs="Times New Roman" w:eastAsia="Times New Roman"/>
          <w:b w:val="0"/>
          <w:i w:val="0"/>
          <w:color w:val="000000"/>
          <w:sz w:val="28"/>
        </w:rPr>
        <w:t>Реестр малых технологических компаний [Электронный ресурс] // Министерство экономического развития Российской Федерации. – URL: https://www.economy.gov.ru/material/departments/d01/razvitie_tehnologicheskogo_predprinimatelstva/reestr_malyh_tehnologicheskih_kompaniy/ (дата обращения: 11.08.2026).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32. </w:t>
      </w:r>
      <w:r>
        <w:rPr>
          <w:rFonts w:ascii="Times New Roman" w:hAnsi="Times New Roman" w:cs="Times New Roman" w:eastAsia="Times New Roman"/>
          <w:b w:val="0"/>
          <w:i w:val="0"/>
          <w:color w:val="000000"/>
          <w:sz w:val="28"/>
        </w:rPr>
        <w:t>Аренда VPS и VDS от 200 ₽ [Электронный ресурс] // Selectel – поставщик облачных услуг. – URL: https://selectel.ru/services/cloud/vps-vds/ (дата обращения: 11.08.2026).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33. </w:t>
      </w:r>
      <w:r>
        <w:rPr>
          <w:rFonts w:ascii="Times New Roman" w:hAnsi="Times New Roman" w:cs="Times New Roman" w:eastAsia="Times New Roman"/>
          <w:b w:val="0"/>
          <w:i w:val="0"/>
          <w:color w:val="000000"/>
          <w:sz w:val="28"/>
        </w:rPr>
        <w:t>Изменение цен на домены .RU и .РФ с 1 января 2026 [Электронный ресурс] // Beget – хостинг-провайдер. – URL: https://beget.com/ru/news/2025/izmenenie-czen-na-domeny-ru-i-rf-s-1-yanvarya-2026 (дата обращения: 11.08.2026).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34. </w:t>
      </w:r>
      <w:r>
        <w:rPr>
          <w:rFonts w:ascii="Times New Roman" w:hAnsi="Times New Roman" w:cs="Times New Roman" w:eastAsia="Times New Roman"/>
          <w:b w:val="0"/>
          <w:i w:val="0"/>
          <w:color w:val="000000"/>
          <w:sz w:val="28"/>
        </w:rPr>
        <w:t>Уведомление в Роскомнадзор об обработке персональных данных в 2026 году [Электронный ресурс] // Контур.Эльба – сервис для предпринимателей. – URL: https://e-kontur.ru/enquiry/2409/uvedomlenie-v-roskomnadzor-ob-obrabotke-personalnyh-dannyh (дата обращения: 11.08.2026).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35. </w:t>
      </w:r>
      <w:r>
        <w:rPr>
          <w:rFonts w:ascii="Times New Roman" w:hAnsi="Times New Roman" w:cs="Times New Roman" w:eastAsia="Times New Roman"/>
          <w:b w:val="0"/>
          <w:i w:val="0"/>
          <w:color w:val="000000"/>
          <w:sz w:val="28"/>
        </w:rPr>
        <w:t>«Зонтичные» поручительства [Электронный ресурс] // АО «Корпорация «МСП». – URL: https://corpmsp.ru/to-business/obespechenie-kreditov-zaymov/zontichnye-poruchitelstva/ (дата обращения: 12.08.2026).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36. </w:t>
      </w:r>
      <w:r>
        <w:rPr>
          <w:rFonts w:ascii="Times New Roman" w:hAnsi="Times New Roman" w:cs="Times New Roman" w:eastAsia="Times New Roman"/>
          <w:b w:val="0"/>
          <w:i w:val="0"/>
          <w:color w:val="000000"/>
          <w:sz w:val="28"/>
        </w:rPr>
        <w:t>Программа льготного кредитования субъектов МСП (Программа 1764) [Электронный ресурс] // Министерство экономического развития Российской Федерации. – URL: https://invest.economy.gov.ru/programma-lgotnogo-kreditovaniya-subektov-msp-programma-1764- (дата обращения: 12.08.2026).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37. </w:t>
      </w:r>
      <w:r>
        <w:rPr>
          <w:rFonts w:ascii="Times New Roman" w:hAnsi="Times New Roman" w:cs="Times New Roman" w:eastAsia="Times New Roman"/>
          <w:b w:val="0"/>
          <w:i w:val="0"/>
          <w:color w:val="000000"/>
          <w:sz w:val="28"/>
        </w:rPr>
        <w:t>Ключевая ставка Банка России снижена до 14 % с 24 июля 2026 года [Электронный ресурс] // НДФЛка – сервис налоговых консультаций. – URL: https://ndflka.ru/news/klyuchevaya-stavka-banka-rossii-snizhena-do-14-s-24-iyulya-2026-goda (дата обращения: 12.08.2026).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38. </w:t>
      </w:r>
      <w:r>
        <w:rPr>
          <w:rFonts w:ascii="Times New Roman" w:hAnsi="Times New Roman" w:cs="Times New Roman" w:eastAsia="Times New Roman"/>
          <w:b w:val="0"/>
          <w:i w:val="0"/>
          <w:color w:val="000000"/>
          <w:sz w:val="28"/>
        </w:rPr>
        <w:t>Акселератор «Спринт» [Электронный ресурс] // Фонд развития интернет-инициатив. – URL: https://sprint.iidf.ru/ (дата обращения: 12.08.2026).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39. </w:t>
      </w:r>
      <w:r>
        <w:rPr>
          <w:rFonts w:ascii="Times New Roman" w:hAnsi="Times New Roman" w:cs="Times New Roman" w:eastAsia="Times New Roman"/>
          <w:b w:val="0"/>
          <w:i w:val="0"/>
          <w:color w:val="000000"/>
          <w:sz w:val="28"/>
        </w:rPr>
        <w:t>Бизнес-ускоритель «А:СТАРТ» [Электронный ресурс] // Научно-технологический парк Новосибирского Академгородка. – URL: https://academpark.com/projects/a_start/ (дата обращения: 12.08.2026).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40. </w:t>
      </w:r>
      <w:r>
        <w:rPr>
          <w:rFonts w:ascii="Times New Roman" w:hAnsi="Times New Roman" w:cs="Times New Roman" w:eastAsia="Times New Roman"/>
          <w:b w:val="0"/>
          <w:i w:val="0"/>
          <w:color w:val="000000"/>
          <w:sz w:val="28"/>
        </w:rPr>
        <w:t>Грантовая программа ФСИ «Старт» [Электронный ресурс] // Государственная информационная система промышленности. – URL: https://gisp.gov.ru/nmp/measure/8160120 (дата обращения: 12.08.2026).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41. </w:t>
      </w:r>
      <w:r>
        <w:rPr>
          <w:rFonts w:ascii="Times New Roman" w:hAnsi="Times New Roman" w:cs="Times New Roman" w:eastAsia="Times New Roman"/>
          <w:b w:val="0"/>
          <w:i w:val="0"/>
          <w:color w:val="000000"/>
          <w:sz w:val="28"/>
        </w:rPr>
        <w:t>Новые правила «Сколково» 2026: что изменилось для резидентов [Электронный ресурс] // МТК Консалтинг. – URL: https://mtkconsulting.ru/blog/novye-pravila-skolkovo-2026/ (дата обращения: 12.08.2026).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42. </w:t>
      </w:r>
      <w:r>
        <w:rPr>
          <w:rFonts w:ascii="Times New Roman" w:hAnsi="Times New Roman" w:cs="Times New Roman" w:eastAsia="Times New Roman"/>
          <w:b w:val="0"/>
          <w:i w:val="0"/>
          <w:color w:val="000000"/>
          <w:sz w:val="28"/>
        </w:rPr>
        <w:t>УСН и НДС в 2026 году: новые лимиты доходов, ставки и отчётность [Электронный ресурс] // Контур.Экстерн – сервис электронной отчётности. – URL: https://www.kontur-extern.ru/info/81877-usn_i_nds (дата обращения: 16.08.2026).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43. </w:t>
      </w:r>
      <w:r>
        <w:rPr>
          <w:rFonts w:ascii="Times New Roman" w:hAnsi="Times New Roman" w:cs="Times New Roman" w:eastAsia="Times New Roman"/>
          <w:b w:val="0"/>
          <w:i w:val="0"/>
          <w:color w:val="000000"/>
          <w:sz w:val="28"/>
        </w:rPr>
        <w:t>Льгота по НДС в общепите: правила 2026 года [Электронный ресурс] // Клерк.ру – портал для бухгалтеров. – URL: https://www.klerk.ru/buh/articles/700037/ (дата обращения: 16.08.2026).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44. </w:t>
      </w:r>
      <w:r>
        <w:rPr>
          <w:rFonts w:ascii="Times New Roman" w:hAnsi="Times New Roman" w:cs="Times New Roman" w:eastAsia="Times New Roman"/>
          <w:b w:val="0"/>
          <w:i w:val="0"/>
          <w:color w:val="000000"/>
          <w:sz w:val="28"/>
        </w:rPr>
        <w:t>Рынок общепита в кризисе: за 2025 год сегмент вырос лишь на 2,6 % [Электронный ресурс] // Rusbase – издание о технологиях и бизнесе. – URL: https://rb.ru/news/rynok-obshepita-v-krizise-za-2025-god-segment-vyros-lish-na-26-eksperty-ozhidayut-volnu-zakrytij-zavedenij/ (дата обращения: 16.08.2026).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45. </w:t>
      </w:r>
      <w:r>
        <w:rPr>
          <w:rFonts w:ascii="Times New Roman" w:hAnsi="Times New Roman" w:cs="Times New Roman" w:eastAsia="Times New Roman"/>
          <w:b w:val="0"/>
          <w:i w:val="0"/>
          <w:color w:val="000000"/>
          <w:sz w:val="28"/>
        </w:rPr>
        <w:t>iikoAPI: условия работы с программным интерфейсом [Электронный ресурс] // iiko – система автоматизации ресторанов. – URL: https://api.iiko.ru/ (дата обращения: 16.08.2026).</w:t>
      </w:r>
    </w:p>
    <w:p>
      <w:pPr>
        <w:pStyle w:val="ListParagraph"/>
        <w:spacing w:line="360" w:lineRule="auto" w:before="0" w:after="0"/>
        <w:ind w:firstLine="709" w:left="0" w:right="0"/>
        <w:jc w:val="both"/>
      </w:pPr>
      <w:r>
        <w:rPr>
          <w:rFonts w:ascii="Times New Roman" w:hAnsi="Times New Roman" w:cs="Times New Roman" w:eastAsia="Times New Roman"/>
          <w:b w:val="0"/>
          <w:i w:val="0"/>
          <w:color w:val="000000"/>
          <w:sz w:val="28"/>
        </w:rPr>
        <w:t xml:space="preserve">46. </w:t>
      </w:r>
      <w:r>
        <w:rPr>
          <w:rFonts w:ascii="Times New Roman" w:hAnsi="Times New Roman" w:cs="Times New Roman" w:eastAsia="Times New Roman"/>
          <w:b w:val="0"/>
          <w:i w:val="0"/>
          <w:color w:val="000000"/>
          <w:sz w:val="28"/>
        </w:rPr>
        <w:t>Закон о персональных данных: что изменилось в 2025–2026 годах [Электронный ресурс] // Б-152 – сервис по защите персональных данных. – URL: https://b-152.ru/zakon-o-personalnyh-dannyh-2025 (дата обращения: 16.08.2026).</w:t>
      </w:r>
    </w:p>
    <w:sectPr w:rsidR="00FC693F" w:rsidRPr="0006063C" w:rsidSect="00034616">
      <w:footerReference w:type="default" r:id="rId9"/>
      <w:pgSz w:w="11906" w:h="16838"/>
      <w:pgMar w:top="1134" w:right="850" w:bottom="1134" w:left="1701" w:header="720" w:footer="720" w:gutter="0"/>
      <w:cols w:space="720"/>
      <w:docGrid w:linePitch="360"/>
      <w:pgNumType w:start="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b w:val="0"/>
        <w:i w:val="0"/>
        <w:color w:val="000000"/>
        <w:sz w:val="28"/>
      </w:rPr>
      <w:fldChar w:fldCharType="begin"/>
    </w:r>
    <w:r>
      <w:rPr>
        <w:rFonts w:ascii="Times New Roman" w:hAnsi="Times New Roman" w:cs="Times New Roman" w:eastAsia="Times New Roman"/>
        <w:b w:val="0"/>
        <w:i w:val="0"/>
        <w:color w:val="000000"/>
        <w:sz w:val="28"/>
      </w:rPr>
      <w:instrText xml:space="preserve"> PAGE   \* MERGEFORMAT </w:instrText>
    </w:r>
    <w:r>
      <w:rPr>
        <w:rFonts w:ascii="Times New Roman" w:hAnsi="Times New Roman" w:cs="Times New Roman" w:eastAsia="Times New Roman"/>
        <w:b w:val="0"/>
        <w:i w:val="0"/>
        <w:color w:val="000000"/>
        <w:sz w:val="28"/>
      </w:rPr>
      <w:fldChar w:fldCharType="separate"/>
    </w:r>
    <w:r>
      <w:rPr>
        <w:rFonts w:ascii="Times New Roman" w:hAnsi="Times New Roman" w:cs="Times New Roman" w:eastAsia="Times New Roman"/>
        <w:b w:val="0"/>
        <w:i w:val="0"/>
        <w:color w:val="000000"/>
        <w:sz w:val="28"/>
      </w:rPr>
      <w:t>3</w:t>
    </w:r>
    <w:r>
      <w:rPr>
        <w:rFonts w:ascii="Times New Roman" w:hAnsi="Times New Roman" w:cs="Times New Roman" w:eastAsia="Times New Roman"/>
        <w:b w:val="0"/>
        <w:i w:val="0"/>
        <w:color w:val="000000"/>
        <w:sz w:val="2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